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B4568D" w14:textId="77777777" w:rsidR="00BA0B80" w:rsidRDefault="00BA0B80" w:rsidP="008F6E12">
      <w:pPr>
        <w:jc w:val="center"/>
        <w:rPr>
          <w:rFonts w:ascii="Arial" w:hAnsi="Arial" w:cs="Arial"/>
          <w:b/>
          <w:bCs/>
        </w:rPr>
      </w:pPr>
      <w:bookmarkStart w:id="0" w:name="_GoBack"/>
      <w:bookmarkEnd w:id="0"/>
    </w:p>
    <w:p w14:paraId="1E5E0D71" w14:textId="4B6120E3" w:rsidR="00BA0B80" w:rsidRDefault="00BA0B80" w:rsidP="00BA0B80">
      <w:pPr>
        <w:rPr>
          <w:rFonts w:ascii="Arial" w:hAnsi="Arial" w:cs="Arial"/>
          <w:b/>
          <w:bCs/>
        </w:rPr>
      </w:pPr>
      <w:r>
        <w:rPr>
          <w:rFonts w:ascii="Arial" w:hAnsi="Arial" w:cs="Arial"/>
          <w:b/>
          <w:bCs/>
        </w:rPr>
        <w:t xml:space="preserve">Seminar 2: </w:t>
      </w:r>
    </w:p>
    <w:p w14:paraId="70C186E6" w14:textId="77777777" w:rsidR="00BA0B80" w:rsidRDefault="00BA0B80" w:rsidP="00BA0B80">
      <w:pPr>
        <w:rPr>
          <w:rFonts w:ascii="Arial" w:hAnsi="Arial" w:cs="Arial"/>
          <w:b/>
          <w:bCs/>
        </w:rPr>
      </w:pPr>
    </w:p>
    <w:p w14:paraId="2AA64DC7" w14:textId="77777777" w:rsidR="008F6E12" w:rsidRPr="008F6E12" w:rsidRDefault="008F6E12" w:rsidP="008F6E12">
      <w:pPr>
        <w:jc w:val="center"/>
      </w:pPr>
      <w:r w:rsidRPr="008F6E12">
        <w:rPr>
          <w:rFonts w:ascii="Arial" w:hAnsi="Arial" w:cs="Arial"/>
          <w:b/>
          <w:bCs/>
        </w:rPr>
        <w:t>Common but Differentiated Responsibilities in International Law</w:t>
      </w:r>
    </w:p>
    <w:p w14:paraId="3D1A20EA" w14:textId="77777777" w:rsidR="00BA0B80" w:rsidRDefault="00BA0B80" w:rsidP="008F6E12">
      <w:pPr>
        <w:widowControl/>
        <w:rPr>
          <w:rFonts w:ascii="Arial" w:hAnsi="Arial" w:cs="Arial"/>
        </w:rPr>
      </w:pPr>
    </w:p>
    <w:p w14:paraId="490290AD" w14:textId="77777777" w:rsidR="008F6E12" w:rsidRDefault="008F6E12" w:rsidP="008F6E12">
      <w:pPr>
        <w:widowControl/>
        <w:rPr>
          <w:rFonts w:ascii="Arial" w:hAnsi="Arial" w:cs="Arial"/>
        </w:rPr>
      </w:pPr>
      <w:r>
        <w:rPr>
          <w:rFonts w:ascii="Arial" w:hAnsi="Arial" w:cs="Arial"/>
        </w:rPr>
        <w:t xml:space="preserve">Christopher D. Stone </w:t>
      </w:r>
    </w:p>
    <w:p w14:paraId="02751E55" w14:textId="77777777" w:rsidR="008F6E12" w:rsidRDefault="008F6E12">
      <w:pPr>
        <w:rPr>
          <w:rFonts w:ascii="Arial" w:hAnsi="Arial" w:cs="Arial"/>
        </w:rPr>
      </w:pPr>
    </w:p>
    <w:p w14:paraId="6219626B" w14:textId="77777777" w:rsidR="008F6E12" w:rsidRPr="008F6E12" w:rsidRDefault="008F6E12">
      <w:pPr>
        <w:rPr>
          <w:rFonts w:ascii="Arial" w:hAnsi="Arial" w:cs="Arial"/>
          <w:b/>
          <w:u w:val="single"/>
        </w:rPr>
      </w:pPr>
      <w:r w:rsidRPr="008F6E12">
        <w:rPr>
          <w:rFonts w:ascii="Arial" w:hAnsi="Arial" w:cs="Arial"/>
          <w:b/>
        </w:rPr>
        <w:t xml:space="preserve">Focusing on </w:t>
      </w:r>
      <w:r w:rsidRPr="008F6E12">
        <w:rPr>
          <w:rFonts w:ascii="Arial" w:hAnsi="Arial" w:cs="Arial"/>
          <w:b/>
          <w:u w:val="single"/>
        </w:rPr>
        <w:t>‘What are the strengths and weaknesses of the CBDR to address global environmental problems?’</w:t>
      </w:r>
    </w:p>
    <w:p w14:paraId="02E17DEA" w14:textId="77777777" w:rsidR="008F6E12" w:rsidRDefault="008F6E12">
      <w:pPr>
        <w:rPr>
          <w:rFonts w:ascii="Arial" w:hAnsi="Arial" w:cs="Arial"/>
        </w:rPr>
      </w:pPr>
    </w:p>
    <w:p w14:paraId="1FA838BA" w14:textId="77777777" w:rsidR="008F6E12" w:rsidRDefault="008F6E12">
      <w:pPr>
        <w:rPr>
          <w:rFonts w:ascii="Arial" w:hAnsi="Arial" w:cs="Arial"/>
        </w:rPr>
      </w:pPr>
    </w:p>
    <w:p w14:paraId="1394EC53" w14:textId="77777777" w:rsidR="00F05591" w:rsidRDefault="008F6E12">
      <w:pPr>
        <w:rPr>
          <w:rFonts w:ascii="Arial" w:hAnsi="Arial" w:cs="Arial"/>
        </w:rPr>
      </w:pPr>
      <w:r w:rsidRPr="008F6E12">
        <w:rPr>
          <w:rFonts w:ascii="Arial" w:hAnsi="Arial" w:cs="Arial"/>
        </w:rPr>
        <w:t>The concept of "common but differentiated responsibilities" (CDR) is receiving increasing recognition in international law…</w:t>
      </w:r>
      <w:r w:rsidR="008A65CB">
        <w:rPr>
          <w:rFonts w:ascii="Arial" w:hAnsi="Arial" w:cs="Arial"/>
        </w:rPr>
        <w:t xml:space="preserve"> </w:t>
      </w:r>
      <w:r w:rsidRPr="008F6E12">
        <w:rPr>
          <w:rFonts w:ascii="Arial" w:hAnsi="Arial" w:cs="Arial"/>
        </w:rPr>
        <w:t>ev</w:t>
      </w:r>
      <w:r>
        <w:rPr>
          <w:rFonts w:ascii="Arial" w:hAnsi="Arial" w:cs="Arial"/>
        </w:rPr>
        <w:t>en when not explicitly stated i</w:t>
      </w:r>
      <w:r w:rsidRPr="008F6E12">
        <w:rPr>
          <w:rFonts w:ascii="Arial" w:hAnsi="Arial" w:cs="Arial"/>
        </w:rPr>
        <w:t>n that way</w:t>
      </w:r>
      <w:proofErr w:type="gramStart"/>
      <w:r>
        <w:rPr>
          <w:rFonts w:ascii="Arial" w:hAnsi="Arial" w:cs="Arial"/>
        </w:rPr>
        <w:t>..</w:t>
      </w:r>
      <w:proofErr w:type="gramEnd"/>
      <w:r>
        <w:rPr>
          <w:rFonts w:ascii="Arial" w:hAnsi="Arial" w:cs="Arial"/>
        </w:rPr>
        <w:t xml:space="preserve"> </w:t>
      </w:r>
      <w:proofErr w:type="spellStart"/>
      <w:proofErr w:type="gramStart"/>
      <w:r>
        <w:rPr>
          <w:rFonts w:ascii="Arial" w:hAnsi="Arial" w:cs="Arial"/>
        </w:rPr>
        <w:t>eg</w:t>
      </w:r>
      <w:proofErr w:type="spellEnd"/>
      <w:proofErr w:type="gramEnd"/>
      <w:r w:rsidRPr="008F6E12">
        <w:rPr>
          <w:rFonts w:ascii="Arial" w:hAnsi="Arial" w:cs="Arial"/>
        </w:rPr>
        <w:t xml:space="preserve"> ‘that each party do something "as far as possible and as appropriate</w:t>
      </w:r>
      <w:r>
        <w:rPr>
          <w:rStyle w:val="FootnoteReference"/>
          <w:rFonts w:ascii="Arial" w:hAnsi="Arial" w:cs="Arial"/>
        </w:rPr>
        <w:footnoteReference w:id="1"/>
      </w:r>
    </w:p>
    <w:p w14:paraId="533AF1D6" w14:textId="77777777" w:rsidR="008F6E12" w:rsidRDefault="008F6E12">
      <w:pPr>
        <w:rPr>
          <w:rFonts w:ascii="Arial" w:hAnsi="Arial" w:cs="Arial"/>
        </w:rPr>
      </w:pPr>
    </w:p>
    <w:p w14:paraId="48248C77" w14:textId="77777777" w:rsidR="00BA0B80" w:rsidRDefault="00BA0B80">
      <w:pPr>
        <w:rPr>
          <w:rFonts w:ascii="Arial" w:hAnsi="Arial" w:cs="Arial"/>
          <w:b/>
        </w:rPr>
      </w:pPr>
      <w:r>
        <w:rPr>
          <w:rFonts w:ascii="Arial" w:hAnsi="Arial" w:cs="Arial"/>
          <w:b/>
        </w:rPr>
        <w:t xml:space="preserve">Definitions: </w:t>
      </w:r>
    </w:p>
    <w:p w14:paraId="186515E5" w14:textId="77777777" w:rsidR="00BA0B80" w:rsidRDefault="00BA0B80">
      <w:pPr>
        <w:rPr>
          <w:rFonts w:ascii="Arial" w:hAnsi="Arial" w:cs="Arial"/>
          <w:b/>
        </w:rPr>
      </w:pPr>
    </w:p>
    <w:p w14:paraId="175C75BD" w14:textId="3D2D92CA" w:rsidR="008F6E12" w:rsidRDefault="008F6E12">
      <w:pPr>
        <w:rPr>
          <w:rFonts w:ascii="Arial" w:hAnsi="Arial" w:cs="Arial"/>
        </w:rPr>
      </w:pPr>
      <w:r w:rsidRPr="008A65CB">
        <w:rPr>
          <w:rFonts w:ascii="Arial" w:hAnsi="Arial" w:cs="Arial"/>
          <w:b/>
        </w:rPr>
        <w:t>Common</w:t>
      </w:r>
      <w:r>
        <w:rPr>
          <w:rFonts w:ascii="Arial" w:hAnsi="Arial" w:cs="Arial"/>
        </w:rPr>
        <w:t>- certain risks are affected and affect every nation… “These include not only the climate and the ozone shield, but all risk-related global public goods, including peace, public health, and terrorism. In reducing the mutual risks, all nations should "cooperate in a spirit of global partnership”</w:t>
      </w:r>
      <w:r>
        <w:rPr>
          <w:rStyle w:val="FootnoteReference"/>
          <w:rFonts w:ascii="Arial" w:hAnsi="Arial" w:cs="Arial"/>
        </w:rPr>
        <w:footnoteReference w:id="2"/>
      </w:r>
    </w:p>
    <w:p w14:paraId="511D82B7" w14:textId="77777777" w:rsidR="00F5357A" w:rsidRDefault="00F5357A">
      <w:pPr>
        <w:rPr>
          <w:rFonts w:ascii="Arial" w:hAnsi="Arial" w:cs="Arial"/>
        </w:rPr>
      </w:pPr>
    </w:p>
    <w:p w14:paraId="742C8304" w14:textId="77777777" w:rsidR="00F5357A" w:rsidRDefault="00F5357A">
      <w:pPr>
        <w:rPr>
          <w:rFonts w:ascii="Arial" w:hAnsi="Arial" w:cs="Arial"/>
        </w:rPr>
      </w:pPr>
      <w:r w:rsidRPr="008A65CB">
        <w:rPr>
          <w:rFonts w:ascii="Arial" w:hAnsi="Arial" w:cs="Arial"/>
          <w:b/>
        </w:rPr>
        <w:t>Responsibilities</w:t>
      </w:r>
      <w:r>
        <w:rPr>
          <w:rFonts w:ascii="Arial" w:hAnsi="Arial" w:cs="Arial"/>
        </w:rPr>
        <w:t xml:space="preserve"> </w:t>
      </w:r>
      <w:proofErr w:type="gramStart"/>
      <w:r>
        <w:rPr>
          <w:rFonts w:ascii="Arial" w:hAnsi="Arial" w:cs="Arial"/>
        </w:rPr>
        <w:t xml:space="preserve">are said to be </w:t>
      </w:r>
      <w:r w:rsidRPr="008A65CB">
        <w:rPr>
          <w:rFonts w:ascii="Arial" w:hAnsi="Arial" w:cs="Arial"/>
          <w:b/>
        </w:rPr>
        <w:t>“differentiated</w:t>
      </w:r>
      <w:proofErr w:type="gramEnd"/>
      <w:r>
        <w:rPr>
          <w:rFonts w:ascii="Arial" w:hAnsi="Arial" w:cs="Arial"/>
        </w:rPr>
        <w:t>” – not all countries should contribute equally – rich carry a greater burden</w:t>
      </w:r>
      <w:r w:rsidR="008A65CB">
        <w:rPr>
          <w:rFonts w:ascii="Arial" w:hAnsi="Arial" w:cs="Arial"/>
        </w:rPr>
        <w:t>. Differentiated can cause problems to define- differentiation in the CDR literature appears to be reserved for multilateral agreements that are non-uniform in how the undertakings are formally verbalized</w:t>
      </w:r>
      <w:proofErr w:type="gramStart"/>
      <w:r w:rsidR="008A65CB">
        <w:rPr>
          <w:rFonts w:ascii="Arial" w:hAnsi="Arial" w:cs="Arial"/>
        </w:rPr>
        <w:t xml:space="preserve">,  </w:t>
      </w:r>
      <w:proofErr w:type="spellStart"/>
      <w:r w:rsidR="008A65CB">
        <w:rPr>
          <w:rFonts w:ascii="Arial" w:hAnsi="Arial" w:cs="Arial"/>
          <w:sz w:val="16"/>
          <w:szCs w:val="16"/>
          <w:vertAlign w:val="superscript"/>
        </w:rPr>
        <w:t>n6</w:t>
      </w:r>
      <w:proofErr w:type="spellEnd"/>
      <w:proofErr w:type="gramEnd"/>
      <w:r w:rsidR="008A65CB">
        <w:rPr>
          <w:rFonts w:ascii="Arial" w:hAnsi="Arial" w:cs="Arial"/>
        </w:rPr>
        <w:t xml:space="preserve"> not in how they affect each party </w:t>
      </w:r>
    </w:p>
    <w:p w14:paraId="6AAB16CE" w14:textId="77777777" w:rsidR="008A65CB" w:rsidRDefault="008A65CB">
      <w:pPr>
        <w:rPr>
          <w:rFonts w:ascii="Arial" w:hAnsi="Arial" w:cs="Arial"/>
        </w:rPr>
      </w:pPr>
    </w:p>
    <w:p w14:paraId="4096BB78" w14:textId="77777777" w:rsidR="008A65CB" w:rsidRDefault="008A65CB">
      <w:pPr>
        <w:rPr>
          <w:rFonts w:ascii="Arial" w:hAnsi="Arial" w:cs="Arial"/>
        </w:rPr>
      </w:pPr>
    </w:p>
    <w:p w14:paraId="0D44D106" w14:textId="77777777" w:rsidR="00E44DD8" w:rsidRDefault="00E44DD8">
      <w:pPr>
        <w:rPr>
          <w:rFonts w:ascii="Arial" w:hAnsi="Arial" w:cs="Arial"/>
          <w:b/>
        </w:rPr>
      </w:pPr>
      <w:r>
        <w:rPr>
          <w:rFonts w:ascii="Arial" w:hAnsi="Arial" w:cs="Arial"/>
          <w:b/>
        </w:rPr>
        <w:t>Background:</w:t>
      </w:r>
    </w:p>
    <w:p w14:paraId="1ABD3CBE" w14:textId="77777777" w:rsidR="00E44DD8" w:rsidRDefault="00E44DD8">
      <w:pPr>
        <w:rPr>
          <w:rFonts w:ascii="Arial" w:hAnsi="Arial" w:cs="Arial"/>
          <w:b/>
        </w:rPr>
      </w:pPr>
    </w:p>
    <w:p w14:paraId="71A2D43D" w14:textId="24137D5E" w:rsidR="008A65CB" w:rsidRDefault="008A65CB">
      <w:pPr>
        <w:rPr>
          <w:rFonts w:ascii="Arial" w:hAnsi="Arial" w:cs="Arial"/>
        </w:rPr>
      </w:pPr>
      <w:r>
        <w:rPr>
          <w:rFonts w:ascii="Arial" w:hAnsi="Arial" w:cs="Arial"/>
        </w:rPr>
        <w:t>Although the term CDR is recent, the practice of differentiating responsibilities in multilateral agreements is not. Differential demands appear no later than the Treaty of Versailles (1919) in which the International Labour Organisation (ILO) recognized "that differences of climate, habits and customs, of economic opportunity and industrial tradition, make strict uniformity in the conditions of labour difficult of immediate attainment."</w:t>
      </w:r>
      <w:r>
        <w:rPr>
          <w:rStyle w:val="FootnoteReference"/>
          <w:rFonts w:ascii="Arial" w:hAnsi="Arial" w:cs="Arial"/>
        </w:rPr>
        <w:footnoteReference w:id="3"/>
      </w:r>
    </w:p>
    <w:p w14:paraId="0EB52CB6" w14:textId="77777777" w:rsidR="008A65CB" w:rsidRDefault="008A65CB">
      <w:pPr>
        <w:rPr>
          <w:rFonts w:ascii="Arial" w:hAnsi="Arial" w:cs="Arial"/>
        </w:rPr>
      </w:pPr>
    </w:p>
    <w:p w14:paraId="57810208" w14:textId="6D4EAEAB" w:rsidR="008A65CB" w:rsidRDefault="00BA0B80">
      <w:pPr>
        <w:rPr>
          <w:rFonts w:ascii="Arial" w:hAnsi="Arial" w:cs="Arial"/>
        </w:rPr>
      </w:pPr>
      <w:r>
        <w:rPr>
          <w:rFonts w:ascii="Arial" w:hAnsi="Arial" w:cs="Arial"/>
        </w:rPr>
        <w:t xml:space="preserve">The first </w:t>
      </w:r>
      <w:r w:rsidR="008A65CB">
        <w:rPr>
          <w:rFonts w:ascii="Arial" w:hAnsi="Arial" w:cs="Arial"/>
        </w:rPr>
        <w:t>adoption by a multilateral environmental agreement of "</w:t>
      </w:r>
      <w:r w:rsidR="008A65CB" w:rsidRPr="00BA0B80">
        <w:rPr>
          <w:rFonts w:ascii="Arial" w:hAnsi="Arial" w:cs="Arial"/>
        </w:rPr>
        <w:t>common but differentiated responsibilities</w:t>
      </w:r>
      <w:r w:rsidR="008A65CB">
        <w:rPr>
          <w:rFonts w:ascii="Arial" w:hAnsi="Arial" w:cs="Arial"/>
        </w:rPr>
        <w:t>," in those words, was the United Nations Framework Convention on Climate Change (FCCC) … Art 3(1)</w:t>
      </w:r>
      <w:r w:rsidR="00B758D8">
        <w:rPr>
          <w:rFonts w:ascii="Arial" w:hAnsi="Arial" w:cs="Arial"/>
        </w:rPr>
        <w:t xml:space="preserve"> …on the basis of equity and in accordance with their common but differentiated responsibilities and respective capabilities</w:t>
      </w:r>
    </w:p>
    <w:p w14:paraId="0B37C46D" w14:textId="77777777" w:rsidR="00BE3C68" w:rsidRDefault="00BE3C68">
      <w:pPr>
        <w:rPr>
          <w:rFonts w:ascii="Arial" w:hAnsi="Arial" w:cs="Arial"/>
        </w:rPr>
      </w:pPr>
    </w:p>
    <w:p w14:paraId="75774311" w14:textId="6E564939" w:rsidR="00BE3C68" w:rsidRDefault="00BA0B80">
      <w:pPr>
        <w:rPr>
          <w:rFonts w:ascii="Arial" w:hAnsi="Arial" w:cs="Arial"/>
        </w:rPr>
      </w:pPr>
      <w:r>
        <w:rPr>
          <w:rFonts w:ascii="Arial" w:hAnsi="Arial" w:cs="Arial"/>
        </w:rPr>
        <w:t>This failed because China and I</w:t>
      </w:r>
      <w:r w:rsidR="00BE3C68">
        <w:rPr>
          <w:rFonts w:ascii="Arial" w:hAnsi="Arial" w:cs="Arial"/>
        </w:rPr>
        <w:t xml:space="preserve">ndia couldn’t commit so USA </w:t>
      </w:r>
      <w:proofErr w:type="gramStart"/>
      <w:r>
        <w:rPr>
          <w:rFonts w:ascii="Arial" w:hAnsi="Arial" w:cs="Arial"/>
        </w:rPr>
        <w:t>side-lined</w:t>
      </w:r>
      <w:proofErr w:type="gramEnd"/>
      <w:r w:rsidR="00BE3C68">
        <w:rPr>
          <w:rFonts w:ascii="Arial" w:hAnsi="Arial" w:cs="Arial"/>
        </w:rPr>
        <w:t xml:space="preserve"> itself from Kyoto protocol</w:t>
      </w:r>
      <w:r>
        <w:rPr>
          <w:rStyle w:val="FootnoteReference"/>
          <w:rFonts w:ascii="Arial" w:hAnsi="Arial" w:cs="Arial"/>
        </w:rPr>
        <w:footnoteReference w:id="4"/>
      </w:r>
      <w:r w:rsidR="00BE3C68">
        <w:rPr>
          <w:rFonts w:ascii="Arial" w:hAnsi="Arial" w:cs="Arial"/>
        </w:rPr>
        <w:t xml:space="preserve">. </w:t>
      </w:r>
    </w:p>
    <w:p w14:paraId="7B54C93A" w14:textId="77777777" w:rsidR="00BE3C68" w:rsidRDefault="00BE3C68">
      <w:pPr>
        <w:rPr>
          <w:rFonts w:ascii="Arial" w:hAnsi="Arial" w:cs="Arial"/>
        </w:rPr>
      </w:pPr>
      <w:r>
        <w:rPr>
          <w:rFonts w:ascii="Arial" w:hAnsi="Arial" w:cs="Arial"/>
        </w:rPr>
        <w:t>The FCCC regime has thus reached a stalemate--some would say collapse,</w:t>
      </w:r>
      <w:r>
        <w:rPr>
          <w:rStyle w:val="FootnoteReference"/>
          <w:rFonts w:ascii="Arial" w:hAnsi="Arial" w:cs="Arial"/>
        </w:rPr>
        <w:footnoteReference w:id="5"/>
      </w:r>
      <w:r>
        <w:rPr>
          <w:rFonts w:ascii="Arial" w:hAnsi="Arial" w:cs="Arial"/>
        </w:rPr>
        <w:t>-while the world continues to warm.</w:t>
      </w:r>
      <w:r>
        <w:rPr>
          <w:rStyle w:val="FootnoteReference"/>
          <w:rFonts w:ascii="Arial" w:hAnsi="Arial" w:cs="Arial"/>
        </w:rPr>
        <w:footnoteReference w:id="6"/>
      </w:r>
    </w:p>
    <w:p w14:paraId="7EB89F31" w14:textId="77777777" w:rsidR="00BE3C68" w:rsidRDefault="00BE3C68">
      <w:pPr>
        <w:rPr>
          <w:rFonts w:ascii="Arial" w:hAnsi="Arial" w:cs="Arial"/>
        </w:rPr>
      </w:pPr>
    </w:p>
    <w:p w14:paraId="0BC01503" w14:textId="77777777" w:rsidR="003B0F38" w:rsidRDefault="003B0F38">
      <w:pPr>
        <w:rPr>
          <w:rFonts w:ascii="Arial" w:hAnsi="Arial" w:cs="Arial"/>
        </w:rPr>
      </w:pPr>
    </w:p>
    <w:p w14:paraId="62F2D174" w14:textId="7358E526" w:rsidR="003B0F38" w:rsidRDefault="003B0F38">
      <w:pPr>
        <w:rPr>
          <w:rFonts w:ascii="Arial" w:hAnsi="Arial" w:cs="Arial"/>
        </w:rPr>
      </w:pPr>
      <w:r>
        <w:rPr>
          <w:rFonts w:ascii="Arial" w:hAnsi="Arial" w:cs="Arial"/>
        </w:rPr>
        <w:t>“On first acquaintance, the wide appeal of CDR seems unsurprising. Is it not right that the law should subject the rich to higher demands than the poor? But a moment's reflection will show that the principle is neither universal nor self-evident. True, the rich pay a higher marginal tax rate than the poor. But differentiations in municipal legal systems are the exception. Poverty does not excuse theft. Domestic environmental regulations do not hold marginally profitable polluters to lower standards than their wealthy competitors</w:t>
      </w:r>
      <w:r w:rsidR="00E44DD8">
        <w:rPr>
          <w:rFonts w:ascii="Arial" w:hAnsi="Arial" w:cs="Arial"/>
        </w:rPr>
        <w:t>.</w:t>
      </w:r>
      <w:r>
        <w:rPr>
          <w:rFonts w:ascii="Arial" w:hAnsi="Arial" w:cs="Arial"/>
        </w:rPr>
        <w:t>”</w:t>
      </w:r>
      <w:r w:rsidR="00E44DD8">
        <w:rPr>
          <w:rFonts w:ascii="Arial" w:hAnsi="Arial" w:cs="Arial"/>
        </w:rPr>
        <w:t xml:space="preserve">  </w:t>
      </w:r>
      <w:r w:rsidR="00E44DD8" w:rsidRPr="00E44DD8">
        <w:rPr>
          <w:rFonts w:ascii="Arial" w:hAnsi="Arial" w:cs="Arial"/>
          <w:u w:val="single"/>
        </w:rPr>
        <w:t>So why should we expect more differentiation at international level</w:t>
      </w:r>
      <w:r w:rsidR="00E44DD8">
        <w:rPr>
          <w:rFonts w:ascii="Arial" w:hAnsi="Arial" w:cs="Arial"/>
        </w:rPr>
        <w:t>?</w:t>
      </w:r>
    </w:p>
    <w:p w14:paraId="185A4648" w14:textId="77777777" w:rsidR="003B0F38" w:rsidRDefault="003B0F38">
      <w:pPr>
        <w:rPr>
          <w:rFonts w:ascii="Arial" w:hAnsi="Arial" w:cs="Arial"/>
        </w:rPr>
      </w:pPr>
    </w:p>
    <w:p w14:paraId="6CB0C432" w14:textId="1A99D9AE" w:rsidR="003B0F38" w:rsidRDefault="00BA0B80" w:rsidP="00BA0B80">
      <w:pPr>
        <w:widowControl/>
        <w:spacing w:before="120"/>
        <w:rPr>
          <w:rFonts w:ascii="Arial" w:hAnsi="Arial" w:cs="Arial"/>
        </w:rPr>
      </w:pPr>
      <w:r>
        <w:rPr>
          <w:rFonts w:ascii="Arial" w:hAnsi="Arial" w:cs="Arial"/>
        </w:rPr>
        <w:t>“</w:t>
      </w:r>
      <w:r w:rsidR="003B0F38">
        <w:rPr>
          <w:rFonts w:ascii="Arial" w:hAnsi="Arial" w:cs="Arial"/>
        </w:rPr>
        <w:t>To begin with the principles of "</w:t>
      </w:r>
      <w:r w:rsidR="003B0F38" w:rsidRPr="003B0F38">
        <w:rPr>
          <w:rFonts w:ascii="Arial" w:hAnsi="Arial" w:cs="Arial"/>
          <w:b/>
        </w:rPr>
        <w:t>customary international law</w:t>
      </w:r>
      <w:r w:rsidR="003B0F38">
        <w:rPr>
          <w:rFonts w:ascii="Arial" w:hAnsi="Arial" w:cs="Arial"/>
        </w:rPr>
        <w:t xml:space="preserve">," I can think of none that </w:t>
      </w:r>
      <w:r w:rsidR="003B0F38">
        <w:rPr>
          <w:rFonts w:ascii="Arial" w:hAnsi="Arial" w:cs="Arial"/>
          <w:i/>
          <w:iCs/>
        </w:rPr>
        <w:t>does</w:t>
      </w:r>
      <w:r w:rsidR="003B0F38">
        <w:rPr>
          <w:rFonts w:ascii="Arial" w:hAnsi="Arial" w:cs="Arial"/>
        </w:rPr>
        <w:t xml:space="preserve"> differentiate on the basis of wealth. Surely, the customary rules against piracy and abusing diplomats carve out no exceptions for the needy.</w:t>
      </w:r>
      <w:r>
        <w:rPr>
          <w:rFonts w:ascii="Arial" w:hAnsi="Arial" w:cs="Arial"/>
        </w:rPr>
        <w:t xml:space="preserve"> </w:t>
      </w:r>
      <w:r w:rsidR="003B0F38">
        <w:rPr>
          <w:rFonts w:ascii="Arial" w:hAnsi="Arial" w:cs="Arial"/>
        </w:rPr>
        <w:t>Nonetheless, despite arguments to differentiate, uniform terms remain the rule</w:t>
      </w:r>
      <w:r>
        <w:rPr>
          <w:rFonts w:ascii="Arial" w:hAnsi="Arial" w:cs="Arial"/>
        </w:rPr>
        <w:t>”</w:t>
      </w:r>
    </w:p>
    <w:p w14:paraId="242457DA" w14:textId="77777777" w:rsidR="00F30C34" w:rsidRDefault="00F30C34" w:rsidP="00BA0B80">
      <w:pPr>
        <w:widowControl/>
        <w:spacing w:before="120"/>
        <w:rPr>
          <w:rFonts w:ascii="Arial" w:hAnsi="Arial" w:cs="Arial"/>
        </w:rPr>
      </w:pPr>
    </w:p>
    <w:p w14:paraId="3D35D304" w14:textId="6E50CA9F" w:rsidR="00F30C34" w:rsidRDefault="00F30C34" w:rsidP="00BA0B80">
      <w:pPr>
        <w:widowControl/>
        <w:spacing w:before="120"/>
        <w:rPr>
          <w:rFonts w:ascii="Arial" w:hAnsi="Arial" w:cs="Arial"/>
        </w:rPr>
      </w:pPr>
      <w:r>
        <w:rPr>
          <w:rFonts w:ascii="Arial" w:hAnsi="Arial" w:cs="Arial"/>
        </w:rPr>
        <w:t xml:space="preserve">“The likelihood of </w:t>
      </w:r>
      <w:proofErr w:type="spellStart"/>
      <w:r>
        <w:rPr>
          <w:rFonts w:ascii="Arial" w:hAnsi="Arial" w:cs="Arial"/>
        </w:rPr>
        <w:t>nonuniform</w:t>
      </w:r>
      <w:proofErr w:type="spellEnd"/>
      <w:r>
        <w:rPr>
          <w:rFonts w:ascii="Arial" w:hAnsi="Arial" w:cs="Arial"/>
        </w:rPr>
        <w:t xml:space="preserve"> terms is increased in agreements, such as framework conventions, the details of which are typically worked out in sequential, multilateral negotiations--first for a broad general set of terms, then for increasingly detailed protocols. The complex, seriatim process should provide each potential party, particularly the n-</w:t>
      </w:r>
      <w:proofErr w:type="spellStart"/>
      <w:r>
        <w:rPr>
          <w:rFonts w:ascii="Arial" w:hAnsi="Arial" w:cs="Arial"/>
        </w:rPr>
        <w:t>th</w:t>
      </w:r>
      <w:proofErr w:type="spellEnd"/>
      <w:r>
        <w:rPr>
          <w:rFonts w:ascii="Arial" w:hAnsi="Arial" w:cs="Arial"/>
        </w:rPr>
        <w:t xml:space="preserve"> signer of a requisite n-party protocol, considerable temptation to jockey away from the "standard" terms and extract </w:t>
      </w:r>
      <w:r w:rsidRPr="00F30C34">
        <w:rPr>
          <w:rFonts w:ascii="Arial" w:hAnsi="Arial" w:cs="Arial"/>
          <w:b/>
        </w:rPr>
        <w:t>some tailored advantage</w:t>
      </w:r>
      <w:r>
        <w:rPr>
          <w:rFonts w:ascii="Arial" w:hAnsi="Arial" w:cs="Arial"/>
        </w:rPr>
        <w:t xml:space="preserve"> as the price of keeping the momentum moving.</w:t>
      </w:r>
      <w:r>
        <w:rPr>
          <w:rStyle w:val="FootnoteReference"/>
          <w:rFonts w:ascii="Arial" w:hAnsi="Arial" w:cs="Arial"/>
        </w:rPr>
        <w:footnoteReference w:id="7"/>
      </w:r>
      <w:r>
        <w:rPr>
          <w:rFonts w:ascii="Arial" w:hAnsi="Arial" w:cs="Arial"/>
        </w:rPr>
        <w:t xml:space="preserve"> For these reasons, we should expect "selective incentives," as </w:t>
      </w:r>
      <w:proofErr w:type="spellStart"/>
      <w:r>
        <w:rPr>
          <w:rFonts w:ascii="Arial" w:hAnsi="Arial" w:cs="Arial"/>
        </w:rPr>
        <w:t>Mancur</w:t>
      </w:r>
      <w:proofErr w:type="spellEnd"/>
      <w:r>
        <w:rPr>
          <w:rFonts w:ascii="Arial" w:hAnsi="Arial" w:cs="Arial"/>
        </w:rPr>
        <w:t xml:space="preserve"> Olson termed them, to be rife”… </w:t>
      </w:r>
    </w:p>
    <w:p w14:paraId="2AF4042C" w14:textId="77777777" w:rsidR="00F30C34" w:rsidRDefault="00F30C34" w:rsidP="00BA0B80">
      <w:pPr>
        <w:widowControl/>
        <w:spacing w:before="120"/>
        <w:rPr>
          <w:rFonts w:ascii="Arial" w:hAnsi="Arial" w:cs="Arial"/>
        </w:rPr>
      </w:pPr>
    </w:p>
    <w:p w14:paraId="1B74A2CF" w14:textId="269617E6" w:rsidR="00F30C34" w:rsidRPr="00BA0B80" w:rsidRDefault="00F30C34" w:rsidP="00BA0B80">
      <w:pPr>
        <w:widowControl/>
        <w:spacing w:before="120"/>
        <w:rPr>
          <w:rFonts w:ascii="Arial" w:hAnsi="Arial" w:cs="Arial"/>
        </w:rPr>
      </w:pPr>
      <w:r>
        <w:rPr>
          <w:rFonts w:ascii="Arial" w:hAnsi="Arial" w:cs="Arial"/>
        </w:rPr>
        <w:t xml:space="preserve">Despite the arguments presented that is not the case and uniform terms remain rule. See below </w:t>
      </w:r>
    </w:p>
    <w:p w14:paraId="54639FC9" w14:textId="77777777" w:rsidR="003B0F38" w:rsidRDefault="003B0F38">
      <w:pPr>
        <w:rPr>
          <w:rFonts w:ascii="Arial" w:hAnsi="Arial" w:cs="Arial"/>
        </w:rPr>
      </w:pPr>
    </w:p>
    <w:p w14:paraId="0CF5B1F9" w14:textId="7ECC00DA" w:rsidR="003B0F38" w:rsidRDefault="003B0F38">
      <w:pPr>
        <w:rPr>
          <w:rFonts w:ascii="Arial" w:hAnsi="Arial" w:cs="Arial"/>
        </w:rPr>
      </w:pPr>
      <w:r>
        <w:rPr>
          <w:rFonts w:ascii="Arial" w:hAnsi="Arial" w:cs="Arial"/>
        </w:rPr>
        <w:t xml:space="preserve">The Stockholm Declaration's principle 21 speaks in universal terms that "States have . . . the responsibility to ensure that activities within their jurisdiction or control do not cause damage to the environment of other States or of areas beyond the limits of national jurisdiction." There is no qualification that a lack of resources to mitigate damage constitutes a </w:t>
      </w:r>
      <w:r w:rsidR="00BA0B80">
        <w:rPr>
          <w:rFonts w:ascii="Arial" w:hAnsi="Arial" w:cs="Arial"/>
        </w:rPr>
        <w:t>defence</w:t>
      </w:r>
      <w:r>
        <w:rPr>
          <w:rFonts w:ascii="Arial" w:hAnsi="Arial" w:cs="Arial"/>
        </w:rPr>
        <w:t xml:space="preserve">. </w:t>
      </w:r>
    </w:p>
    <w:p w14:paraId="48B949AA" w14:textId="77777777" w:rsidR="00890ED2" w:rsidRDefault="00890ED2">
      <w:pPr>
        <w:rPr>
          <w:rFonts w:ascii="Arial" w:hAnsi="Arial" w:cs="Arial"/>
        </w:rPr>
      </w:pPr>
    </w:p>
    <w:p w14:paraId="074BDF0B" w14:textId="77777777" w:rsidR="00890ED2" w:rsidRDefault="00890ED2">
      <w:pPr>
        <w:rPr>
          <w:rFonts w:ascii="Arial" w:hAnsi="Arial" w:cs="Arial"/>
        </w:rPr>
      </w:pPr>
    </w:p>
    <w:p w14:paraId="04B86C23" w14:textId="77777777" w:rsidR="00890ED2" w:rsidRPr="00E44DD8" w:rsidRDefault="00890ED2">
      <w:pPr>
        <w:rPr>
          <w:rFonts w:ascii="Arial" w:hAnsi="Arial" w:cs="Arial"/>
          <w:b/>
        </w:rPr>
      </w:pPr>
      <w:r w:rsidRPr="00E44DD8">
        <w:rPr>
          <w:rFonts w:ascii="Arial" w:hAnsi="Arial" w:cs="Arial"/>
          <w:b/>
        </w:rPr>
        <w:t>Three versions of CDR:</w:t>
      </w:r>
    </w:p>
    <w:p w14:paraId="3219249A" w14:textId="77777777" w:rsidR="00890ED2" w:rsidRDefault="00890ED2">
      <w:pPr>
        <w:rPr>
          <w:rFonts w:ascii="Arial" w:hAnsi="Arial" w:cs="Arial"/>
        </w:rPr>
      </w:pPr>
    </w:p>
    <w:p w14:paraId="099DF008" w14:textId="77777777" w:rsidR="00890ED2" w:rsidRPr="00890ED2" w:rsidRDefault="00890ED2" w:rsidP="00890ED2">
      <w:pPr>
        <w:pStyle w:val="ListParagraph"/>
        <w:numPr>
          <w:ilvl w:val="0"/>
          <w:numId w:val="1"/>
        </w:numPr>
        <w:rPr>
          <w:rFonts w:ascii="Arial" w:hAnsi="Arial" w:cs="Arial"/>
        </w:rPr>
      </w:pPr>
      <w:proofErr w:type="gramStart"/>
      <w:r>
        <w:rPr>
          <w:rFonts w:ascii="Arial" w:hAnsi="Arial" w:cs="Arial"/>
          <w:i/>
          <w:iCs/>
        </w:rPr>
        <w:t>rational</w:t>
      </w:r>
      <w:proofErr w:type="gramEnd"/>
      <w:r>
        <w:rPr>
          <w:rFonts w:ascii="Arial" w:hAnsi="Arial" w:cs="Arial"/>
          <w:i/>
          <w:iCs/>
        </w:rPr>
        <w:t xml:space="preserve"> bargaining CDR- </w:t>
      </w:r>
      <w:r>
        <w:rPr>
          <w:rFonts w:ascii="Arial" w:hAnsi="Arial" w:cs="Arial"/>
          <w:iCs/>
        </w:rPr>
        <w:t>mutually beneficial negotiations- with one party contributing or receiving more than the other. Should be seen as efficient – they leave at least one party better off but the other party no worse off. Often allows the richer states more benefit</w:t>
      </w:r>
    </w:p>
    <w:p w14:paraId="0B0E0C58" w14:textId="77777777" w:rsidR="00890ED2" w:rsidRPr="00890ED2" w:rsidRDefault="00890ED2" w:rsidP="00890ED2">
      <w:pPr>
        <w:pStyle w:val="ListParagraph"/>
        <w:rPr>
          <w:rFonts w:ascii="Arial" w:hAnsi="Arial" w:cs="Arial"/>
        </w:rPr>
      </w:pPr>
    </w:p>
    <w:p w14:paraId="34FC509B" w14:textId="77777777" w:rsidR="00890ED2" w:rsidRDefault="00890ED2" w:rsidP="00890ED2">
      <w:pPr>
        <w:pStyle w:val="ListParagraph"/>
        <w:numPr>
          <w:ilvl w:val="0"/>
          <w:numId w:val="1"/>
        </w:numPr>
        <w:rPr>
          <w:rFonts w:ascii="Arial" w:hAnsi="Arial" w:cs="Arial"/>
        </w:rPr>
      </w:pPr>
      <w:proofErr w:type="gramStart"/>
      <w:r>
        <w:rPr>
          <w:rFonts w:ascii="Arial" w:hAnsi="Arial" w:cs="Arial"/>
          <w:i/>
          <w:iCs/>
        </w:rPr>
        <w:t>equitable</w:t>
      </w:r>
      <w:proofErr w:type="gramEnd"/>
      <w:r>
        <w:rPr>
          <w:rFonts w:ascii="Arial" w:hAnsi="Arial" w:cs="Arial"/>
          <w:i/>
          <w:iCs/>
        </w:rPr>
        <w:t xml:space="preserve"> CDR- </w:t>
      </w:r>
      <w:r>
        <w:rPr>
          <w:rFonts w:ascii="Arial" w:hAnsi="Arial" w:cs="Arial"/>
        </w:rPr>
        <w:t>constraining the parties to choose, from within this set, treaty terms that tilt the cooperative surplus more favourably toward a designated group of parties, paradigmatically the Poor. A fairness norm. Used in the Rio Declaration (page 7 Stone article)</w:t>
      </w:r>
    </w:p>
    <w:p w14:paraId="4EAD0C78" w14:textId="77777777" w:rsidR="00890ED2" w:rsidRPr="00890ED2" w:rsidRDefault="00890ED2" w:rsidP="00890ED2">
      <w:pPr>
        <w:pStyle w:val="ListParagraph"/>
        <w:rPr>
          <w:rFonts w:ascii="Arial" w:hAnsi="Arial" w:cs="Arial"/>
        </w:rPr>
      </w:pPr>
    </w:p>
    <w:p w14:paraId="5FC44058" w14:textId="77777777" w:rsidR="00890ED2" w:rsidRDefault="00890ED2" w:rsidP="00890ED2">
      <w:pPr>
        <w:pStyle w:val="ListParagraph"/>
        <w:numPr>
          <w:ilvl w:val="0"/>
          <w:numId w:val="1"/>
        </w:numPr>
        <w:rPr>
          <w:rFonts w:ascii="Arial" w:hAnsi="Arial" w:cs="Arial"/>
        </w:rPr>
      </w:pPr>
      <w:proofErr w:type="gramStart"/>
      <w:r>
        <w:rPr>
          <w:rFonts w:ascii="Arial" w:hAnsi="Arial" w:cs="Arial"/>
          <w:i/>
          <w:iCs/>
        </w:rPr>
        <w:t>inefficient</w:t>
      </w:r>
      <w:proofErr w:type="gramEnd"/>
      <w:r>
        <w:rPr>
          <w:rFonts w:ascii="Arial" w:hAnsi="Arial" w:cs="Arial"/>
          <w:i/>
          <w:iCs/>
        </w:rPr>
        <w:t xml:space="preserve"> CDR- </w:t>
      </w:r>
      <w:r>
        <w:rPr>
          <w:rFonts w:ascii="Arial" w:hAnsi="Arial" w:cs="Arial"/>
        </w:rPr>
        <w:t>further in advantaging one group--again, say, the Poor. It would carry differentiation beyond the point of awarding them the entire net surplus of cooperation. In the interests of "righting" the inequity of the status quo ante, the Rich-Poor transfers would leave the Rich worse off than before negotiations began. The idea (as reflected in the Johannesburg summit) is that environmental negotiations, like any others, should be conscripted into the service of the overarching goal, wealth equalization. Commits the rich to favour the poor</w:t>
      </w:r>
    </w:p>
    <w:p w14:paraId="06E54744" w14:textId="77777777" w:rsidR="00890ED2" w:rsidRDefault="00890ED2" w:rsidP="00A10D3D">
      <w:pPr>
        <w:rPr>
          <w:rFonts w:ascii="Arial" w:hAnsi="Arial" w:cs="Arial"/>
        </w:rPr>
      </w:pPr>
    </w:p>
    <w:p w14:paraId="24EBA045" w14:textId="77777777" w:rsidR="00A10D3D" w:rsidRDefault="00A10D3D" w:rsidP="00A10D3D">
      <w:pPr>
        <w:rPr>
          <w:rFonts w:ascii="Arial" w:hAnsi="Arial" w:cs="Arial"/>
          <w:u w:val="single"/>
        </w:rPr>
      </w:pPr>
      <w:r>
        <w:rPr>
          <w:rFonts w:ascii="Arial" w:hAnsi="Arial" w:cs="Arial"/>
          <w:u w:val="single"/>
        </w:rPr>
        <w:t>Conclusion:</w:t>
      </w:r>
    </w:p>
    <w:p w14:paraId="7E70431D" w14:textId="77777777" w:rsidR="00A10D3D" w:rsidRDefault="00A10D3D" w:rsidP="00A10D3D">
      <w:pPr>
        <w:rPr>
          <w:rFonts w:ascii="Arial" w:hAnsi="Arial" w:cs="Arial"/>
        </w:rPr>
      </w:pPr>
    </w:p>
    <w:p w14:paraId="33CBBDC0" w14:textId="77777777" w:rsidR="00A10D3D" w:rsidRDefault="00A10D3D" w:rsidP="00A10D3D">
      <w:pPr>
        <w:rPr>
          <w:rFonts w:ascii="Arial" w:hAnsi="Arial" w:cs="Arial"/>
        </w:rPr>
      </w:pPr>
      <w:r>
        <w:rPr>
          <w:rFonts w:ascii="Arial" w:hAnsi="Arial" w:cs="Arial"/>
        </w:rPr>
        <w:t>"Common but differentiated responsibilities" puts a fresh label on a longstanding practice. The idea is that some countries should contribute more than others to the provision of global public goods, usually but not inevitably divided along a Rich-Poor axis</w:t>
      </w:r>
    </w:p>
    <w:p w14:paraId="2A3B3F4D" w14:textId="77777777" w:rsidR="00765039" w:rsidRDefault="00765039" w:rsidP="00A10D3D">
      <w:pPr>
        <w:rPr>
          <w:rFonts w:ascii="Arial" w:hAnsi="Arial" w:cs="Arial"/>
        </w:rPr>
      </w:pPr>
    </w:p>
    <w:p w14:paraId="3DF82A90" w14:textId="77777777" w:rsidR="00765039" w:rsidRPr="00A10D3D" w:rsidRDefault="00765039" w:rsidP="00A10D3D">
      <w:pPr>
        <w:rPr>
          <w:rFonts w:ascii="Arial" w:hAnsi="Arial" w:cs="Arial"/>
        </w:rPr>
      </w:pPr>
      <w:r>
        <w:rPr>
          <w:rFonts w:ascii="Arial" w:hAnsi="Arial" w:cs="Arial"/>
        </w:rPr>
        <w:t>The practice of differentiating responsibilities has not, despite occasional claims by its proponents, been elevated to the status of a customary principle of international law. In general, the terms of customary international law and multilateral conventions apply universally</w:t>
      </w:r>
    </w:p>
    <w:sectPr w:rsidR="00765039" w:rsidRPr="00A10D3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DCB008" w14:textId="77777777" w:rsidR="008F6E12" w:rsidRDefault="008F6E12" w:rsidP="008F6E12">
      <w:r>
        <w:separator/>
      </w:r>
    </w:p>
  </w:endnote>
  <w:endnote w:type="continuationSeparator" w:id="0">
    <w:p w14:paraId="58D54480" w14:textId="77777777" w:rsidR="008F6E12" w:rsidRDefault="008F6E12" w:rsidP="008F6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A8BF3E" w14:textId="77777777" w:rsidR="008F6E12" w:rsidRDefault="008F6E12" w:rsidP="008F6E12">
      <w:r>
        <w:separator/>
      </w:r>
    </w:p>
  </w:footnote>
  <w:footnote w:type="continuationSeparator" w:id="0">
    <w:p w14:paraId="62FC9AA0" w14:textId="77777777" w:rsidR="008F6E12" w:rsidRDefault="008F6E12" w:rsidP="008F6E12">
      <w:r>
        <w:continuationSeparator/>
      </w:r>
    </w:p>
  </w:footnote>
  <w:footnote w:id="1">
    <w:p w14:paraId="713BE816" w14:textId="77777777" w:rsidR="008F6E12" w:rsidRPr="00BA0B80" w:rsidRDefault="008F6E12" w:rsidP="00F5357A">
      <w:pPr>
        <w:rPr>
          <w:rFonts w:asciiTheme="minorHAnsi" w:hAnsiTheme="minorHAnsi" w:cstheme="minorHAnsi"/>
        </w:rPr>
      </w:pPr>
      <w:r w:rsidRPr="00BA0B80">
        <w:rPr>
          <w:rStyle w:val="FootnoteReference"/>
          <w:rFonts w:asciiTheme="minorHAnsi" w:hAnsiTheme="minorHAnsi" w:cstheme="minorHAnsi"/>
        </w:rPr>
        <w:footnoteRef/>
      </w:r>
      <w:r w:rsidRPr="00BA0B80">
        <w:rPr>
          <w:rFonts w:asciiTheme="minorHAnsi" w:hAnsiTheme="minorHAnsi" w:cstheme="minorHAnsi"/>
        </w:rPr>
        <w:t xml:space="preserve"> United Nations Framework Convention on Biological Diversity, opened for signature June 5, 1992, 31 ILM 818 (1992)</w:t>
      </w:r>
    </w:p>
  </w:footnote>
  <w:footnote w:id="2">
    <w:p w14:paraId="22437F5E" w14:textId="77777777" w:rsidR="008F6E12" w:rsidRPr="00BA0B80" w:rsidRDefault="008F6E12" w:rsidP="00BA0B80">
      <w:pPr>
        <w:widowControl/>
        <w:rPr>
          <w:rFonts w:asciiTheme="minorHAnsi" w:eastAsia="Times New Roman" w:hAnsiTheme="minorHAnsi" w:cstheme="minorHAnsi"/>
        </w:rPr>
      </w:pPr>
      <w:r w:rsidRPr="00BA0B80">
        <w:rPr>
          <w:rStyle w:val="FootnoteReference"/>
          <w:rFonts w:asciiTheme="minorHAnsi" w:hAnsiTheme="minorHAnsi" w:cstheme="minorHAnsi"/>
        </w:rPr>
        <w:footnoteRef/>
      </w:r>
      <w:r w:rsidRPr="00BA0B80">
        <w:rPr>
          <w:rFonts w:asciiTheme="minorHAnsi" w:hAnsiTheme="minorHAnsi" w:cstheme="minorHAnsi"/>
        </w:rPr>
        <w:t xml:space="preserve"> </w:t>
      </w:r>
      <w:r w:rsidR="00F5357A" w:rsidRPr="00BA0B80">
        <w:rPr>
          <w:rFonts w:asciiTheme="minorHAnsi" w:eastAsia="Times New Roman" w:hAnsiTheme="minorHAnsi" w:cstheme="minorHAnsi"/>
        </w:rPr>
        <w:t xml:space="preserve">The phrase appears in the Report of the World Summit on Sustainable Development, </w:t>
      </w:r>
      <w:proofErr w:type="spellStart"/>
      <w:r w:rsidR="00F5357A" w:rsidRPr="00BA0B80">
        <w:rPr>
          <w:rFonts w:asciiTheme="minorHAnsi" w:eastAsia="Times New Roman" w:hAnsiTheme="minorHAnsi" w:cstheme="minorHAnsi"/>
        </w:rPr>
        <w:t>ch.</w:t>
      </w:r>
      <w:proofErr w:type="spellEnd"/>
      <w:r w:rsidR="00F5357A" w:rsidRPr="00BA0B80">
        <w:rPr>
          <w:rFonts w:asciiTheme="minorHAnsi" w:eastAsia="Times New Roman" w:hAnsiTheme="minorHAnsi" w:cstheme="minorHAnsi"/>
        </w:rPr>
        <w:t xml:space="preserve"> </w:t>
      </w:r>
      <w:proofErr w:type="gramStart"/>
      <w:r w:rsidR="00F5357A" w:rsidRPr="00BA0B80">
        <w:rPr>
          <w:rFonts w:asciiTheme="minorHAnsi" w:eastAsia="Times New Roman" w:hAnsiTheme="minorHAnsi" w:cstheme="minorHAnsi"/>
        </w:rPr>
        <w:t xml:space="preserve">I, pt. 2, Annex, </w:t>
      </w:r>
      <w:proofErr w:type="spellStart"/>
      <w:r w:rsidR="00F5357A" w:rsidRPr="00BA0B80">
        <w:rPr>
          <w:rFonts w:asciiTheme="minorHAnsi" w:eastAsia="Times New Roman" w:hAnsiTheme="minorHAnsi" w:cstheme="minorHAnsi"/>
        </w:rPr>
        <w:t>para</w:t>
      </w:r>
      <w:proofErr w:type="spellEnd"/>
      <w:r w:rsidR="00F5357A" w:rsidRPr="00BA0B80">
        <w:rPr>
          <w:rFonts w:asciiTheme="minorHAnsi" w:eastAsia="Times New Roman" w:hAnsiTheme="minorHAnsi" w:cstheme="minorHAnsi"/>
        </w:rPr>
        <w:t>.</w:t>
      </w:r>
      <w:proofErr w:type="gramEnd"/>
      <w:r w:rsidR="00F5357A" w:rsidRPr="00BA0B80">
        <w:rPr>
          <w:rFonts w:asciiTheme="minorHAnsi" w:eastAsia="Times New Roman" w:hAnsiTheme="minorHAnsi" w:cstheme="minorHAnsi"/>
        </w:rPr>
        <w:t xml:space="preserve"> </w:t>
      </w:r>
      <w:proofErr w:type="gramStart"/>
      <w:r w:rsidR="00F5357A" w:rsidRPr="00BA0B80">
        <w:rPr>
          <w:rFonts w:asciiTheme="minorHAnsi" w:eastAsia="Times New Roman" w:hAnsiTheme="minorHAnsi" w:cstheme="minorHAnsi"/>
        </w:rPr>
        <w:t>81, UN Doc.</w:t>
      </w:r>
      <w:proofErr w:type="gramEnd"/>
      <w:r w:rsidR="00F5357A" w:rsidRPr="00BA0B80">
        <w:rPr>
          <w:rFonts w:asciiTheme="minorHAnsi" w:eastAsia="Times New Roman" w:hAnsiTheme="minorHAnsi" w:cstheme="minorHAnsi"/>
        </w:rPr>
        <w:t xml:space="preserve"> </w:t>
      </w:r>
      <w:proofErr w:type="gramStart"/>
      <w:r w:rsidR="00F5357A" w:rsidRPr="00BA0B80">
        <w:rPr>
          <w:rFonts w:asciiTheme="minorHAnsi" w:eastAsia="Times New Roman" w:hAnsiTheme="minorHAnsi" w:cstheme="minorHAnsi"/>
        </w:rPr>
        <w:t xml:space="preserve">A/CONF.199/20 (2002), </w:t>
      </w:r>
      <w:r w:rsidR="00F5357A" w:rsidRPr="00BA0B80">
        <w:rPr>
          <w:rFonts w:asciiTheme="minorHAnsi" w:eastAsia="Times New Roman" w:hAnsiTheme="minorHAnsi" w:cstheme="minorHAnsi"/>
          <w:i/>
          <w:iCs/>
        </w:rPr>
        <w:t>available at</w:t>
      </w:r>
      <w:r w:rsidR="00F5357A" w:rsidRPr="00BA0B80">
        <w:rPr>
          <w:rFonts w:asciiTheme="minorHAnsi" w:eastAsia="Times New Roman" w:hAnsiTheme="minorHAnsi" w:cstheme="minorHAnsi"/>
        </w:rPr>
        <w:t xml:space="preserve"> &lt;http://www.johannesburgsummit.org/html/documents/summit_docs/131302_wssd_report_reissued.pdf&gt;, </w:t>
      </w:r>
      <w:r w:rsidR="00F5357A" w:rsidRPr="00BA0B80">
        <w:rPr>
          <w:rFonts w:asciiTheme="minorHAnsi" w:eastAsia="Times New Roman" w:hAnsiTheme="minorHAnsi" w:cstheme="minorHAnsi"/>
          <w:i/>
          <w:iCs/>
        </w:rPr>
        <w:t>revised by</w:t>
      </w:r>
      <w:r w:rsidR="00F5357A" w:rsidRPr="00BA0B80">
        <w:rPr>
          <w:rFonts w:asciiTheme="minorHAnsi" w:eastAsia="Times New Roman" w:hAnsiTheme="minorHAnsi" w:cstheme="minorHAnsi"/>
        </w:rPr>
        <w:t xml:space="preserve"> UN Doc.</w:t>
      </w:r>
      <w:proofErr w:type="gramEnd"/>
      <w:r w:rsidR="00F5357A" w:rsidRPr="00BA0B80">
        <w:rPr>
          <w:rFonts w:asciiTheme="minorHAnsi" w:eastAsia="Times New Roman" w:hAnsiTheme="minorHAnsi" w:cstheme="minorHAnsi"/>
        </w:rPr>
        <w:t xml:space="preserve"> </w:t>
      </w:r>
      <w:proofErr w:type="gramStart"/>
      <w:r w:rsidR="00F5357A" w:rsidRPr="00BA0B80">
        <w:rPr>
          <w:rFonts w:asciiTheme="minorHAnsi" w:eastAsia="Times New Roman" w:hAnsiTheme="minorHAnsi" w:cstheme="minorHAnsi"/>
        </w:rPr>
        <w:t>A/CONF. 199/20/Corr. 1 (2003) [hereina</w:t>
      </w:r>
      <w:r w:rsidR="008A65CB" w:rsidRPr="00BA0B80">
        <w:rPr>
          <w:rFonts w:asciiTheme="minorHAnsi" w:eastAsia="Times New Roman" w:hAnsiTheme="minorHAnsi" w:cstheme="minorHAnsi"/>
        </w:rPr>
        <w:t>fter Johannesburg Declaration].</w:t>
      </w:r>
      <w:proofErr w:type="gramEnd"/>
    </w:p>
  </w:footnote>
  <w:footnote w:id="3">
    <w:p w14:paraId="1279F7DE" w14:textId="77777777" w:rsidR="008A65CB" w:rsidRPr="00BA0B80" w:rsidRDefault="008A65CB">
      <w:pPr>
        <w:pStyle w:val="FootnoteText"/>
        <w:rPr>
          <w:rFonts w:asciiTheme="minorHAnsi" w:hAnsiTheme="minorHAnsi" w:cstheme="minorHAnsi"/>
        </w:rPr>
      </w:pPr>
      <w:r w:rsidRPr="00BA0B80">
        <w:rPr>
          <w:rStyle w:val="FootnoteReference"/>
          <w:rFonts w:asciiTheme="minorHAnsi" w:hAnsiTheme="minorHAnsi" w:cstheme="minorHAnsi"/>
        </w:rPr>
        <w:footnoteRef/>
      </w:r>
      <w:r w:rsidRPr="00BA0B80">
        <w:rPr>
          <w:rFonts w:asciiTheme="minorHAnsi" w:hAnsiTheme="minorHAnsi" w:cstheme="minorHAnsi"/>
        </w:rPr>
        <w:t xml:space="preserve"> </w:t>
      </w:r>
      <w:proofErr w:type="gramStart"/>
      <w:r w:rsidRPr="00BA0B80">
        <w:rPr>
          <w:rFonts w:asciiTheme="minorHAnsi" w:hAnsiTheme="minorHAnsi" w:cstheme="minorHAnsi"/>
        </w:rPr>
        <w:t>Constitution of the International Labour Organisation, June 28, 1919, Art.</w:t>
      </w:r>
      <w:proofErr w:type="gramEnd"/>
      <w:r w:rsidRPr="00BA0B80">
        <w:rPr>
          <w:rFonts w:asciiTheme="minorHAnsi" w:hAnsiTheme="minorHAnsi" w:cstheme="minorHAnsi"/>
        </w:rPr>
        <w:t xml:space="preserve"> 427, 49 Stat. 2712, 2733-34, 225 CONSOL. T. S. 188, 385; see also id</w:t>
      </w:r>
      <w:proofErr w:type="gramStart"/>
      <w:r w:rsidRPr="00BA0B80">
        <w:rPr>
          <w:rFonts w:asciiTheme="minorHAnsi" w:hAnsiTheme="minorHAnsi" w:cstheme="minorHAnsi"/>
        </w:rPr>
        <w:t>.,</w:t>
      </w:r>
      <w:proofErr w:type="gramEnd"/>
      <w:r w:rsidRPr="00BA0B80">
        <w:rPr>
          <w:rFonts w:asciiTheme="minorHAnsi" w:hAnsiTheme="minorHAnsi" w:cstheme="minorHAnsi"/>
        </w:rPr>
        <w:t xml:space="preserve"> Art. 405.</w:t>
      </w:r>
    </w:p>
  </w:footnote>
  <w:footnote w:id="4">
    <w:p w14:paraId="7F440EC9" w14:textId="55D360E5" w:rsidR="00BA0B80" w:rsidRPr="00BA0B80" w:rsidRDefault="00BA0B80">
      <w:pPr>
        <w:pStyle w:val="FootnoteText"/>
        <w:rPr>
          <w:rFonts w:asciiTheme="minorHAnsi" w:hAnsiTheme="minorHAnsi" w:cstheme="minorHAnsi"/>
        </w:rPr>
      </w:pPr>
      <w:r w:rsidRPr="00BA0B80">
        <w:rPr>
          <w:rStyle w:val="FootnoteReference"/>
          <w:rFonts w:asciiTheme="minorHAnsi" w:hAnsiTheme="minorHAnsi" w:cstheme="minorHAnsi"/>
        </w:rPr>
        <w:footnoteRef/>
      </w:r>
      <w:r w:rsidRPr="00BA0B80">
        <w:rPr>
          <w:rFonts w:asciiTheme="minorHAnsi" w:hAnsiTheme="minorHAnsi" w:cstheme="minorHAnsi"/>
        </w:rPr>
        <w:t xml:space="preserve"> </w:t>
      </w:r>
      <w:r w:rsidRPr="00BA0B80">
        <w:rPr>
          <w:rFonts w:asciiTheme="minorHAnsi" w:hAnsiTheme="minorHAnsi" w:cstheme="minorHAnsi"/>
          <w:color w:val="222222"/>
          <w:shd w:val="clear" w:color="auto" w:fill="FFFFFF"/>
        </w:rPr>
        <w:t>The</w:t>
      </w:r>
      <w:r w:rsidRPr="00BA0B80">
        <w:rPr>
          <w:rStyle w:val="apple-converted-space"/>
          <w:rFonts w:asciiTheme="minorHAnsi" w:hAnsiTheme="minorHAnsi" w:cstheme="minorHAnsi"/>
          <w:color w:val="222222"/>
          <w:shd w:val="clear" w:color="auto" w:fill="FFFFFF"/>
        </w:rPr>
        <w:t> </w:t>
      </w:r>
      <w:r w:rsidRPr="00BA0B80">
        <w:rPr>
          <w:rFonts w:asciiTheme="minorHAnsi" w:hAnsiTheme="minorHAnsi" w:cstheme="minorHAnsi"/>
          <w:b/>
          <w:bCs/>
          <w:color w:val="222222"/>
          <w:shd w:val="clear" w:color="auto" w:fill="FFFFFF"/>
        </w:rPr>
        <w:t>Kyoto Protocol</w:t>
      </w:r>
      <w:r w:rsidRPr="00BA0B80">
        <w:rPr>
          <w:rStyle w:val="apple-converted-space"/>
          <w:rFonts w:asciiTheme="minorHAnsi" w:hAnsiTheme="minorHAnsi" w:cstheme="minorHAnsi"/>
          <w:color w:val="222222"/>
          <w:shd w:val="clear" w:color="auto" w:fill="FFFFFF"/>
        </w:rPr>
        <w:t> </w:t>
      </w:r>
      <w:r w:rsidRPr="00BA0B80">
        <w:rPr>
          <w:rFonts w:asciiTheme="minorHAnsi" w:hAnsiTheme="minorHAnsi" w:cstheme="minorHAnsi"/>
          <w:color w:val="222222"/>
          <w:shd w:val="clear" w:color="auto" w:fill="FFFFFF"/>
        </w:rPr>
        <w:t>is an international treaty which extends the 1992 United Nations Framework Convention on Climate Change (UNFCCC) that commits State Parties to reduce greenhouse gas emissions</w:t>
      </w:r>
    </w:p>
  </w:footnote>
  <w:footnote w:id="5">
    <w:p w14:paraId="6C26B465" w14:textId="77777777" w:rsidR="00BE3C68" w:rsidRPr="00BA0B80" w:rsidRDefault="00BE3C68" w:rsidP="00BA0B80">
      <w:pPr>
        <w:widowControl/>
        <w:rPr>
          <w:rFonts w:asciiTheme="minorHAnsi" w:hAnsiTheme="minorHAnsi" w:cstheme="minorHAnsi"/>
        </w:rPr>
      </w:pPr>
      <w:r w:rsidRPr="00BA0B80">
        <w:rPr>
          <w:rStyle w:val="FootnoteReference"/>
          <w:rFonts w:asciiTheme="minorHAnsi" w:hAnsiTheme="minorHAnsi" w:cstheme="minorHAnsi"/>
        </w:rPr>
        <w:footnoteRef/>
      </w:r>
      <w:r w:rsidRPr="00BA0B80">
        <w:rPr>
          <w:rFonts w:asciiTheme="minorHAnsi" w:hAnsiTheme="minorHAnsi" w:cstheme="minorHAnsi"/>
        </w:rPr>
        <w:t xml:space="preserve"> </w:t>
      </w:r>
      <w:r w:rsidRPr="00BA0B80">
        <w:rPr>
          <w:rFonts w:asciiTheme="minorHAnsi" w:hAnsiTheme="minorHAnsi" w:cstheme="minorHAnsi"/>
          <w:i/>
          <w:iCs/>
        </w:rPr>
        <w:t>See generally</w:t>
      </w:r>
      <w:r w:rsidRPr="00BA0B80">
        <w:rPr>
          <w:rFonts w:asciiTheme="minorHAnsi" w:hAnsiTheme="minorHAnsi" w:cstheme="minorHAnsi"/>
        </w:rPr>
        <w:t xml:space="preserve"> DAVID G. VICTOR, THE COLLAPSE OF THE KYOTO PROTOCOL (2001), which provides a succinct critical examination of the breakdown at Kyoto and makes suggestions for getting the process back on a more realistic footing.</w:t>
      </w:r>
    </w:p>
  </w:footnote>
  <w:footnote w:id="6">
    <w:p w14:paraId="23E3821A" w14:textId="77777777" w:rsidR="00BE3C68" w:rsidRPr="003B0F38" w:rsidRDefault="00BE3C68" w:rsidP="00BA0B80">
      <w:pPr>
        <w:widowControl/>
        <w:rPr>
          <w:rFonts w:ascii="Arial" w:hAnsi="Arial" w:cs="Arial"/>
          <w:sz w:val="16"/>
          <w:szCs w:val="16"/>
        </w:rPr>
      </w:pPr>
      <w:r w:rsidRPr="00BA0B80">
        <w:rPr>
          <w:rStyle w:val="FootnoteReference"/>
          <w:rFonts w:asciiTheme="minorHAnsi" w:hAnsiTheme="minorHAnsi" w:cstheme="minorHAnsi"/>
        </w:rPr>
        <w:footnoteRef/>
      </w:r>
      <w:r w:rsidRPr="00BA0B80">
        <w:rPr>
          <w:rFonts w:asciiTheme="minorHAnsi" w:hAnsiTheme="minorHAnsi" w:cstheme="minorHAnsi"/>
        </w:rPr>
        <w:t xml:space="preserve"> </w:t>
      </w:r>
      <w:proofErr w:type="spellStart"/>
      <w:proofErr w:type="gramStart"/>
      <w:r w:rsidRPr="00BA0B80">
        <w:rPr>
          <w:rFonts w:asciiTheme="minorHAnsi" w:hAnsiTheme="minorHAnsi" w:cstheme="minorHAnsi"/>
        </w:rPr>
        <w:t>n36</w:t>
      </w:r>
      <w:proofErr w:type="spellEnd"/>
      <w:proofErr w:type="gramEnd"/>
      <w:r w:rsidRPr="00BA0B80">
        <w:rPr>
          <w:rFonts w:asciiTheme="minorHAnsi" w:hAnsiTheme="minorHAnsi" w:cstheme="minorHAnsi"/>
        </w:rPr>
        <w:t xml:space="preserve">  </w:t>
      </w:r>
      <w:r w:rsidRPr="00BA0B80">
        <w:rPr>
          <w:rFonts w:asciiTheme="minorHAnsi" w:hAnsiTheme="minorHAnsi" w:cstheme="minorHAnsi"/>
          <w:i/>
          <w:iCs/>
        </w:rPr>
        <w:t>See Temperature in 2002 Warmer Than 2001; Underlying Trend Continues, Scientists Say,</w:t>
      </w:r>
      <w:r w:rsidRPr="00BA0B80">
        <w:rPr>
          <w:rFonts w:asciiTheme="minorHAnsi" w:hAnsiTheme="minorHAnsi" w:cstheme="minorHAnsi"/>
        </w:rPr>
        <w:t xml:space="preserve"> 26 In</w:t>
      </w:r>
      <w:r w:rsidR="003B0F38" w:rsidRPr="00BA0B80">
        <w:rPr>
          <w:rFonts w:asciiTheme="minorHAnsi" w:hAnsiTheme="minorHAnsi" w:cstheme="minorHAnsi"/>
        </w:rPr>
        <w:t xml:space="preserve">t'l </w:t>
      </w:r>
      <w:proofErr w:type="spellStart"/>
      <w:r w:rsidR="003B0F38" w:rsidRPr="00BA0B80">
        <w:rPr>
          <w:rFonts w:asciiTheme="minorHAnsi" w:hAnsiTheme="minorHAnsi" w:cstheme="minorHAnsi"/>
        </w:rPr>
        <w:t>Env't</w:t>
      </w:r>
      <w:proofErr w:type="spellEnd"/>
      <w:r w:rsidR="003B0F38" w:rsidRPr="00BA0B80">
        <w:rPr>
          <w:rFonts w:asciiTheme="minorHAnsi" w:hAnsiTheme="minorHAnsi" w:cstheme="minorHAnsi"/>
        </w:rPr>
        <w:t xml:space="preserve"> Rep. (BNA) 37 (2003).</w:t>
      </w:r>
    </w:p>
  </w:footnote>
  <w:footnote w:id="7">
    <w:p w14:paraId="5D9E122C" w14:textId="04165E65" w:rsidR="00F30C34" w:rsidRPr="00F30C34" w:rsidRDefault="00F30C34">
      <w:pPr>
        <w:pStyle w:val="FootnoteText"/>
        <w:rPr>
          <w:rFonts w:asciiTheme="majorHAnsi" w:hAnsiTheme="majorHAnsi" w:cstheme="majorHAnsi"/>
        </w:rPr>
      </w:pPr>
      <w:r w:rsidRPr="00F30C34">
        <w:rPr>
          <w:rStyle w:val="FootnoteReference"/>
          <w:rFonts w:asciiTheme="majorHAnsi" w:hAnsiTheme="majorHAnsi" w:cstheme="majorHAnsi"/>
        </w:rPr>
        <w:footnoteRef/>
      </w:r>
      <w:r w:rsidRPr="00F30C34">
        <w:rPr>
          <w:rFonts w:asciiTheme="minorHAnsi" w:hAnsiTheme="minorHAnsi" w:cstheme="minorHAnsi"/>
        </w:rPr>
        <w:t xml:space="preserve">See Timothy Swanson, Negotiating Effective International Environmental Agreements: Is an Objective Approach to Differential Treatment Possible? </w:t>
      </w:r>
      <w:proofErr w:type="gramStart"/>
      <w:r w:rsidRPr="00F30C34">
        <w:rPr>
          <w:rFonts w:asciiTheme="minorHAnsi" w:hAnsiTheme="minorHAnsi" w:cstheme="minorHAnsi"/>
        </w:rPr>
        <w:t>1 INT'L ENVTL.</w:t>
      </w:r>
      <w:proofErr w:type="gramEnd"/>
      <w:r w:rsidRPr="00F30C34">
        <w:rPr>
          <w:rFonts w:asciiTheme="minorHAnsi" w:hAnsiTheme="minorHAnsi" w:cstheme="minorHAnsi"/>
        </w:rPr>
        <w:t xml:space="preserve"> AGREEMENTS: POLITICS, LAW AND ECONOMICS 125 (2001</w:t>
      </w:r>
      <w:r w:rsidRPr="00F30C34">
        <w:rPr>
          <w:rFonts w:asciiTheme="majorHAnsi" w:hAnsiTheme="majorHAnsi" w:cstheme="majorHAnsi"/>
        </w:rP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CA1858"/>
    <w:multiLevelType w:val="hybridMultilevel"/>
    <w:tmpl w:val="3FD2AF9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E12"/>
    <w:rsid w:val="003B0F38"/>
    <w:rsid w:val="00765039"/>
    <w:rsid w:val="00890ED2"/>
    <w:rsid w:val="008A65CB"/>
    <w:rsid w:val="008F6E12"/>
    <w:rsid w:val="00A10D3D"/>
    <w:rsid w:val="00B758D8"/>
    <w:rsid w:val="00B81C39"/>
    <w:rsid w:val="00BA0B80"/>
    <w:rsid w:val="00BE3C68"/>
    <w:rsid w:val="00E44DD8"/>
    <w:rsid w:val="00F05591"/>
    <w:rsid w:val="00F30C34"/>
    <w:rsid w:val="00F5357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364F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6E12"/>
    <w:pPr>
      <w:widowControl w:val="0"/>
      <w:autoSpaceDE w:val="0"/>
      <w:autoSpaceDN w:val="0"/>
      <w:adjustRightInd w:val="0"/>
      <w:spacing w:after="0" w:line="240" w:lineRule="auto"/>
    </w:pPr>
    <w:rPr>
      <w:rFonts w:ascii="Courier" w:eastAsiaTheme="minorEastAsia" w:hAnsi="Courier"/>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F6E12"/>
  </w:style>
  <w:style w:type="character" w:customStyle="1" w:styleId="FootnoteTextChar">
    <w:name w:val="Footnote Text Char"/>
    <w:basedOn w:val="DefaultParagraphFont"/>
    <w:link w:val="FootnoteText"/>
    <w:uiPriority w:val="99"/>
    <w:semiHidden/>
    <w:rsid w:val="008F6E12"/>
    <w:rPr>
      <w:sz w:val="20"/>
      <w:szCs w:val="20"/>
    </w:rPr>
  </w:style>
  <w:style w:type="character" w:styleId="FootnoteReference">
    <w:name w:val="footnote reference"/>
    <w:basedOn w:val="DefaultParagraphFont"/>
    <w:uiPriority w:val="99"/>
    <w:semiHidden/>
    <w:unhideWhenUsed/>
    <w:rsid w:val="008F6E12"/>
    <w:rPr>
      <w:vertAlign w:val="superscript"/>
    </w:rPr>
  </w:style>
  <w:style w:type="paragraph" w:styleId="ListParagraph">
    <w:name w:val="List Paragraph"/>
    <w:basedOn w:val="Normal"/>
    <w:uiPriority w:val="34"/>
    <w:qFormat/>
    <w:rsid w:val="00890ED2"/>
    <w:pPr>
      <w:ind w:left="720"/>
      <w:contextualSpacing/>
    </w:pPr>
  </w:style>
  <w:style w:type="character" w:customStyle="1" w:styleId="apple-converted-space">
    <w:name w:val="apple-converted-space"/>
    <w:basedOn w:val="DefaultParagraphFont"/>
    <w:rsid w:val="00BA0B8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6E12"/>
    <w:pPr>
      <w:widowControl w:val="0"/>
      <w:autoSpaceDE w:val="0"/>
      <w:autoSpaceDN w:val="0"/>
      <w:adjustRightInd w:val="0"/>
      <w:spacing w:after="0" w:line="240" w:lineRule="auto"/>
    </w:pPr>
    <w:rPr>
      <w:rFonts w:ascii="Courier" w:eastAsiaTheme="minorEastAsia" w:hAnsi="Courier"/>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F6E12"/>
  </w:style>
  <w:style w:type="character" w:customStyle="1" w:styleId="FootnoteTextChar">
    <w:name w:val="Footnote Text Char"/>
    <w:basedOn w:val="DefaultParagraphFont"/>
    <w:link w:val="FootnoteText"/>
    <w:uiPriority w:val="99"/>
    <w:semiHidden/>
    <w:rsid w:val="008F6E12"/>
    <w:rPr>
      <w:sz w:val="20"/>
      <w:szCs w:val="20"/>
    </w:rPr>
  </w:style>
  <w:style w:type="character" w:styleId="FootnoteReference">
    <w:name w:val="footnote reference"/>
    <w:basedOn w:val="DefaultParagraphFont"/>
    <w:uiPriority w:val="99"/>
    <w:semiHidden/>
    <w:unhideWhenUsed/>
    <w:rsid w:val="008F6E12"/>
    <w:rPr>
      <w:vertAlign w:val="superscript"/>
    </w:rPr>
  </w:style>
  <w:style w:type="paragraph" w:styleId="ListParagraph">
    <w:name w:val="List Paragraph"/>
    <w:basedOn w:val="Normal"/>
    <w:uiPriority w:val="34"/>
    <w:qFormat/>
    <w:rsid w:val="00890ED2"/>
    <w:pPr>
      <w:ind w:left="720"/>
      <w:contextualSpacing/>
    </w:pPr>
  </w:style>
  <w:style w:type="character" w:customStyle="1" w:styleId="apple-converted-space">
    <w:name w:val="apple-converted-space"/>
    <w:basedOn w:val="DefaultParagraphFont"/>
    <w:rsid w:val="00BA0B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DD8BF-150D-CA4A-A000-9041DEF18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874</Words>
  <Characters>4988</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izzyy evans</dc:creator>
  <cp:keywords/>
  <dc:description/>
  <cp:lastModifiedBy>Christopher Olsen</cp:lastModifiedBy>
  <cp:revision>2</cp:revision>
  <dcterms:created xsi:type="dcterms:W3CDTF">2016-10-24T10:05:00Z</dcterms:created>
  <dcterms:modified xsi:type="dcterms:W3CDTF">2016-10-24T10:05:00Z</dcterms:modified>
</cp:coreProperties>
</file>