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B3E" w:rsidRPr="00115653" w:rsidRDefault="00115653" w:rsidP="00751B3E">
      <w:pPr>
        <w:rPr>
          <w:b/>
        </w:rPr>
      </w:pPr>
      <w:bookmarkStart w:id="0" w:name="_GoBack"/>
      <w:bookmarkEnd w:id="0"/>
      <w:r w:rsidRPr="00115653">
        <w:rPr>
          <w:b/>
        </w:rPr>
        <w:t xml:space="preserve">Some literature on Climate Change Law </w:t>
      </w:r>
    </w:p>
    <w:p w:rsidR="00751B3E" w:rsidRDefault="00115653" w:rsidP="00751B3E">
      <w:r w:rsidRPr="00115653">
        <w:t>Baldwin, Regulation Lite: the Rise of Emission Trading. (2008) 2 Regulation and Governance 193.</w:t>
      </w:r>
      <w:r w:rsidR="00751B3E">
        <w:tab/>
      </w:r>
    </w:p>
    <w:p w:rsidR="00751B3E" w:rsidRDefault="00751B3E" w:rsidP="00751B3E">
      <w:r w:rsidRPr="00751B3E">
        <w:t>Bogojević</w:t>
      </w:r>
      <w:r>
        <w:t>, S. 2009.</w:t>
      </w:r>
      <w:r w:rsidRPr="00751B3E">
        <w:t xml:space="preserve"> </w:t>
      </w:r>
      <w:r>
        <w:t>Ending the Honeymoon: Deconstructing Emissions Trading Discourses. Journal of Environmental Law.</w:t>
      </w:r>
    </w:p>
    <w:p w:rsidR="00751B3E" w:rsidRDefault="00A15A54" w:rsidP="00751B3E">
      <w:r w:rsidRPr="00A15A54">
        <w:t>Bogojevic</w:t>
      </w:r>
      <w:r>
        <w:t xml:space="preserve"> and Driesen. 2013. </w:t>
      </w:r>
      <w:r w:rsidRPr="00A15A54">
        <w:t>Economic Thought and Climate Disruption: Neoclassical and Economic Dynamic Approaches in the USA and the EU</w:t>
      </w:r>
      <w:r>
        <w:t xml:space="preserve">. Journal of Environmental Law. Journal of Environmental Law.   </w:t>
      </w:r>
    </w:p>
    <w:p w:rsidR="00A067A5" w:rsidRDefault="00751B3E" w:rsidP="00751B3E">
      <w:r>
        <w:t xml:space="preserve">Laing, T. et al. 2013.  Assessing the effectiveness of the EU Emissions Trading System. Centre for Climate Change Economics and Policy Working Paper No. 126. Available at: </w:t>
      </w:r>
      <w:hyperlink r:id="rId5" w:history="1">
        <w:r w:rsidRPr="003D5284">
          <w:rPr>
            <w:rStyle w:val="Hyperlink"/>
          </w:rPr>
          <w:t>http://www.lse.ac.uk/GranthamInstitute/wp-content/uploads/2014/02/WP106-effectiveness-eu-emissions-trading-system.pdf</w:t>
        </w:r>
      </w:hyperlink>
    </w:p>
    <w:p w:rsidR="00115653" w:rsidRDefault="00115653" w:rsidP="00115653">
      <w:r>
        <w:t>Lee, M. 2014. EU Environmental Law, Governance and Decision-Making. 2</w:t>
      </w:r>
      <w:r w:rsidRPr="00115653">
        <w:rPr>
          <w:vertAlign w:val="superscript"/>
        </w:rPr>
        <w:t>nd</w:t>
      </w:r>
      <w:r>
        <w:t xml:space="preserve"> ed. Hart. Ch. 6.</w:t>
      </w:r>
    </w:p>
    <w:p w:rsidR="00115653" w:rsidRDefault="00115653" w:rsidP="00115653">
      <w:r>
        <w:t xml:space="preserve">Lefevere, ‘A climate of Change: an analysis of progress in EU and International Climate Change Policy’ in Scott (ed) Environmental protection (2009)   </w:t>
      </w:r>
    </w:p>
    <w:p w:rsidR="00751B3E" w:rsidRDefault="00115653" w:rsidP="00751B3E">
      <w:r w:rsidRPr="00115653">
        <w:t>Peel, Climate Change Law: The Emergence of a New Legal Discipline (2008) 32 MULR 922.</w:t>
      </w:r>
      <w:r w:rsidR="00751B3E">
        <w:tab/>
      </w:r>
    </w:p>
    <w:p w:rsidR="00115653" w:rsidRDefault="00115653" w:rsidP="00751B3E">
      <w:r w:rsidRPr="00115653">
        <w:t>Peeters, ‘Emission trading as a new dimension to European environmental law’, (2003) ELR 82.</w:t>
      </w:r>
    </w:p>
    <w:p w:rsidR="00751B3E" w:rsidRDefault="00751B3E" w:rsidP="00751B3E">
      <w:r>
        <w:t>Van Zeben, J. 2014. The Allocation of Regulatory Competence in the EU Emissions Trading Scheme. CUP.</w:t>
      </w:r>
    </w:p>
    <w:p w:rsidR="00751B3E" w:rsidRDefault="00751B3E" w:rsidP="00751B3E">
      <w:r>
        <w:t xml:space="preserve"> </w:t>
      </w:r>
      <w:r w:rsidRPr="00751B3E">
        <w:t>Veith, S. 2010. The EU Emission Trading Scheme: Aspects of Statehood, Regulation and Accounting. Peter Lang Publishers.</w:t>
      </w:r>
    </w:p>
    <w:p w:rsidR="00115653" w:rsidRPr="00115653" w:rsidRDefault="00115653" w:rsidP="00115653">
      <w:r w:rsidRPr="00115653">
        <w:t xml:space="preserve">Winter, ‘The climate is no commodity: taking stock of emission trading system’, (2010) 22 JEL 1 </w:t>
      </w:r>
    </w:p>
    <w:p w:rsidR="00115653" w:rsidRDefault="00115653" w:rsidP="00751B3E"/>
    <w:p w:rsidR="00115653" w:rsidRDefault="00115653" w:rsidP="00751B3E"/>
    <w:p w:rsidR="00115653" w:rsidRDefault="00115653" w:rsidP="00751B3E"/>
    <w:sectPr w:rsidR="001156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B3E"/>
    <w:rsid w:val="00115653"/>
    <w:rsid w:val="00751B3E"/>
    <w:rsid w:val="00896567"/>
    <w:rsid w:val="00A067A5"/>
    <w:rsid w:val="00A15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1B3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1B3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lse.ac.uk/GranthamInstitute/wp-content/uploads/2014/02/WP106-effectiveness-eu-emissions-trading-system.pdf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1380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Bristol</Company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Pieraccini</dc:creator>
  <cp:keywords/>
  <dc:description/>
  <cp:lastModifiedBy>Christopher Olsen</cp:lastModifiedBy>
  <cp:revision>2</cp:revision>
  <dcterms:created xsi:type="dcterms:W3CDTF">2016-10-06T11:13:00Z</dcterms:created>
  <dcterms:modified xsi:type="dcterms:W3CDTF">2016-10-06T11:13:00Z</dcterms:modified>
</cp:coreProperties>
</file>