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270E" w:rsidRPr="00FE5D00" w:rsidRDefault="0095270E" w:rsidP="0095270E">
      <w:pPr>
        <w:rPr>
          <w:rFonts w:ascii="Baskerville" w:hAnsi="Baskerville"/>
          <w:color w:val="FF0000"/>
          <w:lang w:val="en-US"/>
        </w:rPr>
      </w:pPr>
      <w:r w:rsidRPr="00762D3B">
        <w:rPr>
          <w:rFonts w:ascii="Baskerville" w:hAnsi="Baskerville"/>
          <w:lang w:val="en-US"/>
        </w:rPr>
        <w:t xml:space="preserve">Distinct similarities </w:t>
      </w:r>
      <w:r w:rsidRPr="0095270E">
        <w:rPr>
          <w:rFonts w:ascii="Baskerville" w:hAnsi="Baskerville"/>
          <w:color w:val="FF0000"/>
          <w:lang w:val="en-US"/>
        </w:rPr>
        <w:t>can be drawn between ‘the emergence of rules on space sovereignty and the present status of the precautionary principle’.</w:t>
      </w:r>
      <w:r w:rsidRPr="0095270E">
        <w:rPr>
          <w:rStyle w:val="FootnoteReference"/>
          <w:rFonts w:ascii="Baskerville" w:hAnsi="Baskerville"/>
          <w:color w:val="FF0000"/>
          <w:lang w:val="en-US"/>
        </w:rPr>
        <w:footnoteReference w:id="1"/>
      </w:r>
      <w:r w:rsidRPr="00762D3B">
        <w:rPr>
          <w:rFonts w:ascii="Baskerville" w:hAnsi="Baskerville"/>
          <w:lang w:val="en-US"/>
        </w:rPr>
        <w:t xml:space="preserve"> Once again, countries face a crucial ch</w:t>
      </w:r>
      <w:bookmarkStart w:id="0" w:name="_GoBack"/>
      <w:bookmarkEnd w:id="0"/>
      <w:r w:rsidRPr="00762D3B">
        <w:rPr>
          <w:rFonts w:ascii="Baskerville" w:hAnsi="Baskerville"/>
          <w:lang w:val="en-US"/>
        </w:rPr>
        <w:t>allenge, affecting all and caused in some ways by all.</w:t>
      </w:r>
      <w:r w:rsidRPr="00FE5D00">
        <w:rPr>
          <w:rFonts w:ascii="Baskerville" w:hAnsi="Baskerville"/>
          <w:color w:val="FF0000"/>
          <w:lang w:val="en-US"/>
        </w:rPr>
        <w:t xml:space="preserve"> </w:t>
      </w:r>
      <w:r w:rsidRPr="00762D3B">
        <w:rPr>
          <w:rFonts w:ascii="Baskerville" w:hAnsi="Baskerville"/>
          <w:lang w:val="en-US"/>
        </w:rPr>
        <w:t>During a case concerning space sovereignty, the mutual recognition of some 66 states led to the acceptance of a customary rule. In another case, the twelve-mile territorial sea rule was ‘recognised as customary international law when accepted by 102 nations’.</w:t>
      </w:r>
      <w:r w:rsidRPr="00762D3B">
        <w:rPr>
          <w:rStyle w:val="FootnoteReference"/>
          <w:rFonts w:ascii="Baskerville" w:hAnsi="Baskerville"/>
          <w:lang w:val="en-US"/>
        </w:rPr>
        <w:footnoteReference w:id="2"/>
      </w:r>
      <w:r w:rsidRPr="00FE5D00">
        <w:rPr>
          <w:rFonts w:ascii="Baskerville" w:hAnsi="Baskerville"/>
          <w:color w:val="FF0000"/>
          <w:lang w:val="en-US"/>
        </w:rPr>
        <w:t xml:space="preserve"> </w:t>
      </w:r>
      <w:r w:rsidRPr="00762D3B">
        <w:rPr>
          <w:rFonts w:ascii="Baskerville" w:hAnsi="Baskerville"/>
          <w:lang w:val="en-US"/>
        </w:rPr>
        <w:t>Here, the numbers reflected the development of customary international law. Today, the precautionary principle is recognised by 34 countries, clearly indicating its emergence as customary international law.</w:t>
      </w:r>
      <w:r w:rsidRPr="00762D3B">
        <w:rPr>
          <w:rStyle w:val="FootnoteReference"/>
          <w:rFonts w:ascii="Baskerville" w:hAnsi="Baskerville"/>
          <w:lang w:val="en-US"/>
        </w:rPr>
        <w:footnoteReference w:id="3"/>
      </w:r>
    </w:p>
    <w:p w:rsidR="0095270E" w:rsidRDefault="0095270E" w:rsidP="0095270E">
      <w:pPr>
        <w:rPr>
          <w:rFonts w:ascii="Baskerville" w:hAnsi="Baskerville"/>
          <w:lang w:val="en-US"/>
        </w:rPr>
      </w:pPr>
    </w:p>
    <w:p w:rsidR="0095270E" w:rsidRDefault="0095270E" w:rsidP="0095270E">
      <w:pPr>
        <w:rPr>
          <w:rFonts w:ascii="Baskerville" w:hAnsi="Baskerville"/>
          <w:lang w:val="en-US"/>
        </w:rPr>
      </w:pPr>
      <w:r>
        <w:rPr>
          <w:rFonts w:ascii="Baskerville" w:hAnsi="Baskerville"/>
          <w:lang w:val="en-US"/>
        </w:rPr>
        <w:t>Nevertheless</w:t>
      </w:r>
      <w:r w:rsidRPr="002F12D9">
        <w:rPr>
          <w:rFonts w:ascii="Baskerville" w:hAnsi="Baskerville"/>
          <w:lang w:val="en-US"/>
        </w:rPr>
        <w:t xml:space="preserve">, the precautionary principle has received no </w:t>
      </w:r>
      <w:r>
        <w:rPr>
          <w:rFonts w:ascii="Baskerville" w:hAnsi="Baskerville"/>
          <w:lang w:val="en-US"/>
        </w:rPr>
        <w:t xml:space="preserve">authoritative, workable </w:t>
      </w:r>
      <w:r w:rsidRPr="002F12D9">
        <w:rPr>
          <w:rFonts w:ascii="Baskerville" w:hAnsi="Baskerville"/>
          <w:lang w:val="en-US"/>
        </w:rPr>
        <w:t>definition</w:t>
      </w:r>
      <w:r>
        <w:rPr>
          <w:rFonts w:ascii="Baskerville" w:hAnsi="Baskerville"/>
          <w:lang w:val="en-US"/>
        </w:rPr>
        <w:t xml:space="preserve"> in international law</w:t>
      </w:r>
      <w:r w:rsidRPr="002F12D9">
        <w:rPr>
          <w:rFonts w:ascii="Baskerville" w:hAnsi="Baskerville"/>
          <w:lang w:val="en-US"/>
        </w:rPr>
        <w:t>.</w:t>
      </w:r>
      <w:r>
        <w:rPr>
          <w:rFonts w:ascii="Baskerville" w:hAnsi="Baskerville"/>
          <w:lang w:val="en-US"/>
        </w:rPr>
        <w:t xml:space="preserve"> In international discourse, ‘Canada defends the precautionary principle’.</w:t>
      </w:r>
      <w:r>
        <w:rPr>
          <w:rStyle w:val="FootnoteReference"/>
          <w:rFonts w:ascii="Baskerville" w:hAnsi="Baskerville"/>
          <w:lang w:val="en-US"/>
        </w:rPr>
        <w:footnoteReference w:id="4"/>
      </w:r>
      <w:r>
        <w:rPr>
          <w:rFonts w:ascii="Baskerville" w:hAnsi="Baskerville"/>
          <w:lang w:val="en-US"/>
        </w:rPr>
        <w:t xml:space="preserve"> </w:t>
      </w:r>
      <w:r w:rsidRPr="00FB3F26">
        <w:rPr>
          <w:rFonts w:ascii="Baskerville" w:hAnsi="Baskerville"/>
          <w:lang w:val="en-US"/>
        </w:rPr>
        <w:t xml:space="preserve">Although the Canadian Environmental Protection Act (CEPA) 1999 and the Rio Declaration 1992 </w:t>
      </w:r>
      <w:r>
        <w:rPr>
          <w:rFonts w:ascii="Baskerville" w:hAnsi="Baskerville"/>
          <w:lang w:val="en-US"/>
        </w:rPr>
        <w:t>feature</w:t>
      </w:r>
      <w:r w:rsidRPr="00FB3F26">
        <w:rPr>
          <w:rFonts w:ascii="Baskerville" w:hAnsi="Baskerville"/>
          <w:lang w:val="en-US"/>
        </w:rPr>
        <w:t xml:space="preserve"> definitions of the </w:t>
      </w:r>
      <w:r>
        <w:rPr>
          <w:rFonts w:ascii="Baskerville" w:hAnsi="Baskerville"/>
          <w:lang w:val="en-US"/>
        </w:rPr>
        <w:t>term ‘precaution’</w:t>
      </w:r>
      <w:r w:rsidRPr="00FB3F26">
        <w:rPr>
          <w:rFonts w:ascii="Baskerville" w:hAnsi="Baskerville"/>
          <w:lang w:val="en-US"/>
        </w:rPr>
        <w:t>,</w:t>
      </w:r>
      <w:r w:rsidRPr="00FB3F26">
        <w:rPr>
          <w:rStyle w:val="FootnoteReference"/>
          <w:rFonts w:ascii="Baskerville" w:hAnsi="Baskerville"/>
          <w:lang w:val="en-US"/>
        </w:rPr>
        <w:footnoteReference w:id="5"/>
      </w:r>
      <w:r w:rsidRPr="00FB3F26">
        <w:rPr>
          <w:rFonts w:ascii="Baskerville" w:hAnsi="Baskerville"/>
          <w:lang w:val="en-US"/>
        </w:rPr>
        <w:t xml:space="preserve"> </w:t>
      </w:r>
      <w:r>
        <w:rPr>
          <w:rFonts w:ascii="Baskerville" w:hAnsi="Baskerville"/>
          <w:lang w:val="en-US"/>
        </w:rPr>
        <w:t xml:space="preserve">many </w:t>
      </w:r>
      <w:r w:rsidRPr="002F12D9">
        <w:rPr>
          <w:rFonts w:ascii="Baskerville" w:hAnsi="Baskerville"/>
          <w:lang w:val="en-US"/>
        </w:rPr>
        <w:t xml:space="preserve">other </w:t>
      </w:r>
      <w:r>
        <w:rPr>
          <w:rFonts w:ascii="Baskerville" w:hAnsi="Baskerville"/>
          <w:lang w:val="en-US"/>
        </w:rPr>
        <w:t xml:space="preserve">similar international </w:t>
      </w:r>
      <w:r w:rsidRPr="002F12D9">
        <w:rPr>
          <w:rFonts w:ascii="Baskerville" w:hAnsi="Baskerville"/>
          <w:lang w:val="en-US"/>
        </w:rPr>
        <w:t>statutory definitions</w:t>
      </w:r>
      <w:r>
        <w:rPr>
          <w:rFonts w:ascii="Baskerville" w:hAnsi="Baskerville"/>
          <w:lang w:val="en-US"/>
        </w:rPr>
        <w:t xml:space="preserve"> </w:t>
      </w:r>
      <w:r w:rsidRPr="002F12D9">
        <w:rPr>
          <w:rFonts w:ascii="Baskerville" w:hAnsi="Baskerville"/>
          <w:lang w:val="en-US"/>
        </w:rPr>
        <w:t>contain conspicuous gaps.</w:t>
      </w:r>
      <w:r>
        <w:rPr>
          <w:rStyle w:val="FootnoteReference"/>
          <w:rFonts w:ascii="Baskerville" w:hAnsi="Baskerville"/>
          <w:lang w:val="en-US"/>
        </w:rPr>
        <w:footnoteReference w:id="6"/>
      </w:r>
      <w:r>
        <w:rPr>
          <w:rFonts w:ascii="Baskerville" w:hAnsi="Baskerville"/>
          <w:color w:val="FF0000"/>
          <w:lang w:val="en-US"/>
        </w:rPr>
        <w:t xml:space="preserve"> </w:t>
      </w:r>
      <w:r w:rsidRPr="00AC18B1">
        <w:rPr>
          <w:rFonts w:ascii="Baskerville" w:hAnsi="Baskerville"/>
          <w:lang w:val="en-US"/>
        </w:rPr>
        <w:t xml:space="preserve">The Pest Control Products Act </w:t>
      </w:r>
      <w:r>
        <w:rPr>
          <w:rFonts w:ascii="Baskerville" w:hAnsi="Baskerville"/>
          <w:lang w:val="en-US"/>
        </w:rPr>
        <w:t>(PCPA) 2002 omits</w:t>
      </w:r>
      <w:r w:rsidRPr="00AC18B1">
        <w:rPr>
          <w:rFonts w:ascii="Baskerville" w:hAnsi="Baskerville"/>
          <w:lang w:val="en-US"/>
        </w:rPr>
        <w:t xml:space="preserve"> particular </w:t>
      </w:r>
      <w:r>
        <w:rPr>
          <w:rFonts w:ascii="Baskerville" w:hAnsi="Baskerville"/>
          <w:lang w:val="en-US"/>
        </w:rPr>
        <w:t xml:space="preserve">definitional </w:t>
      </w:r>
      <w:r w:rsidRPr="00AC18B1">
        <w:rPr>
          <w:rFonts w:ascii="Baskerville" w:hAnsi="Baskerville"/>
          <w:lang w:val="en-US"/>
        </w:rPr>
        <w:t xml:space="preserve">elements </w:t>
      </w:r>
      <w:r>
        <w:rPr>
          <w:rFonts w:ascii="Baskerville" w:hAnsi="Baskerville"/>
          <w:lang w:val="en-US"/>
        </w:rPr>
        <w:t>of the precautionary principle</w:t>
      </w:r>
      <w:r w:rsidRPr="00AC18B1">
        <w:rPr>
          <w:rFonts w:ascii="Baskerville" w:hAnsi="Baskerville"/>
          <w:lang w:val="en-US"/>
        </w:rPr>
        <w:t>, as does the Canada Marine Conservation Areas Act 2002, which lacks certain key principles that are contained in the CEPA/Rio definition.</w:t>
      </w:r>
      <w:r>
        <w:rPr>
          <w:rStyle w:val="FootnoteReference"/>
          <w:rFonts w:ascii="Baskerville" w:hAnsi="Baskerville"/>
          <w:lang w:val="en-US"/>
        </w:rPr>
        <w:footnoteReference w:id="7"/>
      </w:r>
      <w:r w:rsidRPr="00AC18B1">
        <w:rPr>
          <w:rFonts w:ascii="Baskerville" w:hAnsi="Baskerville"/>
          <w:lang w:val="en-US"/>
        </w:rPr>
        <w:t xml:space="preserve"> </w:t>
      </w:r>
      <w:r w:rsidRPr="00B94F59">
        <w:rPr>
          <w:rFonts w:ascii="Baskerville" w:hAnsi="Baskerville"/>
          <w:lang w:val="en-US"/>
        </w:rPr>
        <w:t>Furthermore, in the Canada Consumer Product Safety Act 2010, the phrase ‘cost-effective’ is also absent.</w:t>
      </w:r>
      <w:r w:rsidRPr="00B94F59">
        <w:rPr>
          <w:rStyle w:val="FootnoteReference"/>
          <w:rFonts w:ascii="Baskerville" w:hAnsi="Baskerville"/>
          <w:lang w:val="en-US"/>
        </w:rPr>
        <w:footnoteReference w:id="8"/>
      </w:r>
      <w:r w:rsidRPr="008B036D">
        <w:rPr>
          <w:rFonts w:ascii="Baskerville" w:hAnsi="Baskerville"/>
          <w:color w:val="FF0000"/>
          <w:lang w:val="en-US"/>
        </w:rPr>
        <w:t xml:space="preserve"> </w:t>
      </w:r>
      <w:r w:rsidRPr="002923CB">
        <w:rPr>
          <w:rFonts w:ascii="Baskerville" w:hAnsi="Baskerville"/>
          <w:lang w:val="en-US"/>
        </w:rPr>
        <w:t>In 2001, the Canadian government released a discussion paper on the precautionary approach.</w:t>
      </w:r>
      <w:r w:rsidRPr="002923CB">
        <w:rPr>
          <w:rStyle w:val="FootnoteReference"/>
          <w:rFonts w:ascii="Baskerville" w:hAnsi="Baskerville"/>
          <w:lang w:val="en-US"/>
        </w:rPr>
        <w:footnoteReference w:id="9"/>
      </w:r>
      <w:r w:rsidRPr="00A571F3">
        <w:rPr>
          <w:rFonts w:ascii="Baskerville" w:hAnsi="Baskerville"/>
          <w:color w:val="FF0000"/>
          <w:lang w:val="en-US"/>
        </w:rPr>
        <w:t xml:space="preserve"> </w:t>
      </w:r>
      <w:r w:rsidRPr="00AA59F7">
        <w:rPr>
          <w:rFonts w:ascii="Baskerville" w:hAnsi="Baskerville"/>
          <w:lang w:val="en-US"/>
        </w:rPr>
        <w:t>In this document, the federal government affirmed its support for the Rio definition of the precautionary principle.</w:t>
      </w:r>
      <w:r w:rsidRPr="00AA59F7">
        <w:rPr>
          <w:rStyle w:val="FootnoteReference"/>
          <w:rFonts w:ascii="Baskerville" w:hAnsi="Baskerville"/>
          <w:lang w:val="en-US"/>
        </w:rPr>
        <w:footnoteReference w:id="10"/>
      </w:r>
      <w:r w:rsidRPr="00A571F3">
        <w:rPr>
          <w:rFonts w:ascii="Baskerville" w:hAnsi="Baskerville"/>
          <w:color w:val="FF0000"/>
          <w:lang w:val="en-US"/>
        </w:rPr>
        <w:t xml:space="preserve"> </w:t>
      </w:r>
      <w:r w:rsidRPr="00977219">
        <w:rPr>
          <w:rFonts w:ascii="Baskerville" w:hAnsi="Baskerville"/>
          <w:lang w:val="en-US"/>
        </w:rPr>
        <w:t>The Canadian Chamber hopes that this support will lead to consistency across all legislation</w:t>
      </w:r>
      <w:r>
        <w:rPr>
          <w:rFonts w:ascii="Baskerville" w:hAnsi="Baskerville"/>
          <w:lang w:val="en-US"/>
        </w:rPr>
        <w:t xml:space="preserve"> and this can only be seen as a step forward</w:t>
      </w:r>
      <w:r w:rsidRPr="00977219">
        <w:rPr>
          <w:rFonts w:ascii="Baskerville" w:hAnsi="Baskerville"/>
          <w:lang w:val="en-US"/>
        </w:rPr>
        <w:t xml:space="preserve">. </w:t>
      </w:r>
      <w:r>
        <w:rPr>
          <w:rFonts w:ascii="Baskerville" w:hAnsi="Baskerville"/>
          <w:lang w:val="en-US"/>
        </w:rPr>
        <w:t xml:space="preserve">The indeterminacy of the precautionary principle (which is also applicable to the polluter </w:t>
      </w:r>
      <w:r>
        <w:rPr>
          <w:rFonts w:ascii="Baskerville" w:hAnsi="Baskerville"/>
          <w:lang w:val="en-US"/>
        </w:rPr>
        <w:lastRenderedPageBreak/>
        <w:t>pays principle)</w:t>
      </w:r>
      <w:r>
        <w:rPr>
          <w:rStyle w:val="FootnoteReference"/>
          <w:rFonts w:ascii="Baskerville" w:hAnsi="Baskerville"/>
          <w:lang w:val="en-US"/>
        </w:rPr>
        <w:footnoteReference w:id="11"/>
      </w:r>
      <w:r>
        <w:rPr>
          <w:rFonts w:ascii="Baskerville" w:hAnsi="Baskerville"/>
          <w:lang w:val="en-US"/>
        </w:rPr>
        <w:t xml:space="preserve"> consigns it to being ‘an inappropriate and ineffective regulatory decision-making tool’.</w:t>
      </w:r>
      <w:r>
        <w:rPr>
          <w:rStyle w:val="FootnoteReference"/>
          <w:rFonts w:ascii="Baskerville" w:hAnsi="Baskerville"/>
          <w:lang w:val="en-US"/>
        </w:rPr>
        <w:footnoteReference w:id="12"/>
      </w:r>
    </w:p>
    <w:p w:rsidR="0095270E" w:rsidRPr="00785138" w:rsidRDefault="0095270E" w:rsidP="0095270E">
      <w:pPr>
        <w:rPr>
          <w:rFonts w:ascii="Baskerville" w:hAnsi="Baskerville"/>
          <w:color w:val="FF0000"/>
          <w:lang w:val="en-US"/>
        </w:rPr>
      </w:pPr>
    </w:p>
    <w:p w:rsidR="0095270E" w:rsidRPr="003F17F3" w:rsidRDefault="0095270E" w:rsidP="0095270E">
      <w:pPr>
        <w:rPr>
          <w:rFonts w:ascii="Baskerville" w:hAnsi="Baskerville"/>
          <w:b/>
          <w:u w:val="single"/>
          <w:lang w:val="en-US"/>
        </w:rPr>
      </w:pPr>
      <w:r w:rsidRPr="003F17F3">
        <w:rPr>
          <w:rFonts w:ascii="Baskerville" w:hAnsi="Baskerville"/>
          <w:b/>
          <w:u w:val="single"/>
          <w:lang w:val="en-US"/>
        </w:rPr>
        <w:t>The United Kingdom</w:t>
      </w:r>
    </w:p>
    <w:p w:rsidR="0095270E" w:rsidRDefault="0095270E" w:rsidP="0095270E">
      <w:pPr>
        <w:rPr>
          <w:rFonts w:ascii="Baskerville" w:hAnsi="Baskerville"/>
          <w:lang w:val="en-US"/>
        </w:rPr>
      </w:pPr>
    </w:p>
    <w:p w:rsidR="0095270E" w:rsidRDefault="0095270E" w:rsidP="0095270E">
      <w:pPr>
        <w:rPr>
          <w:rFonts w:ascii="Baskerville" w:hAnsi="Baskerville"/>
          <w:color w:val="FF0000"/>
          <w:lang w:val="en-US"/>
        </w:rPr>
      </w:pPr>
      <w:r w:rsidRPr="00843786">
        <w:rPr>
          <w:rFonts w:ascii="Baskerville" w:hAnsi="Baskerville"/>
          <w:lang w:val="en-US"/>
        </w:rPr>
        <w:t>With regard to domestic law,</w:t>
      </w:r>
      <w:r w:rsidRPr="002E5DB9">
        <w:rPr>
          <w:rFonts w:ascii="Baskerville" w:hAnsi="Baskerville"/>
          <w:color w:val="FF0000"/>
          <w:lang w:val="en-US"/>
        </w:rPr>
        <w:t xml:space="preserve"> </w:t>
      </w:r>
      <w:r w:rsidRPr="003F17F3">
        <w:rPr>
          <w:rFonts w:ascii="Baskerville" w:hAnsi="Baskerville"/>
          <w:lang w:val="en-US"/>
        </w:rPr>
        <w:t xml:space="preserve">the UK </w:t>
      </w:r>
      <w:r>
        <w:rPr>
          <w:rFonts w:ascii="Baskerville" w:hAnsi="Baskerville"/>
          <w:lang w:val="en-US"/>
        </w:rPr>
        <w:t>g</w:t>
      </w:r>
      <w:r w:rsidRPr="003F17F3">
        <w:rPr>
          <w:rFonts w:ascii="Baskerville" w:hAnsi="Baskerville"/>
          <w:lang w:val="en-US"/>
        </w:rPr>
        <w:t xml:space="preserve">overnment has acknowledged the existence of the precautionary principle but instead applies a </w:t>
      </w:r>
      <w:r>
        <w:rPr>
          <w:rFonts w:ascii="Baskerville" w:hAnsi="Baskerville"/>
          <w:lang w:val="en-US"/>
        </w:rPr>
        <w:t>‘</w:t>
      </w:r>
      <w:r w:rsidRPr="003F17F3">
        <w:rPr>
          <w:rFonts w:ascii="Baskerville" w:hAnsi="Baskerville"/>
          <w:lang w:val="en-US"/>
        </w:rPr>
        <w:t>preventive principle</w:t>
      </w:r>
      <w:r>
        <w:rPr>
          <w:rFonts w:ascii="Baskerville" w:hAnsi="Baskerville"/>
          <w:lang w:val="en-US"/>
        </w:rPr>
        <w:t>’</w:t>
      </w:r>
      <w:r w:rsidRPr="003F17F3">
        <w:rPr>
          <w:rFonts w:ascii="Baskerville" w:hAnsi="Baskerville"/>
          <w:lang w:val="en-US"/>
        </w:rPr>
        <w:t>.</w:t>
      </w:r>
      <w:r w:rsidRPr="003F17F3">
        <w:rPr>
          <w:rStyle w:val="FootnoteReference"/>
          <w:rFonts w:ascii="Baskerville" w:hAnsi="Baskerville"/>
          <w:lang w:val="en-US"/>
        </w:rPr>
        <w:footnoteReference w:id="13"/>
      </w:r>
      <w:r w:rsidRPr="002E5DB9">
        <w:rPr>
          <w:rFonts w:ascii="Baskerville" w:hAnsi="Baskerville"/>
          <w:color w:val="FF0000"/>
          <w:lang w:val="en-US"/>
        </w:rPr>
        <w:t xml:space="preserve"> </w:t>
      </w:r>
      <w:r w:rsidRPr="003F17F3">
        <w:rPr>
          <w:rFonts w:ascii="Baskerville" w:hAnsi="Baskerville"/>
          <w:lang w:val="en-US"/>
        </w:rPr>
        <w:t xml:space="preserve">The aim of the preventive principle is to prevent </w:t>
      </w:r>
      <w:r>
        <w:rPr>
          <w:rFonts w:ascii="Baskerville" w:hAnsi="Baskerville"/>
          <w:lang w:val="en-US"/>
        </w:rPr>
        <w:t>harm</w:t>
      </w:r>
      <w:r w:rsidRPr="003F17F3">
        <w:rPr>
          <w:rFonts w:ascii="Baskerville" w:hAnsi="Baskerville"/>
          <w:lang w:val="en-US"/>
        </w:rPr>
        <w:t xml:space="preserve"> to the environment, but only </w:t>
      </w:r>
      <w:r>
        <w:rPr>
          <w:rFonts w:ascii="Baskerville" w:hAnsi="Baskerville"/>
          <w:lang w:val="en-US"/>
        </w:rPr>
        <w:t>‘</w:t>
      </w:r>
      <w:r w:rsidRPr="003F17F3">
        <w:rPr>
          <w:rFonts w:ascii="Baskerville" w:hAnsi="Baskerville"/>
          <w:lang w:val="en-US"/>
        </w:rPr>
        <w:t xml:space="preserve">once the </w:t>
      </w:r>
      <w:r>
        <w:rPr>
          <w:rFonts w:ascii="Baskerville" w:hAnsi="Baskerville"/>
          <w:lang w:val="en-US"/>
        </w:rPr>
        <w:t>damage</w:t>
      </w:r>
      <w:r w:rsidRPr="003F17F3">
        <w:rPr>
          <w:rFonts w:ascii="Baskerville" w:hAnsi="Baskerville"/>
          <w:lang w:val="en-US"/>
        </w:rPr>
        <w:t xml:space="preserve"> is known or proved</w:t>
      </w:r>
      <w:r>
        <w:rPr>
          <w:rFonts w:ascii="Baskerville" w:hAnsi="Baskerville"/>
          <w:lang w:val="en-US"/>
        </w:rPr>
        <w:t>’</w:t>
      </w:r>
      <w:r w:rsidRPr="003F17F3">
        <w:rPr>
          <w:rFonts w:ascii="Baskerville" w:hAnsi="Baskerville"/>
          <w:lang w:val="en-US"/>
        </w:rPr>
        <w:t>.</w:t>
      </w:r>
      <w:r>
        <w:rPr>
          <w:rStyle w:val="FootnoteReference"/>
          <w:rFonts w:ascii="Baskerville" w:hAnsi="Baskerville"/>
          <w:lang w:val="en-US"/>
        </w:rPr>
        <w:footnoteReference w:id="14"/>
      </w:r>
      <w:r w:rsidRPr="002E5DB9">
        <w:rPr>
          <w:rFonts w:ascii="Baskerville" w:hAnsi="Baskerville"/>
          <w:color w:val="FF0000"/>
          <w:lang w:val="en-US"/>
        </w:rPr>
        <w:t xml:space="preserve"> </w:t>
      </w:r>
      <w:r w:rsidRPr="003F17F3">
        <w:rPr>
          <w:rFonts w:ascii="Baskerville" w:hAnsi="Baskerville"/>
          <w:lang w:val="en-US"/>
        </w:rPr>
        <w:t>Rather than adopting a precautionary approach, the UK government has adopted emission standards for ‘only the most dangerous substances’.</w:t>
      </w:r>
      <w:r w:rsidRPr="003F17F3">
        <w:rPr>
          <w:rStyle w:val="FootnoteReference"/>
          <w:rFonts w:ascii="Baskerville" w:hAnsi="Baskerville"/>
          <w:lang w:val="en-US"/>
        </w:rPr>
        <w:footnoteReference w:id="15"/>
      </w:r>
      <w:r w:rsidRPr="003F17F3">
        <w:rPr>
          <w:rFonts w:ascii="Baskerville" w:hAnsi="Baskerville"/>
          <w:lang w:val="en-US"/>
        </w:rPr>
        <w:t xml:space="preserve"> ‘The Red List’ forms the cornerstone of the British approach towards these substances.</w:t>
      </w:r>
      <w:r w:rsidRPr="003F17F3">
        <w:rPr>
          <w:rStyle w:val="FootnoteReference"/>
          <w:rFonts w:ascii="Baskerville" w:hAnsi="Baskerville"/>
          <w:lang w:val="en-US"/>
        </w:rPr>
        <w:footnoteReference w:id="16"/>
      </w:r>
      <w:r w:rsidRPr="003F17F3">
        <w:rPr>
          <w:rFonts w:ascii="Baskerville" w:hAnsi="Baskerville"/>
          <w:lang w:val="en-US"/>
        </w:rPr>
        <w:t xml:space="preserve"> </w:t>
      </w:r>
      <w:r w:rsidRPr="00D1533F">
        <w:rPr>
          <w:rFonts w:ascii="Baskerville" w:hAnsi="Baskerville"/>
          <w:lang w:val="en-US"/>
        </w:rPr>
        <w:t>However, the Red List omits two substances with higher levels of toxicity than most of the listed substances: ‘carbon tetrachloride and chloroform’.</w:t>
      </w:r>
      <w:r w:rsidRPr="00D1533F">
        <w:rPr>
          <w:rStyle w:val="FootnoteReference"/>
          <w:rFonts w:ascii="Baskerville" w:hAnsi="Baskerville"/>
          <w:lang w:val="en-US"/>
        </w:rPr>
        <w:footnoteReference w:id="17"/>
      </w:r>
      <w:r w:rsidRPr="002E5DB9">
        <w:rPr>
          <w:rFonts w:ascii="Baskerville" w:hAnsi="Baskerville"/>
          <w:color w:val="FF0000"/>
          <w:lang w:val="en-US"/>
        </w:rPr>
        <w:t xml:space="preserve"> </w:t>
      </w:r>
      <w:r w:rsidRPr="00C70E9C">
        <w:rPr>
          <w:rFonts w:ascii="Baskerville" w:hAnsi="Baskerville"/>
          <w:lang w:val="en-US"/>
        </w:rPr>
        <w:t>The limited controls on these substances and the foundations of the Red List itself are ‘both entirely inconsistent with a precautionary approach’.</w:t>
      </w:r>
      <w:r w:rsidRPr="00C70E9C">
        <w:rPr>
          <w:rStyle w:val="FootnoteReference"/>
          <w:rFonts w:ascii="Baskerville" w:hAnsi="Baskerville"/>
          <w:lang w:val="en-US"/>
        </w:rPr>
        <w:footnoteReference w:id="18"/>
      </w:r>
      <w:r w:rsidRPr="002E5DB9">
        <w:rPr>
          <w:rFonts w:ascii="Baskerville" w:hAnsi="Baskerville"/>
          <w:color w:val="FF0000"/>
          <w:lang w:val="en-US"/>
        </w:rPr>
        <w:t xml:space="preserve"> </w:t>
      </w:r>
    </w:p>
    <w:p w:rsidR="0095270E" w:rsidRDefault="0095270E" w:rsidP="0095270E">
      <w:pPr>
        <w:rPr>
          <w:rFonts w:ascii="Baskerville" w:hAnsi="Baskerville"/>
          <w:color w:val="FF0000"/>
          <w:lang w:val="en-US"/>
        </w:rPr>
      </w:pPr>
    </w:p>
    <w:p w:rsidR="0095270E" w:rsidRPr="009A1D56" w:rsidRDefault="0095270E" w:rsidP="0095270E">
      <w:pPr>
        <w:rPr>
          <w:rFonts w:ascii="Baskerville" w:hAnsi="Baskerville"/>
          <w:b/>
          <w:u w:val="single"/>
          <w:lang w:val="en-US"/>
        </w:rPr>
      </w:pPr>
      <w:r w:rsidRPr="009A1D56">
        <w:rPr>
          <w:rFonts w:ascii="Baskerville" w:hAnsi="Baskerville"/>
          <w:b/>
          <w:u w:val="single"/>
          <w:lang w:val="en-US"/>
        </w:rPr>
        <w:t>The United States</w:t>
      </w:r>
    </w:p>
    <w:p w:rsidR="0095270E" w:rsidRPr="009A1D56" w:rsidRDefault="0095270E" w:rsidP="0095270E">
      <w:pPr>
        <w:rPr>
          <w:rFonts w:ascii="Baskerville" w:hAnsi="Baskerville"/>
          <w:b/>
          <w:u w:val="single"/>
          <w:lang w:val="en-US"/>
        </w:rPr>
      </w:pPr>
    </w:p>
    <w:p w:rsidR="0095270E" w:rsidRPr="007D0000" w:rsidRDefault="0095270E" w:rsidP="0095270E">
      <w:pPr>
        <w:rPr>
          <w:rFonts w:ascii="Baskerville" w:hAnsi="Baskerville"/>
          <w:color w:val="FF0000"/>
          <w:lang w:val="en-US"/>
        </w:rPr>
      </w:pPr>
      <w:r w:rsidRPr="009A1D56">
        <w:rPr>
          <w:rFonts w:ascii="Baskerville" w:hAnsi="Baskerville"/>
          <w:lang w:val="en-US"/>
        </w:rPr>
        <w:t>The United States has demonstrated through its strong opposition to the precautionary principle at the Bergen Conference</w:t>
      </w:r>
      <w:r w:rsidRPr="009A1D56">
        <w:rPr>
          <w:rStyle w:val="FootnoteReference"/>
          <w:rFonts w:ascii="Baskerville" w:hAnsi="Baskerville"/>
          <w:lang w:val="en-US"/>
        </w:rPr>
        <w:footnoteReference w:id="19"/>
      </w:r>
      <w:r w:rsidRPr="009A1D56">
        <w:rPr>
          <w:rFonts w:ascii="Baskerville" w:hAnsi="Baskerville"/>
          <w:lang w:val="en-US"/>
        </w:rPr>
        <w:t xml:space="preserve"> and again at the Second World Climate Conference</w:t>
      </w:r>
      <w:r w:rsidRPr="009A1D56">
        <w:rPr>
          <w:rStyle w:val="FootnoteReference"/>
          <w:rFonts w:ascii="Baskerville" w:hAnsi="Baskerville"/>
          <w:lang w:val="en-US"/>
        </w:rPr>
        <w:footnoteReference w:id="20"/>
      </w:r>
      <w:r w:rsidRPr="009A1D56">
        <w:rPr>
          <w:rFonts w:ascii="Baskerville" w:hAnsi="Baskerville"/>
          <w:lang w:val="en-US"/>
        </w:rPr>
        <w:t xml:space="preserve"> that it resists accepting the principle. In its place, U.S. policy towards climate change, and other environmental problems with an uncertain future, has become known as the “no regrets” policy.</w:t>
      </w:r>
      <w:r w:rsidRPr="007D0000">
        <w:rPr>
          <w:rFonts w:ascii="Baskerville" w:hAnsi="Baskerville"/>
          <w:color w:val="FF0000"/>
          <w:lang w:val="en-US"/>
        </w:rPr>
        <w:t xml:space="preserve"> </w:t>
      </w:r>
      <w:r w:rsidRPr="009A1D56">
        <w:rPr>
          <w:rFonts w:ascii="Baskerville" w:hAnsi="Baskerville"/>
          <w:lang w:val="en-US"/>
        </w:rPr>
        <w:t xml:space="preserve">The former US Secretary of State James Baker asserted that the “no regrets” policy enables the United States “to take actions that are fully justified in </w:t>
      </w:r>
      <w:proofErr w:type="gramStart"/>
      <w:r w:rsidRPr="009A1D56">
        <w:rPr>
          <w:rFonts w:ascii="Baskerville" w:hAnsi="Baskerville"/>
          <w:lang w:val="en-US"/>
        </w:rPr>
        <w:t>their</w:t>
      </w:r>
      <w:proofErr w:type="gramEnd"/>
      <w:r w:rsidRPr="009A1D56">
        <w:rPr>
          <w:rFonts w:ascii="Baskerville" w:hAnsi="Baskerville"/>
          <w:lang w:val="en-US"/>
        </w:rPr>
        <w:t xml:space="preserve"> own right [that is, make economic sense] and which have the added advantage of coping with greenhouse gases. They’re precisely the policies we will never have cause to regret”.</w:t>
      </w:r>
      <w:r w:rsidRPr="009A1D56">
        <w:rPr>
          <w:rStyle w:val="FootnoteReference"/>
          <w:rFonts w:ascii="Baskerville" w:hAnsi="Baskerville"/>
          <w:lang w:val="en-US"/>
        </w:rPr>
        <w:footnoteReference w:id="21"/>
      </w:r>
    </w:p>
    <w:p w:rsidR="0095270E" w:rsidRPr="007D0000" w:rsidRDefault="0095270E" w:rsidP="0095270E">
      <w:pPr>
        <w:rPr>
          <w:rFonts w:ascii="Baskerville" w:hAnsi="Baskerville"/>
          <w:color w:val="FF0000"/>
          <w:lang w:val="en-US"/>
        </w:rPr>
      </w:pPr>
    </w:p>
    <w:p w:rsidR="00B308B5" w:rsidRDefault="00B308B5" w:rsidP="0095270E"/>
    <w:sectPr w:rsidR="00B308B5" w:rsidSect="00013AF3">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270E" w:rsidRDefault="0095270E" w:rsidP="0095270E">
      <w:r>
        <w:separator/>
      </w:r>
    </w:p>
  </w:endnote>
  <w:endnote w:type="continuationSeparator" w:id="0">
    <w:p w:rsidR="0095270E" w:rsidRDefault="0095270E" w:rsidP="009527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Baskerville">
    <w:panose1 w:val="02020502070401020303"/>
    <w:charset w:val="00"/>
    <w:family w:val="auto"/>
    <w:pitch w:val="variable"/>
    <w:sig w:usb0="80000067" w:usb1="02000000" w:usb2="00000000" w:usb3="00000000" w:csb0="0000019F"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270E" w:rsidRDefault="0095270E" w:rsidP="0095270E">
      <w:r>
        <w:separator/>
      </w:r>
    </w:p>
  </w:footnote>
  <w:footnote w:type="continuationSeparator" w:id="0">
    <w:p w:rsidR="0095270E" w:rsidRDefault="0095270E" w:rsidP="0095270E">
      <w:r>
        <w:continuationSeparator/>
      </w:r>
    </w:p>
  </w:footnote>
  <w:footnote w:id="1">
    <w:p w:rsidR="0095270E" w:rsidRPr="009D11B2" w:rsidRDefault="0095270E" w:rsidP="0095270E">
      <w:pPr>
        <w:pStyle w:val="FootnoteText"/>
        <w:rPr>
          <w:rFonts w:ascii="Baskerville" w:hAnsi="Baskerville"/>
          <w:color w:val="FF0000"/>
          <w:sz w:val="20"/>
          <w:szCs w:val="20"/>
          <w:lang w:val="en-US"/>
        </w:rPr>
      </w:pPr>
      <w:r w:rsidRPr="005E6A22">
        <w:rPr>
          <w:rStyle w:val="FootnoteReference"/>
          <w:rFonts w:ascii="Baskerville" w:hAnsi="Baskerville"/>
          <w:sz w:val="20"/>
          <w:szCs w:val="20"/>
        </w:rPr>
        <w:footnoteRef/>
      </w:r>
      <w:r w:rsidRPr="009D11B2">
        <w:rPr>
          <w:rFonts w:ascii="Baskerville" w:hAnsi="Baskerville"/>
          <w:color w:val="FF0000"/>
          <w:sz w:val="20"/>
          <w:szCs w:val="20"/>
        </w:rPr>
        <w:t xml:space="preserve"> </w:t>
      </w:r>
      <w:r>
        <w:rPr>
          <w:rFonts w:ascii="Baskerville" w:hAnsi="Baskerville"/>
          <w:sz w:val="20"/>
          <w:szCs w:val="20"/>
        </w:rPr>
        <w:t xml:space="preserve">J. </w:t>
      </w:r>
      <w:proofErr w:type="spellStart"/>
      <w:r>
        <w:rPr>
          <w:rFonts w:ascii="Baskerville" w:hAnsi="Baskerville"/>
          <w:sz w:val="20"/>
          <w:szCs w:val="20"/>
        </w:rPr>
        <w:t>Abouchar</w:t>
      </w:r>
      <w:proofErr w:type="spellEnd"/>
      <w:r>
        <w:rPr>
          <w:rFonts w:ascii="Baskerville" w:hAnsi="Baskerville"/>
          <w:sz w:val="20"/>
          <w:szCs w:val="20"/>
        </w:rPr>
        <w:t xml:space="preserve"> &amp; J. Cameron, ‘</w:t>
      </w:r>
      <w:r w:rsidRPr="00277796">
        <w:rPr>
          <w:rFonts w:ascii="Baskerville" w:hAnsi="Baskerville"/>
          <w:sz w:val="20"/>
          <w:szCs w:val="20"/>
          <w:lang w:val="en-US"/>
        </w:rPr>
        <w:t>The Precautionary Principle: A Fundamental Principle of Law and Policy for the Protection of the Global Environment</w:t>
      </w:r>
      <w:r>
        <w:rPr>
          <w:rFonts w:ascii="Baskerville" w:hAnsi="Baskerville"/>
          <w:sz w:val="20"/>
          <w:szCs w:val="20"/>
          <w:lang w:val="en-US"/>
        </w:rPr>
        <w:t xml:space="preserve">’, </w:t>
      </w:r>
      <w:r w:rsidRPr="00277796">
        <w:rPr>
          <w:rFonts w:ascii="Baskerville" w:hAnsi="Baskerville"/>
          <w:i/>
          <w:sz w:val="20"/>
          <w:szCs w:val="20"/>
          <w:lang w:val="en-US"/>
        </w:rPr>
        <w:t>Boston College International and Comparative Law Review</w:t>
      </w:r>
      <w:r w:rsidRPr="00277796">
        <w:rPr>
          <w:rFonts w:ascii="Baskerville" w:hAnsi="Baskerville"/>
          <w:sz w:val="20"/>
          <w:szCs w:val="20"/>
          <w:lang w:val="en-US"/>
        </w:rPr>
        <w:t xml:space="preserve"> </w:t>
      </w:r>
      <w:r>
        <w:rPr>
          <w:rFonts w:ascii="Baskerville" w:hAnsi="Baskerville"/>
          <w:sz w:val="20"/>
          <w:szCs w:val="20"/>
          <w:lang w:val="en-US"/>
        </w:rPr>
        <w:t>(1991) 14(1</w:t>
      </w:r>
      <w:r w:rsidRPr="009D11B2">
        <w:rPr>
          <w:rFonts w:ascii="Baskerville" w:hAnsi="Baskerville"/>
          <w:sz w:val="20"/>
          <w:szCs w:val="20"/>
          <w:lang w:val="en-US"/>
        </w:rPr>
        <w:t>)</w:t>
      </w:r>
      <w:r w:rsidRPr="009D11B2">
        <w:rPr>
          <w:rFonts w:ascii="Baskerville" w:hAnsi="Baskerville"/>
          <w:sz w:val="20"/>
          <w:szCs w:val="20"/>
        </w:rPr>
        <w:t>, p 20.</w:t>
      </w:r>
    </w:p>
  </w:footnote>
  <w:footnote w:id="2">
    <w:p w:rsidR="0095270E" w:rsidRPr="0078602F" w:rsidRDefault="0095270E" w:rsidP="0095270E">
      <w:pPr>
        <w:pStyle w:val="FootnoteText"/>
        <w:rPr>
          <w:rFonts w:ascii="Baskerville" w:hAnsi="Baskerville"/>
          <w:sz w:val="20"/>
          <w:szCs w:val="20"/>
          <w:lang w:val="en-US"/>
        </w:rPr>
      </w:pPr>
      <w:r w:rsidRPr="0078602F">
        <w:rPr>
          <w:rStyle w:val="FootnoteReference"/>
          <w:rFonts w:ascii="Baskerville" w:hAnsi="Baskerville"/>
          <w:sz w:val="20"/>
          <w:szCs w:val="20"/>
        </w:rPr>
        <w:footnoteRef/>
      </w:r>
      <w:r w:rsidRPr="0078602F">
        <w:rPr>
          <w:rFonts w:ascii="Baskerville" w:hAnsi="Baskerville"/>
          <w:sz w:val="20"/>
          <w:szCs w:val="20"/>
        </w:rPr>
        <w:t xml:space="preserve"> </w:t>
      </w:r>
      <w:proofErr w:type="gramStart"/>
      <w:r w:rsidRPr="0078602F">
        <w:rPr>
          <w:rFonts w:ascii="Baskerville" w:hAnsi="Baskerville"/>
          <w:sz w:val="20"/>
          <w:szCs w:val="20"/>
          <w:lang w:val="en-US"/>
        </w:rPr>
        <w:t>United Nations Convention on the Law of the Sea, U.N. Doc. AlCONF.</w:t>
      </w:r>
      <w:proofErr w:type="gramEnd"/>
      <w:r w:rsidRPr="0078602F">
        <w:rPr>
          <w:rFonts w:ascii="Baskerville" w:hAnsi="Baskerville"/>
          <w:sz w:val="20"/>
          <w:szCs w:val="20"/>
          <w:lang w:val="en-US"/>
        </w:rPr>
        <w:t xml:space="preserve"> </w:t>
      </w:r>
      <w:proofErr w:type="gramStart"/>
      <w:r w:rsidRPr="0078602F">
        <w:rPr>
          <w:rFonts w:ascii="Baskerville" w:hAnsi="Baskerville"/>
          <w:i/>
          <w:iCs/>
          <w:sz w:val="20"/>
          <w:szCs w:val="20"/>
          <w:lang w:val="en-US"/>
        </w:rPr>
        <w:t xml:space="preserve">62/122 </w:t>
      </w:r>
      <w:r w:rsidRPr="0078602F">
        <w:rPr>
          <w:rFonts w:ascii="Baskerville" w:hAnsi="Baskerville"/>
          <w:sz w:val="20"/>
          <w:szCs w:val="20"/>
          <w:lang w:val="en-US"/>
        </w:rPr>
        <w:t xml:space="preserve">(1982), 21 </w:t>
      </w:r>
      <w:r>
        <w:rPr>
          <w:rFonts w:ascii="Baskerville" w:hAnsi="Baskerville"/>
          <w:sz w:val="20"/>
          <w:szCs w:val="20"/>
          <w:lang w:val="en-US"/>
        </w:rPr>
        <w:t xml:space="preserve">ILM </w:t>
      </w:r>
      <w:r w:rsidRPr="0078602F">
        <w:rPr>
          <w:rFonts w:ascii="Baskerville" w:hAnsi="Baskerville"/>
          <w:sz w:val="20"/>
          <w:szCs w:val="20"/>
          <w:lang w:val="en-US"/>
        </w:rPr>
        <w:t>1261 (1982).</w:t>
      </w:r>
      <w:proofErr w:type="gramEnd"/>
      <w:r w:rsidRPr="0078602F">
        <w:rPr>
          <w:rFonts w:ascii="Baskerville" w:hAnsi="Baskerville"/>
          <w:sz w:val="20"/>
          <w:szCs w:val="20"/>
          <w:lang w:val="en-US"/>
        </w:rPr>
        <w:t xml:space="preserve"> </w:t>
      </w:r>
    </w:p>
  </w:footnote>
  <w:footnote w:id="3">
    <w:p w:rsidR="0095270E" w:rsidRPr="00C20E53" w:rsidRDefault="0095270E" w:rsidP="0095270E">
      <w:pPr>
        <w:pStyle w:val="FootnoteText"/>
        <w:rPr>
          <w:rFonts w:ascii="Baskerville" w:hAnsi="Baskerville"/>
          <w:sz w:val="20"/>
          <w:szCs w:val="20"/>
          <w:lang w:val="en-US"/>
        </w:rPr>
      </w:pPr>
      <w:r w:rsidRPr="00C20E53">
        <w:rPr>
          <w:rStyle w:val="FootnoteReference"/>
          <w:rFonts w:ascii="Baskerville" w:hAnsi="Baskerville"/>
          <w:sz w:val="20"/>
          <w:szCs w:val="20"/>
        </w:rPr>
        <w:footnoteRef/>
      </w:r>
      <w:r w:rsidRPr="00C20E53">
        <w:rPr>
          <w:rFonts w:ascii="Baskerville" w:hAnsi="Baskerville"/>
          <w:sz w:val="20"/>
          <w:szCs w:val="20"/>
        </w:rPr>
        <w:t xml:space="preserve"> </w:t>
      </w:r>
      <w:r w:rsidRPr="00C20E53">
        <w:rPr>
          <w:rFonts w:ascii="Baskerville" w:hAnsi="Baskerville"/>
          <w:sz w:val="20"/>
          <w:szCs w:val="20"/>
          <w:lang w:val="en-US"/>
        </w:rPr>
        <w:t>Conference on “Action for a Common Future” Bergen, Norway, May 8-16, 1990. The Government of Norway, in cooperation with the United Nations Economic Commission for Europe (ECE), organised the Bergen Conference as a follow-up to the report of the World Commission on Environment and Development, and as a preparation for the 1992 United Nations Conference on Environment and Development.</w:t>
      </w:r>
      <w:r w:rsidRPr="00FC67B7">
        <w:rPr>
          <w:rFonts w:ascii="Baskerville" w:hAnsi="Baskerville"/>
          <w:color w:val="FF0000"/>
          <w:sz w:val="20"/>
          <w:szCs w:val="20"/>
          <w:lang w:val="en-US"/>
        </w:rPr>
        <w:t xml:space="preserve"> </w:t>
      </w:r>
      <w:proofErr w:type="gramStart"/>
      <w:r w:rsidRPr="00C20E53">
        <w:rPr>
          <w:rFonts w:ascii="Baskerville" w:hAnsi="Baskerville"/>
          <w:i/>
          <w:iCs/>
          <w:sz w:val="20"/>
          <w:szCs w:val="20"/>
          <w:lang w:val="en-US"/>
        </w:rPr>
        <w:t xml:space="preserve">Bergen Conference, Bergen Ministerial Declaration on Sustainable Development in the ECE Region </w:t>
      </w:r>
      <w:r w:rsidRPr="00C20E53">
        <w:rPr>
          <w:rFonts w:ascii="Baskerville" w:hAnsi="Baskerville"/>
          <w:sz w:val="20"/>
          <w:szCs w:val="20"/>
          <w:lang w:val="en-US"/>
        </w:rPr>
        <w:t>(16</w:t>
      </w:r>
      <w:r w:rsidRPr="00C20E53">
        <w:rPr>
          <w:rFonts w:ascii="Baskerville" w:hAnsi="Baskerville"/>
          <w:sz w:val="20"/>
          <w:szCs w:val="20"/>
          <w:vertAlign w:val="superscript"/>
          <w:lang w:val="en-US"/>
        </w:rPr>
        <w:t xml:space="preserve"> </w:t>
      </w:r>
      <w:r w:rsidRPr="00C20E53">
        <w:rPr>
          <w:rFonts w:ascii="Baskerville" w:hAnsi="Baskerville"/>
          <w:sz w:val="20"/>
          <w:szCs w:val="20"/>
          <w:lang w:val="en-US"/>
        </w:rPr>
        <w:t>May 1990)</w:t>
      </w:r>
      <w:r w:rsidRPr="00C20E53">
        <w:rPr>
          <w:rFonts w:ascii="Baskerville" w:hAnsi="Baskerville"/>
          <w:i/>
          <w:iCs/>
          <w:sz w:val="20"/>
          <w:szCs w:val="20"/>
          <w:lang w:val="en-US"/>
        </w:rPr>
        <w:t xml:space="preserve">, </w:t>
      </w:r>
      <w:r w:rsidRPr="00C20E53">
        <w:rPr>
          <w:rFonts w:ascii="Baskerville" w:hAnsi="Baskerville"/>
          <w:sz w:val="20"/>
          <w:szCs w:val="20"/>
          <w:lang w:val="en-US"/>
        </w:rPr>
        <w:t>at Art.</w:t>
      </w:r>
      <w:proofErr w:type="gramEnd"/>
      <w:r w:rsidRPr="00C20E53">
        <w:rPr>
          <w:rFonts w:ascii="Baskerville" w:hAnsi="Baskerville"/>
          <w:sz w:val="20"/>
          <w:szCs w:val="20"/>
          <w:lang w:val="en-US"/>
        </w:rPr>
        <w:t xml:space="preserve"> 7. Environment ministers and officials from thirty-four ECE countries attended the Bergen Conference. </w:t>
      </w:r>
    </w:p>
  </w:footnote>
  <w:footnote w:id="4">
    <w:p w:rsidR="0095270E" w:rsidRPr="00B748AB" w:rsidRDefault="0095270E" w:rsidP="0095270E">
      <w:pPr>
        <w:pStyle w:val="FootnoteText"/>
        <w:rPr>
          <w:rFonts w:ascii="Baskerville" w:hAnsi="Baskerville"/>
          <w:sz w:val="20"/>
          <w:szCs w:val="20"/>
          <w:lang w:val="en-US"/>
        </w:rPr>
      </w:pPr>
      <w:r w:rsidRPr="00B748AB">
        <w:rPr>
          <w:rStyle w:val="FootnoteReference"/>
          <w:rFonts w:ascii="Baskerville" w:hAnsi="Baskerville"/>
          <w:sz w:val="20"/>
          <w:szCs w:val="20"/>
        </w:rPr>
        <w:footnoteRef/>
      </w:r>
      <w:r w:rsidRPr="00B748AB">
        <w:rPr>
          <w:rFonts w:ascii="Baskerville" w:hAnsi="Baskerville"/>
          <w:sz w:val="20"/>
          <w:szCs w:val="20"/>
        </w:rPr>
        <w:t xml:space="preserve"> </w:t>
      </w:r>
      <w:proofErr w:type="spellStart"/>
      <w:proofErr w:type="gramStart"/>
      <w:r w:rsidRPr="00B748AB">
        <w:rPr>
          <w:rFonts w:ascii="Baskerville" w:hAnsi="Baskerville"/>
          <w:sz w:val="20"/>
          <w:szCs w:val="20"/>
        </w:rPr>
        <w:t>Abouchar</w:t>
      </w:r>
      <w:proofErr w:type="spellEnd"/>
      <w:r w:rsidRPr="00B748AB">
        <w:rPr>
          <w:rFonts w:ascii="Baskerville" w:hAnsi="Baskerville"/>
          <w:sz w:val="20"/>
          <w:szCs w:val="20"/>
        </w:rPr>
        <w:t xml:space="preserve"> &amp; Cameron (n 33), p 10.</w:t>
      </w:r>
      <w:proofErr w:type="gramEnd"/>
    </w:p>
  </w:footnote>
  <w:footnote w:id="5">
    <w:p w:rsidR="0095270E" w:rsidRPr="009F779D" w:rsidRDefault="0095270E" w:rsidP="0095270E">
      <w:pPr>
        <w:pStyle w:val="FootnoteText"/>
        <w:rPr>
          <w:rFonts w:ascii="Baskerville" w:hAnsi="Baskerville"/>
          <w:sz w:val="20"/>
          <w:szCs w:val="20"/>
          <w:lang w:val="en-US"/>
        </w:rPr>
      </w:pPr>
      <w:r w:rsidRPr="00BE60E3">
        <w:rPr>
          <w:rStyle w:val="FootnoteReference"/>
          <w:rFonts w:ascii="Baskerville" w:hAnsi="Baskerville"/>
          <w:sz w:val="20"/>
          <w:szCs w:val="20"/>
        </w:rPr>
        <w:footnoteRef/>
      </w:r>
      <w:r w:rsidRPr="00BE60E3">
        <w:rPr>
          <w:rFonts w:ascii="Baskerville" w:hAnsi="Baskerville"/>
          <w:sz w:val="20"/>
          <w:szCs w:val="20"/>
        </w:rPr>
        <w:t xml:space="preserve"> </w:t>
      </w:r>
      <w:r w:rsidRPr="009D11B2">
        <w:rPr>
          <w:rFonts w:ascii="Baskerville" w:hAnsi="Baskerville"/>
          <w:sz w:val="20"/>
          <w:szCs w:val="20"/>
          <w:lang w:val="en-US"/>
        </w:rPr>
        <w:t>Canadian Environmental Protection Act 1999:</w:t>
      </w:r>
      <w:r>
        <w:rPr>
          <w:rFonts w:ascii="Baskerville" w:hAnsi="Baskerville"/>
          <w:sz w:val="20"/>
          <w:szCs w:val="20"/>
          <w:lang w:val="en-US"/>
        </w:rPr>
        <w:t xml:space="preserve"> </w:t>
      </w:r>
      <w:r w:rsidRPr="00BE60E3">
        <w:rPr>
          <w:rFonts w:ascii="Baskerville" w:hAnsi="Baskerville"/>
          <w:sz w:val="20"/>
          <w:szCs w:val="20"/>
          <w:lang w:val="en-US"/>
        </w:rPr>
        <w:t>“Whereas the Government of Canada is committed to implementing the precautionary principle that, where there are threats of serious or irreversible damage, lack of full scientific certainty shall not be used as a reason for postponing cost-effective measures to prev</w:t>
      </w:r>
      <w:r>
        <w:rPr>
          <w:rFonts w:ascii="Baskerville" w:hAnsi="Baskerville"/>
          <w:sz w:val="20"/>
          <w:szCs w:val="20"/>
          <w:lang w:val="en-US"/>
        </w:rPr>
        <w:t>ent environmental degradation.</w:t>
      </w:r>
      <w:proofErr w:type="gramStart"/>
      <w:r>
        <w:rPr>
          <w:rFonts w:ascii="Baskerville" w:hAnsi="Baskerville"/>
          <w:sz w:val="20"/>
          <w:szCs w:val="20"/>
          <w:lang w:val="en-US"/>
        </w:rPr>
        <w:t>”;</w:t>
      </w:r>
      <w:proofErr w:type="gramEnd"/>
      <w:r>
        <w:rPr>
          <w:rFonts w:ascii="Baskerville" w:hAnsi="Baskerville"/>
          <w:sz w:val="20"/>
          <w:szCs w:val="20"/>
          <w:lang w:val="en-US"/>
        </w:rPr>
        <w:t xml:space="preserve"> </w:t>
      </w:r>
      <w:r>
        <w:rPr>
          <w:rFonts w:ascii="Baskerville" w:hAnsi="Baskerville"/>
          <w:sz w:val="20"/>
          <w:szCs w:val="20"/>
        </w:rPr>
        <w:t>t</w:t>
      </w:r>
      <w:r w:rsidRPr="00174893">
        <w:rPr>
          <w:rFonts w:ascii="Baskerville" w:hAnsi="Baskerville"/>
          <w:sz w:val="20"/>
          <w:szCs w:val="20"/>
        </w:rPr>
        <w:t xml:space="preserve">he </w:t>
      </w:r>
      <w:r w:rsidRPr="009F779D">
        <w:rPr>
          <w:rFonts w:ascii="Baskerville" w:hAnsi="Baskerville"/>
          <w:sz w:val="20"/>
          <w:szCs w:val="20"/>
        </w:rPr>
        <w:t>Rio Declaration (n 4), Principle 15.</w:t>
      </w:r>
    </w:p>
  </w:footnote>
  <w:footnote w:id="6">
    <w:p w:rsidR="0095270E" w:rsidRPr="003E6444" w:rsidRDefault="0095270E" w:rsidP="0095270E">
      <w:pPr>
        <w:pStyle w:val="FootnoteText"/>
        <w:rPr>
          <w:rFonts w:ascii="Baskerville" w:hAnsi="Baskerville"/>
          <w:sz w:val="20"/>
          <w:szCs w:val="20"/>
          <w:lang w:val="en-US"/>
        </w:rPr>
      </w:pPr>
      <w:r w:rsidRPr="009F779D">
        <w:rPr>
          <w:rStyle w:val="FootnoteReference"/>
          <w:rFonts w:ascii="Baskerville" w:hAnsi="Baskerville"/>
          <w:sz w:val="20"/>
          <w:szCs w:val="20"/>
        </w:rPr>
        <w:footnoteRef/>
      </w:r>
      <w:r w:rsidRPr="009F779D">
        <w:rPr>
          <w:rFonts w:ascii="Baskerville" w:hAnsi="Baskerville"/>
          <w:sz w:val="20"/>
          <w:szCs w:val="20"/>
        </w:rPr>
        <w:t xml:space="preserve"> See the </w:t>
      </w:r>
      <w:r>
        <w:rPr>
          <w:rFonts w:ascii="Baskerville" w:hAnsi="Baskerville"/>
          <w:sz w:val="20"/>
          <w:szCs w:val="20"/>
        </w:rPr>
        <w:t xml:space="preserve">Report of the UNCED, </w:t>
      </w:r>
      <w:r w:rsidRPr="009F779D">
        <w:rPr>
          <w:rFonts w:ascii="Baskerville" w:hAnsi="Baskerville"/>
          <w:sz w:val="20"/>
          <w:szCs w:val="20"/>
        </w:rPr>
        <w:t xml:space="preserve">UN </w:t>
      </w:r>
      <w:proofErr w:type="spellStart"/>
      <w:r w:rsidRPr="009F779D">
        <w:rPr>
          <w:rFonts w:ascii="Baskerville" w:hAnsi="Baskerville"/>
          <w:sz w:val="20"/>
          <w:szCs w:val="20"/>
        </w:rPr>
        <w:t>Doc.A</w:t>
      </w:r>
      <w:proofErr w:type="spellEnd"/>
      <w:r w:rsidRPr="009F779D">
        <w:rPr>
          <w:rFonts w:ascii="Baskerville" w:hAnsi="Baskerville"/>
          <w:sz w:val="20"/>
          <w:szCs w:val="20"/>
        </w:rPr>
        <w:t>/CONF.151/26 (1992), Chapter 17.22; the preamble to the Cartagena Protocol on Biosafety to the Convention on Biodiversity</w:t>
      </w:r>
      <w:r>
        <w:rPr>
          <w:rFonts w:ascii="Baskerville" w:hAnsi="Baskerville"/>
          <w:sz w:val="20"/>
          <w:szCs w:val="20"/>
        </w:rPr>
        <w:t xml:space="preserve">, </w:t>
      </w:r>
      <w:r w:rsidRPr="005A1558">
        <w:rPr>
          <w:rFonts w:ascii="Baskerville" w:hAnsi="Baskerville"/>
          <w:sz w:val="20"/>
          <w:szCs w:val="20"/>
          <w:lang w:val="en-US"/>
        </w:rPr>
        <w:t xml:space="preserve">2226 U.N.T.S. 208; </w:t>
      </w:r>
      <w:r w:rsidRPr="008F751C">
        <w:rPr>
          <w:rFonts w:ascii="Baskerville" w:hAnsi="Baskerville"/>
          <w:sz w:val="20"/>
          <w:szCs w:val="20"/>
          <w:lang w:val="en-US"/>
        </w:rPr>
        <w:t>39 ILM</w:t>
      </w:r>
      <w:r w:rsidRPr="005A1558">
        <w:rPr>
          <w:rFonts w:ascii="Baskerville" w:hAnsi="Baskerville"/>
          <w:sz w:val="20"/>
          <w:szCs w:val="20"/>
          <w:lang w:val="en-US"/>
        </w:rPr>
        <w:t xml:space="preserve"> 1027 (2000); UN Doc. UNEP/CBD/ExCOP/1/3, at 42 (2000)</w:t>
      </w:r>
      <w:r w:rsidRPr="005A1558">
        <w:rPr>
          <w:rFonts w:ascii="Baskerville" w:hAnsi="Baskerville"/>
          <w:sz w:val="20"/>
          <w:szCs w:val="20"/>
        </w:rPr>
        <w:t>;</w:t>
      </w:r>
      <w:r>
        <w:rPr>
          <w:rFonts w:ascii="Baskerville" w:hAnsi="Baskerville"/>
          <w:color w:val="FF0000"/>
          <w:sz w:val="20"/>
          <w:szCs w:val="20"/>
        </w:rPr>
        <w:t xml:space="preserve"> </w:t>
      </w:r>
      <w:r w:rsidRPr="006F26E0">
        <w:rPr>
          <w:rFonts w:ascii="Baskerville" w:hAnsi="Baskerville"/>
          <w:sz w:val="20"/>
          <w:szCs w:val="20"/>
        </w:rPr>
        <w:t>the Stockholm Convention on Persistent Organic Pollutant</w:t>
      </w:r>
      <w:r>
        <w:rPr>
          <w:rFonts w:ascii="Baskerville" w:hAnsi="Baskerville"/>
          <w:sz w:val="20"/>
          <w:szCs w:val="20"/>
        </w:rPr>
        <w:t xml:space="preserve">s, </w:t>
      </w:r>
      <w:r w:rsidRPr="005A1558">
        <w:rPr>
          <w:rFonts w:ascii="Baskerville" w:hAnsi="Baskerville"/>
          <w:sz w:val="20"/>
          <w:szCs w:val="20"/>
          <w:lang w:val="en-US"/>
        </w:rPr>
        <w:t>2256 UNTS 119; 40 ILM 532 (2001)</w:t>
      </w:r>
      <w:r w:rsidRPr="006F26E0">
        <w:rPr>
          <w:rFonts w:ascii="Baskerville" w:hAnsi="Baskerville"/>
          <w:sz w:val="20"/>
          <w:szCs w:val="20"/>
        </w:rPr>
        <w:t>, Arts. 1, 8-9</w:t>
      </w:r>
      <w:r w:rsidRPr="00815F4A">
        <w:rPr>
          <w:rFonts w:ascii="Baskerville" w:hAnsi="Baskerville"/>
          <w:sz w:val="20"/>
          <w:szCs w:val="20"/>
        </w:rPr>
        <w:t>, and the United Nations Framework Convention on Climate Change (UNFCCC)</w:t>
      </w:r>
      <w:r>
        <w:rPr>
          <w:rFonts w:ascii="Baskerville" w:hAnsi="Baskerville"/>
          <w:sz w:val="20"/>
          <w:szCs w:val="20"/>
        </w:rPr>
        <w:t xml:space="preserve">, </w:t>
      </w:r>
      <w:r w:rsidRPr="00815F4A">
        <w:rPr>
          <w:rFonts w:ascii="Baskerville" w:hAnsi="Baskerville"/>
          <w:sz w:val="20"/>
          <w:szCs w:val="20"/>
          <w:lang w:val="en-US"/>
        </w:rPr>
        <w:t xml:space="preserve">1771 UNTS 107; S. Treaty Doc No. 102-38; U.N. Doc. </w:t>
      </w:r>
      <w:proofErr w:type="gramStart"/>
      <w:r w:rsidRPr="00815F4A">
        <w:rPr>
          <w:rFonts w:ascii="Baskerville" w:hAnsi="Baskerville"/>
          <w:sz w:val="20"/>
          <w:szCs w:val="20"/>
          <w:lang w:val="en-US"/>
        </w:rPr>
        <w:t>A/AC.237/18 (Part II)/Add.1; 31 ILM 849 (1992)</w:t>
      </w:r>
      <w:r w:rsidRPr="00815F4A">
        <w:rPr>
          <w:rFonts w:ascii="Baskerville" w:hAnsi="Baskerville"/>
          <w:sz w:val="20"/>
          <w:szCs w:val="20"/>
        </w:rPr>
        <w:t>, Art.</w:t>
      </w:r>
      <w:proofErr w:type="gramEnd"/>
      <w:r w:rsidRPr="00815F4A">
        <w:rPr>
          <w:rFonts w:ascii="Baskerville" w:hAnsi="Baskerville"/>
          <w:sz w:val="20"/>
          <w:szCs w:val="20"/>
        </w:rPr>
        <w:t xml:space="preserve"> 3.</w:t>
      </w:r>
      <w:r>
        <w:rPr>
          <w:rFonts w:ascii="Baskerville" w:hAnsi="Baskerville"/>
          <w:color w:val="FF0000"/>
          <w:sz w:val="20"/>
          <w:szCs w:val="20"/>
        </w:rPr>
        <w:t xml:space="preserve"> </w:t>
      </w:r>
    </w:p>
  </w:footnote>
  <w:footnote w:id="7">
    <w:p w:rsidR="0095270E" w:rsidRPr="00D62FB4" w:rsidRDefault="0095270E" w:rsidP="0095270E">
      <w:pPr>
        <w:pStyle w:val="FootnoteText"/>
        <w:rPr>
          <w:rFonts w:ascii="Baskerville" w:hAnsi="Baskerville"/>
          <w:sz w:val="20"/>
          <w:szCs w:val="20"/>
          <w:lang w:val="en-US"/>
        </w:rPr>
      </w:pPr>
      <w:r w:rsidRPr="00D62FB4">
        <w:rPr>
          <w:rStyle w:val="FootnoteReference"/>
          <w:rFonts w:ascii="Baskerville" w:hAnsi="Baskerville"/>
          <w:sz w:val="20"/>
          <w:szCs w:val="20"/>
        </w:rPr>
        <w:footnoteRef/>
      </w:r>
      <w:r w:rsidRPr="00D62FB4">
        <w:rPr>
          <w:rFonts w:ascii="Baskerville" w:hAnsi="Baskerville"/>
          <w:sz w:val="20"/>
          <w:szCs w:val="20"/>
        </w:rPr>
        <w:t xml:space="preserve"> </w:t>
      </w:r>
      <w:r w:rsidRPr="00D62FB4">
        <w:rPr>
          <w:rFonts w:ascii="Baskerville" w:hAnsi="Baskerville"/>
          <w:sz w:val="20"/>
          <w:szCs w:val="20"/>
          <w:lang w:val="en-US"/>
        </w:rPr>
        <w:t>Pest Control Products Act S.C. 2002, c. 28; Canada Marine Conservation Areas Act 2002.</w:t>
      </w:r>
    </w:p>
  </w:footnote>
  <w:footnote w:id="8">
    <w:p w:rsidR="0095270E" w:rsidRPr="00B94F59" w:rsidRDefault="0095270E" w:rsidP="0095270E">
      <w:pPr>
        <w:pStyle w:val="FootnoteText"/>
        <w:rPr>
          <w:rFonts w:ascii="Baskerville" w:hAnsi="Baskerville"/>
          <w:sz w:val="20"/>
          <w:szCs w:val="20"/>
          <w:lang w:val="en-US"/>
        </w:rPr>
      </w:pPr>
      <w:r w:rsidRPr="00D62FB4">
        <w:rPr>
          <w:rStyle w:val="FootnoteReference"/>
          <w:rFonts w:ascii="Baskerville" w:hAnsi="Baskerville"/>
          <w:sz w:val="20"/>
          <w:szCs w:val="20"/>
        </w:rPr>
        <w:footnoteRef/>
      </w:r>
      <w:r w:rsidRPr="00D62FB4">
        <w:rPr>
          <w:rFonts w:ascii="Baskerville" w:hAnsi="Baskerville"/>
          <w:sz w:val="20"/>
          <w:szCs w:val="20"/>
        </w:rPr>
        <w:t xml:space="preserve"> </w:t>
      </w:r>
      <w:proofErr w:type="gramStart"/>
      <w:r w:rsidRPr="00D62FB4">
        <w:rPr>
          <w:rFonts w:ascii="Baskerville" w:hAnsi="Baskerville"/>
          <w:sz w:val="20"/>
          <w:szCs w:val="20"/>
          <w:lang w:val="en-US"/>
        </w:rPr>
        <w:t>Canada Consumer Product Safety Act 2010.</w:t>
      </w:r>
      <w:proofErr w:type="gramEnd"/>
    </w:p>
  </w:footnote>
  <w:footnote w:id="9">
    <w:p w:rsidR="0095270E" w:rsidRPr="00A571F3" w:rsidRDefault="0095270E" w:rsidP="0095270E">
      <w:pPr>
        <w:pStyle w:val="FootnoteText"/>
        <w:rPr>
          <w:rFonts w:ascii="Baskerville" w:hAnsi="Baskerville"/>
          <w:sz w:val="20"/>
          <w:szCs w:val="20"/>
          <w:lang w:val="en-US"/>
        </w:rPr>
      </w:pPr>
      <w:r w:rsidRPr="00A571F3">
        <w:rPr>
          <w:rStyle w:val="FootnoteReference"/>
          <w:rFonts w:ascii="Baskerville" w:hAnsi="Baskerville"/>
          <w:sz w:val="20"/>
          <w:szCs w:val="20"/>
        </w:rPr>
        <w:footnoteRef/>
      </w:r>
      <w:r w:rsidRPr="00A571F3">
        <w:rPr>
          <w:rFonts w:ascii="Baskerville" w:hAnsi="Baskerville"/>
          <w:sz w:val="20"/>
          <w:szCs w:val="20"/>
        </w:rPr>
        <w:t xml:space="preserve"> </w:t>
      </w:r>
      <w:proofErr w:type="gramStart"/>
      <w:r w:rsidRPr="00BE5372">
        <w:rPr>
          <w:rFonts w:ascii="Baskerville" w:hAnsi="Baskerville"/>
          <w:sz w:val="20"/>
          <w:szCs w:val="20"/>
        </w:rPr>
        <w:t xml:space="preserve">Government of Canada, </w:t>
      </w:r>
      <w:r w:rsidRPr="00BE5372">
        <w:rPr>
          <w:rFonts w:ascii="Baskerville" w:hAnsi="Baskerville"/>
          <w:sz w:val="20"/>
          <w:szCs w:val="20"/>
          <w:lang w:val="en-US"/>
        </w:rPr>
        <w:t>‘A Canadian Perspective on the Precautionary Approach/Principle’, Canadian Government Discussion Paper (September 2001).</w:t>
      </w:r>
      <w:proofErr w:type="gramEnd"/>
    </w:p>
  </w:footnote>
  <w:footnote w:id="10">
    <w:p w:rsidR="0095270E" w:rsidRPr="002923CB" w:rsidRDefault="0095270E" w:rsidP="0095270E">
      <w:pPr>
        <w:pStyle w:val="FootnoteText"/>
        <w:rPr>
          <w:rFonts w:ascii="Baskerville" w:hAnsi="Baskerville"/>
          <w:sz w:val="20"/>
          <w:szCs w:val="20"/>
          <w:lang w:val="en-US"/>
        </w:rPr>
      </w:pPr>
      <w:r w:rsidRPr="002923CB">
        <w:rPr>
          <w:rStyle w:val="FootnoteReference"/>
          <w:rFonts w:ascii="Baskerville" w:hAnsi="Baskerville"/>
          <w:sz w:val="20"/>
          <w:szCs w:val="20"/>
        </w:rPr>
        <w:footnoteRef/>
      </w:r>
      <w:r w:rsidRPr="002923CB">
        <w:rPr>
          <w:rFonts w:ascii="Baskerville" w:hAnsi="Baskerville"/>
          <w:sz w:val="20"/>
          <w:szCs w:val="20"/>
        </w:rPr>
        <w:t xml:space="preserve"> </w:t>
      </w:r>
      <w:r>
        <w:rPr>
          <w:rFonts w:ascii="Baskerville" w:hAnsi="Baskerville"/>
          <w:sz w:val="20"/>
          <w:szCs w:val="20"/>
        </w:rPr>
        <w:t>Ibid.</w:t>
      </w:r>
    </w:p>
  </w:footnote>
  <w:footnote w:id="11">
    <w:p w:rsidR="0095270E" w:rsidRPr="00A41E8C" w:rsidRDefault="0095270E" w:rsidP="0095270E">
      <w:pPr>
        <w:pStyle w:val="FootnoteText"/>
        <w:rPr>
          <w:rFonts w:ascii="Baskerville" w:hAnsi="Baskerville"/>
          <w:sz w:val="20"/>
          <w:szCs w:val="20"/>
          <w:lang w:val="en-US"/>
        </w:rPr>
      </w:pPr>
      <w:r w:rsidRPr="00A41E8C">
        <w:rPr>
          <w:rStyle w:val="FootnoteReference"/>
          <w:rFonts w:ascii="Baskerville" w:hAnsi="Baskerville"/>
          <w:sz w:val="20"/>
          <w:szCs w:val="20"/>
        </w:rPr>
        <w:footnoteRef/>
      </w:r>
      <w:r w:rsidRPr="00A41E8C">
        <w:rPr>
          <w:rFonts w:ascii="Baskerville" w:hAnsi="Baskerville"/>
          <w:sz w:val="20"/>
          <w:szCs w:val="20"/>
        </w:rPr>
        <w:t xml:space="preserve"> The Rio Declaration (n 4), </w:t>
      </w:r>
      <w:proofErr w:type="gramStart"/>
      <w:r w:rsidRPr="00A41E8C">
        <w:rPr>
          <w:rFonts w:ascii="Baskerville" w:hAnsi="Baskerville"/>
          <w:sz w:val="20"/>
          <w:szCs w:val="20"/>
        </w:rPr>
        <w:t>Principle</w:t>
      </w:r>
      <w:proofErr w:type="gramEnd"/>
      <w:r w:rsidRPr="00A41E8C">
        <w:rPr>
          <w:rFonts w:ascii="Baskerville" w:hAnsi="Baskerville"/>
          <w:sz w:val="20"/>
          <w:szCs w:val="20"/>
        </w:rPr>
        <w:t xml:space="preserve"> 16.</w:t>
      </w:r>
    </w:p>
  </w:footnote>
  <w:footnote w:id="12">
    <w:p w:rsidR="0095270E" w:rsidRPr="00B748AB" w:rsidRDefault="0095270E" w:rsidP="0095270E">
      <w:pPr>
        <w:pStyle w:val="FootnoteText"/>
        <w:rPr>
          <w:rFonts w:ascii="Baskerville" w:hAnsi="Baskerville"/>
          <w:b/>
          <w:bCs/>
          <w:sz w:val="20"/>
          <w:szCs w:val="20"/>
          <w:lang w:val="en-US"/>
        </w:rPr>
      </w:pPr>
      <w:r w:rsidRPr="00B748AB">
        <w:rPr>
          <w:rStyle w:val="FootnoteReference"/>
          <w:rFonts w:ascii="Baskerville" w:hAnsi="Baskerville"/>
          <w:sz w:val="20"/>
          <w:szCs w:val="20"/>
        </w:rPr>
        <w:footnoteRef/>
      </w:r>
      <w:r w:rsidRPr="00B748AB">
        <w:rPr>
          <w:rFonts w:ascii="Baskerville" w:hAnsi="Baskerville"/>
          <w:sz w:val="20"/>
          <w:szCs w:val="20"/>
        </w:rPr>
        <w:t xml:space="preserve"> </w:t>
      </w:r>
      <w:proofErr w:type="gramStart"/>
      <w:r w:rsidRPr="00B748AB">
        <w:rPr>
          <w:rFonts w:ascii="Baskerville" w:hAnsi="Baskerville"/>
          <w:sz w:val="20"/>
          <w:szCs w:val="20"/>
          <w:lang w:val="en-US"/>
        </w:rPr>
        <w:t>Guruswamy (n 25)</w:t>
      </w:r>
      <w:r w:rsidRPr="00B748AB">
        <w:rPr>
          <w:rFonts w:ascii="Baskerville" w:hAnsi="Baskerville"/>
          <w:sz w:val="20"/>
          <w:szCs w:val="20"/>
        </w:rPr>
        <w:t>, at 655.</w:t>
      </w:r>
      <w:proofErr w:type="gramEnd"/>
    </w:p>
  </w:footnote>
  <w:footnote w:id="13">
    <w:p w:rsidR="0095270E" w:rsidRPr="00D97B21" w:rsidRDefault="0095270E" w:rsidP="0095270E">
      <w:pPr>
        <w:pStyle w:val="FootnoteText"/>
        <w:rPr>
          <w:rFonts w:ascii="Baskerville" w:hAnsi="Baskerville"/>
          <w:sz w:val="20"/>
          <w:szCs w:val="20"/>
          <w:lang w:val="en-US"/>
        </w:rPr>
      </w:pPr>
      <w:r w:rsidRPr="00D97B21">
        <w:rPr>
          <w:rStyle w:val="FootnoteReference"/>
          <w:rFonts w:ascii="Baskerville" w:hAnsi="Baskerville"/>
          <w:sz w:val="20"/>
          <w:szCs w:val="20"/>
        </w:rPr>
        <w:footnoteRef/>
      </w:r>
      <w:r w:rsidRPr="00D97B21">
        <w:rPr>
          <w:rFonts w:ascii="Baskerville" w:hAnsi="Baskerville"/>
          <w:sz w:val="20"/>
          <w:szCs w:val="20"/>
        </w:rPr>
        <w:t xml:space="preserve"> </w:t>
      </w:r>
      <w:r w:rsidRPr="00D97B21">
        <w:rPr>
          <w:rFonts w:ascii="Baskerville" w:hAnsi="Baskerville"/>
          <w:sz w:val="20"/>
          <w:szCs w:val="20"/>
          <w:lang w:val="en-US"/>
        </w:rPr>
        <w:t>Address by A. Campbell, Central Unit on the Environment, Department of the Environment, U.K., Symposium on Application and Enforcement of Environmental Law, King</w:t>
      </w:r>
      <w:r>
        <w:rPr>
          <w:rFonts w:ascii="Baskerville" w:hAnsi="Baskerville"/>
          <w:sz w:val="20"/>
          <w:szCs w:val="20"/>
          <w:lang w:val="en-US"/>
        </w:rPr>
        <w:t>’</w:t>
      </w:r>
      <w:r w:rsidRPr="00D97B21">
        <w:rPr>
          <w:rFonts w:ascii="Baskerville" w:hAnsi="Baskerville"/>
          <w:sz w:val="20"/>
          <w:szCs w:val="20"/>
          <w:lang w:val="en-US"/>
        </w:rPr>
        <w:t xml:space="preserve">s College, London (May 30, 1990). </w:t>
      </w:r>
    </w:p>
  </w:footnote>
  <w:footnote w:id="14">
    <w:p w:rsidR="0095270E" w:rsidRPr="003F17F3" w:rsidRDefault="0095270E" w:rsidP="0095270E">
      <w:pPr>
        <w:pStyle w:val="FootnoteText"/>
        <w:rPr>
          <w:rFonts w:ascii="Baskerville" w:hAnsi="Baskerville"/>
          <w:sz w:val="20"/>
          <w:szCs w:val="20"/>
          <w:lang w:val="en-US"/>
        </w:rPr>
      </w:pPr>
      <w:r w:rsidRPr="003F17F3">
        <w:rPr>
          <w:rStyle w:val="FootnoteReference"/>
          <w:rFonts w:ascii="Baskerville" w:hAnsi="Baskerville"/>
          <w:sz w:val="20"/>
          <w:szCs w:val="20"/>
        </w:rPr>
        <w:footnoteRef/>
      </w:r>
      <w:r w:rsidRPr="003F17F3">
        <w:rPr>
          <w:rFonts w:ascii="Baskerville" w:hAnsi="Baskerville"/>
          <w:sz w:val="20"/>
          <w:szCs w:val="20"/>
        </w:rPr>
        <w:t xml:space="preserve"> </w:t>
      </w:r>
      <w:r>
        <w:rPr>
          <w:rFonts w:ascii="Baskerville" w:hAnsi="Baskerville"/>
          <w:sz w:val="20"/>
          <w:szCs w:val="20"/>
        </w:rPr>
        <w:t>Ibid.</w:t>
      </w:r>
    </w:p>
  </w:footnote>
  <w:footnote w:id="15">
    <w:p w:rsidR="0095270E" w:rsidRPr="003F17F3" w:rsidRDefault="0095270E" w:rsidP="0095270E">
      <w:pPr>
        <w:pStyle w:val="FootnoteText"/>
        <w:rPr>
          <w:rFonts w:ascii="Baskerville" w:hAnsi="Baskerville"/>
          <w:sz w:val="20"/>
          <w:szCs w:val="20"/>
          <w:lang w:val="en-US"/>
        </w:rPr>
      </w:pPr>
      <w:r w:rsidRPr="003F17F3">
        <w:rPr>
          <w:rStyle w:val="FootnoteReference"/>
          <w:rFonts w:ascii="Baskerville" w:hAnsi="Baskerville"/>
          <w:sz w:val="20"/>
          <w:szCs w:val="20"/>
        </w:rPr>
        <w:footnoteRef/>
      </w:r>
      <w:r w:rsidRPr="003F17F3">
        <w:rPr>
          <w:rFonts w:ascii="Baskerville" w:hAnsi="Baskerville"/>
          <w:sz w:val="20"/>
          <w:szCs w:val="20"/>
        </w:rPr>
        <w:t xml:space="preserve"> </w:t>
      </w:r>
      <w:r>
        <w:rPr>
          <w:rFonts w:ascii="Baskerville" w:hAnsi="Baskerville"/>
          <w:sz w:val="20"/>
          <w:szCs w:val="20"/>
        </w:rPr>
        <w:t>Ibid.</w:t>
      </w:r>
    </w:p>
  </w:footnote>
  <w:footnote w:id="16">
    <w:p w:rsidR="0095270E" w:rsidRPr="00C70E9C" w:rsidRDefault="0095270E" w:rsidP="0095270E">
      <w:pPr>
        <w:pStyle w:val="FootnoteText"/>
        <w:rPr>
          <w:rFonts w:ascii="Baskerville" w:hAnsi="Baskerville"/>
          <w:sz w:val="20"/>
          <w:szCs w:val="20"/>
          <w:lang w:val="en-US"/>
        </w:rPr>
      </w:pPr>
      <w:r w:rsidRPr="008E73DA">
        <w:rPr>
          <w:rStyle w:val="FootnoteReference"/>
          <w:rFonts w:ascii="Baskerville" w:hAnsi="Baskerville"/>
          <w:sz w:val="20"/>
          <w:szCs w:val="20"/>
        </w:rPr>
        <w:footnoteRef/>
      </w:r>
      <w:r w:rsidRPr="008E73DA">
        <w:rPr>
          <w:rFonts w:ascii="Baskerville" w:hAnsi="Baskerville"/>
          <w:sz w:val="20"/>
          <w:szCs w:val="20"/>
        </w:rPr>
        <w:t xml:space="preserve"> </w:t>
      </w:r>
      <w:r>
        <w:rPr>
          <w:rFonts w:ascii="Baskerville" w:hAnsi="Baskerville"/>
          <w:sz w:val="20"/>
          <w:szCs w:val="20"/>
        </w:rPr>
        <w:t xml:space="preserve">R.R. </w:t>
      </w:r>
      <w:r w:rsidRPr="008E73DA">
        <w:rPr>
          <w:rFonts w:ascii="Baskerville" w:hAnsi="Baskerville"/>
          <w:sz w:val="20"/>
          <w:szCs w:val="20"/>
          <w:lang w:val="en-US"/>
        </w:rPr>
        <w:t xml:space="preserve">Churchill &amp; </w:t>
      </w:r>
      <w:r>
        <w:rPr>
          <w:rFonts w:ascii="Baskerville" w:hAnsi="Baskerville"/>
          <w:sz w:val="20"/>
          <w:szCs w:val="20"/>
          <w:lang w:val="en-US"/>
        </w:rPr>
        <w:t xml:space="preserve">J. </w:t>
      </w:r>
      <w:r w:rsidRPr="008E73DA">
        <w:rPr>
          <w:rFonts w:ascii="Baskerville" w:hAnsi="Baskerville"/>
          <w:sz w:val="20"/>
          <w:szCs w:val="20"/>
          <w:lang w:val="en-US"/>
        </w:rPr>
        <w:t xml:space="preserve">Gibson, </w:t>
      </w:r>
      <w:r w:rsidRPr="008E73DA">
        <w:rPr>
          <w:rFonts w:ascii="Baskerville" w:hAnsi="Baskerville"/>
          <w:i/>
          <w:iCs/>
          <w:sz w:val="20"/>
          <w:szCs w:val="20"/>
          <w:lang w:val="en-US"/>
        </w:rPr>
        <w:t xml:space="preserve">The Implementation of the North Sea Declarations by the United Kingdom: An Assessment, </w:t>
      </w:r>
      <w:r w:rsidRPr="008E73DA">
        <w:rPr>
          <w:rFonts w:ascii="Baskerville" w:hAnsi="Baskerville"/>
          <w:sz w:val="20"/>
          <w:szCs w:val="20"/>
          <w:lang w:val="en-US"/>
        </w:rPr>
        <w:t>in T</w:t>
      </w:r>
      <w:r>
        <w:rPr>
          <w:rFonts w:ascii="Baskerville" w:hAnsi="Baskerville"/>
          <w:sz w:val="20"/>
          <w:szCs w:val="20"/>
          <w:lang w:val="en-US"/>
        </w:rPr>
        <w:t>hird North Sea Conference: Greenpeace Paper</w:t>
      </w:r>
      <w:r w:rsidRPr="008E73DA">
        <w:rPr>
          <w:rFonts w:ascii="Baskerville" w:hAnsi="Baskerville"/>
          <w:sz w:val="20"/>
          <w:szCs w:val="20"/>
          <w:lang w:val="en-US"/>
        </w:rPr>
        <w:t xml:space="preserve"> </w:t>
      </w:r>
      <w:r>
        <w:rPr>
          <w:rFonts w:ascii="Baskerville" w:hAnsi="Baskerville"/>
          <w:sz w:val="20"/>
          <w:szCs w:val="20"/>
          <w:lang w:val="en-US"/>
        </w:rPr>
        <w:t xml:space="preserve">(1990) </w:t>
      </w:r>
      <w:r w:rsidRPr="008E73DA">
        <w:rPr>
          <w:rFonts w:ascii="Baskerville" w:hAnsi="Baskerville"/>
          <w:sz w:val="20"/>
          <w:szCs w:val="20"/>
          <w:lang w:val="en-US"/>
        </w:rPr>
        <w:t>17</w:t>
      </w:r>
      <w:r>
        <w:rPr>
          <w:rFonts w:ascii="Baskerville" w:hAnsi="Baskerville"/>
          <w:sz w:val="20"/>
          <w:szCs w:val="20"/>
          <w:lang w:val="en-US"/>
        </w:rPr>
        <w:t>, at 40</w:t>
      </w:r>
      <w:r w:rsidRPr="008E73DA">
        <w:rPr>
          <w:rFonts w:ascii="Baskerville" w:hAnsi="Baskerville"/>
          <w:sz w:val="20"/>
          <w:szCs w:val="20"/>
          <w:lang w:val="en-US"/>
        </w:rPr>
        <w:t xml:space="preserve">. </w:t>
      </w:r>
      <w:r w:rsidRPr="00C70E9C">
        <w:rPr>
          <w:rFonts w:ascii="Baskerville" w:hAnsi="Baskerville"/>
          <w:sz w:val="20"/>
          <w:szCs w:val="20"/>
          <w:lang w:val="en-US"/>
        </w:rPr>
        <w:t xml:space="preserve">The Red List contains 23 substances, including mercury, cadmium, and DDT (at 46). </w:t>
      </w:r>
    </w:p>
  </w:footnote>
  <w:footnote w:id="17">
    <w:p w:rsidR="0095270E" w:rsidRPr="008C6FD0" w:rsidRDefault="0095270E" w:rsidP="0095270E">
      <w:pPr>
        <w:pStyle w:val="FootnoteText"/>
        <w:rPr>
          <w:rFonts w:ascii="Baskerville" w:hAnsi="Baskerville"/>
          <w:sz w:val="20"/>
          <w:szCs w:val="20"/>
          <w:lang w:val="en-US"/>
        </w:rPr>
      </w:pPr>
      <w:r w:rsidRPr="008C6FD0">
        <w:rPr>
          <w:rStyle w:val="FootnoteReference"/>
          <w:rFonts w:ascii="Baskerville" w:hAnsi="Baskerville"/>
          <w:sz w:val="20"/>
          <w:szCs w:val="20"/>
        </w:rPr>
        <w:footnoteRef/>
      </w:r>
      <w:r w:rsidRPr="008C6FD0">
        <w:rPr>
          <w:rFonts w:ascii="Baskerville" w:hAnsi="Baskerville"/>
          <w:sz w:val="20"/>
          <w:szCs w:val="20"/>
        </w:rPr>
        <w:t xml:space="preserve"> </w:t>
      </w:r>
      <w:proofErr w:type="gramStart"/>
      <w:r>
        <w:rPr>
          <w:rFonts w:ascii="Baskerville" w:hAnsi="Baskerville"/>
          <w:sz w:val="20"/>
          <w:szCs w:val="20"/>
        </w:rPr>
        <w:t>Ibid, at 44.</w:t>
      </w:r>
      <w:proofErr w:type="gramEnd"/>
    </w:p>
  </w:footnote>
  <w:footnote w:id="18">
    <w:p w:rsidR="0095270E" w:rsidRPr="003F17F3" w:rsidRDefault="0095270E" w:rsidP="0095270E">
      <w:pPr>
        <w:pStyle w:val="FootnoteText"/>
        <w:rPr>
          <w:rFonts w:ascii="Baskerville" w:hAnsi="Baskerville"/>
          <w:sz w:val="20"/>
          <w:szCs w:val="20"/>
          <w:lang w:val="en-US"/>
        </w:rPr>
      </w:pPr>
      <w:r w:rsidRPr="003F17F3">
        <w:rPr>
          <w:rStyle w:val="FootnoteReference"/>
          <w:rFonts w:ascii="Baskerville" w:hAnsi="Baskerville"/>
          <w:sz w:val="20"/>
          <w:szCs w:val="20"/>
        </w:rPr>
        <w:footnoteRef/>
      </w:r>
      <w:r w:rsidRPr="003F17F3">
        <w:rPr>
          <w:rFonts w:ascii="Baskerville" w:hAnsi="Baskerville"/>
          <w:sz w:val="20"/>
          <w:szCs w:val="20"/>
        </w:rPr>
        <w:t xml:space="preserve"> </w:t>
      </w:r>
      <w:r>
        <w:rPr>
          <w:rFonts w:ascii="Baskerville" w:hAnsi="Baskerville"/>
          <w:sz w:val="20"/>
          <w:szCs w:val="20"/>
        </w:rPr>
        <w:t>Ibid.</w:t>
      </w:r>
    </w:p>
  </w:footnote>
  <w:footnote w:id="19">
    <w:p w:rsidR="0095270E" w:rsidRPr="00760DCB" w:rsidRDefault="0095270E" w:rsidP="0095270E">
      <w:pPr>
        <w:pStyle w:val="FootnoteText"/>
        <w:rPr>
          <w:rFonts w:ascii="Baskerville" w:hAnsi="Baskerville"/>
          <w:sz w:val="20"/>
          <w:szCs w:val="20"/>
          <w:lang w:val="en-US"/>
        </w:rPr>
      </w:pPr>
      <w:r w:rsidRPr="00760DCB">
        <w:rPr>
          <w:rStyle w:val="FootnoteReference"/>
          <w:rFonts w:ascii="Baskerville" w:hAnsi="Baskerville"/>
          <w:sz w:val="20"/>
          <w:szCs w:val="20"/>
        </w:rPr>
        <w:footnoteRef/>
      </w:r>
      <w:r w:rsidRPr="00760DCB">
        <w:rPr>
          <w:rFonts w:ascii="Baskerville" w:hAnsi="Baskerville"/>
          <w:sz w:val="20"/>
          <w:szCs w:val="20"/>
        </w:rPr>
        <w:t xml:space="preserve"> </w:t>
      </w:r>
      <w:r w:rsidRPr="00760DCB">
        <w:rPr>
          <w:rFonts w:ascii="Baskerville" w:hAnsi="Baskerville"/>
          <w:i/>
          <w:iCs/>
          <w:sz w:val="20"/>
          <w:szCs w:val="20"/>
          <w:lang w:val="en-US"/>
        </w:rPr>
        <w:t xml:space="preserve">Focus Report, </w:t>
      </w:r>
      <w:r>
        <w:rPr>
          <w:rFonts w:ascii="Baskerville" w:hAnsi="Baskerville"/>
          <w:iCs/>
          <w:sz w:val="20"/>
          <w:szCs w:val="20"/>
          <w:lang w:val="en-US"/>
        </w:rPr>
        <w:t>‘Global Environmental Change Rep.’ (25/5/1990)</w:t>
      </w:r>
      <w:r>
        <w:rPr>
          <w:rFonts w:ascii="Baskerville" w:hAnsi="Baskerville"/>
          <w:i/>
          <w:iCs/>
          <w:sz w:val="20"/>
          <w:szCs w:val="20"/>
          <w:lang w:val="en-US"/>
        </w:rPr>
        <w:t>,</w:t>
      </w:r>
      <w:r w:rsidRPr="00760DCB">
        <w:rPr>
          <w:rFonts w:ascii="Baskerville" w:hAnsi="Baskerville"/>
          <w:sz w:val="20"/>
          <w:szCs w:val="20"/>
          <w:lang w:val="en-US"/>
        </w:rPr>
        <w:t xml:space="preserve"> at 2</w:t>
      </w:r>
      <w:r>
        <w:rPr>
          <w:rFonts w:ascii="Baskerville" w:hAnsi="Baskerville"/>
          <w:sz w:val="20"/>
          <w:szCs w:val="20"/>
          <w:lang w:val="en-US"/>
        </w:rPr>
        <w:t xml:space="preserve">. </w:t>
      </w:r>
      <w:r w:rsidRPr="009C18B4">
        <w:rPr>
          <w:rFonts w:ascii="Baskerville" w:hAnsi="Baskerville"/>
          <w:sz w:val="20"/>
          <w:szCs w:val="20"/>
          <w:lang w:val="en-US"/>
        </w:rPr>
        <w:t>A U.S. communique indicated that the United Sta</w:t>
      </w:r>
      <w:r>
        <w:rPr>
          <w:rFonts w:ascii="Baskerville" w:hAnsi="Baskerville"/>
          <w:sz w:val="20"/>
          <w:szCs w:val="20"/>
          <w:lang w:val="en-US"/>
        </w:rPr>
        <w:t>tes “does not believe, as appar</w:t>
      </w:r>
      <w:r w:rsidRPr="009C18B4">
        <w:rPr>
          <w:rFonts w:ascii="Baskerville" w:hAnsi="Baskerville"/>
          <w:sz w:val="20"/>
          <w:szCs w:val="20"/>
          <w:lang w:val="en-US"/>
        </w:rPr>
        <w:t>ently some do</w:t>
      </w:r>
      <w:r>
        <w:rPr>
          <w:rFonts w:ascii="Baskerville" w:hAnsi="Baskerville"/>
          <w:sz w:val="20"/>
          <w:szCs w:val="20"/>
          <w:lang w:val="en-US"/>
        </w:rPr>
        <w:t xml:space="preserve">, </w:t>
      </w:r>
      <w:r w:rsidRPr="009C18B4">
        <w:rPr>
          <w:rFonts w:ascii="Baskerville" w:hAnsi="Baskerville"/>
          <w:sz w:val="20"/>
          <w:szCs w:val="20"/>
          <w:lang w:val="en-US"/>
        </w:rPr>
        <w:t>that we can lightly accept the ... language in the expectation that it will be forgotten with t</w:t>
      </w:r>
      <w:r>
        <w:rPr>
          <w:rFonts w:ascii="Baskerville" w:hAnsi="Baskerville"/>
          <w:sz w:val="20"/>
          <w:szCs w:val="20"/>
          <w:lang w:val="en-US"/>
        </w:rPr>
        <w:t>he passage of time”.</w:t>
      </w:r>
      <w:r w:rsidRPr="009C18B4">
        <w:rPr>
          <w:rFonts w:ascii="Baskerville" w:hAnsi="Baskerville"/>
          <w:sz w:val="20"/>
          <w:szCs w:val="20"/>
          <w:lang w:val="en-US"/>
        </w:rPr>
        <w:t xml:space="preserve"> </w:t>
      </w:r>
    </w:p>
  </w:footnote>
  <w:footnote w:id="20">
    <w:p w:rsidR="0095270E" w:rsidRPr="00733201" w:rsidRDefault="0095270E" w:rsidP="0095270E">
      <w:pPr>
        <w:pStyle w:val="FootnoteText"/>
        <w:rPr>
          <w:rFonts w:ascii="Baskerville" w:hAnsi="Baskerville"/>
          <w:sz w:val="20"/>
          <w:szCs w:val="20"/>
          <w:lang w:val="en-US"/>
        </w:rPr>
      </w:pPr>
      <w:r w:rsidRPr="0051339F">
        <w:rPr>
          <w:rStyle w:val="FootnoteReference"/>
          <w:rFonts w:ascii="Baskerville" w:hAnsi="Baskerville"/>
          <w:sz w:val="20"/>
          <w:szCs w:val="20"/>
        </w:rPr>
        <w:footnoteRef/>
      </w:r>
      <w:r w:rsidRPr="0051339F">
        <w:rPr>
          <w:rFonts w:ascii="Baskerville" w:hAnsi="Baskerville"/>
          <w:sz w:val="20"/>
          <w:szCs w:val="20"/>
        </w:rPr>
        <w:t xml:space="preserve"> </w:t>
      </w:r>
      <w:r w:rsidRPr="002828EF">
        <w:rPr>
          <w:rFonts w:ascii="Baskerville" w:hAnsi="Baskerville"/>
          <w:sz w:val="20"/>
          <w:szCs w:val="20"/>
          <w:lang w:val="en-US"/>
        </w:rPr>
        <w:t>M</w:t>
      </w:r>
      <w:r>
        <w:rPr>
          <w:rFonts w:ascii="Baskerville" w:hAnsi="Baskerville"/>
          <w:sz w:val="20"/>
          <w:szCs w:val="20"/>
          <w:lang w:val="en-US"/>
        </w:rPr>
        <w:t>. Kruhly, ‘</w:t>
      </w:r>
      <w:r w:rsidRPr="007C401E">
        <w:rPr>
          <w:rFonts w:ascii="Baskerville" w:hAnsi="Baskerville"/>
          <w:sz w:val="20"/>
          <w:szCs w:val="20"/>
          <w:lang w:val="en-US"/>
        </w:rPr>
        <w:t>From the Archives, 1990: U.S. Deemed a Wastrel of Energy</w:t>
      </w:r>
      <w:r>
        <w:rPr>
          <w:rFonts w:ascii="Baskerville" w:hAnsi="Baskerville"/>
          <w:sz w:val="20"/>
          <w:szCs w:val="20"/>
          <w:lang w:val="en-US"/>
        </w:rPr>
        <w:t xml:space="preserve">’, </w:t>
      </w:r>
      <w:r>
        <w:rPr>
          <w:rFonts w:ascii="Baskerville" w:hAnsi="Baskerville"/>
          <w:i/>
          <w:sz w:val="20"/>
          <w:szCs w:val="20"/>
          <w:lang w:val="en-US"/>
        </w:rPr>
        <w:t xml:space="preserve">The New York Times </w:t>
      </w:r>
      <w:r>
        <w:rPr>
          <w:rFonts w:ascii="Baskerville" w:hAnsi="Baskerville"/>
          <w:sz w:val="20"/>
          <w:szCs w:val="20"/>
          <w:lang w:val="en-US"/>
        </w:rPr>
        <w:t>(2/12/2015) &lt;</w:t>
      </w:r>
      <w:r w:rsidRPr="001F1A66">
        <w:rPr>
          <w:rFonts w:ascii="Baskerville" w:hAnsi="Baskerville"/>
          <w:sz w:val="20"/>
          <w:szCs w:val="20"/>
          <w:lang w:val="en-US"/>
        </w:rPr>
        <w:t>https://www.nytimes.com/interactive/projects/cp/climate/2015-paris-climate-talks/from-the-archives-1990-us-energy</w:t>
      </w:r>
      <w:r>
        <w:rPr>
          <w:rFonts w:ascii="Baskerville" w:hAnsi="Baskerville"/>
          <w:sz w:val="20"/>
          <w:szCs w:val="20"/>
          <w:lang w:val="en-US"/>
        </w:rPr>
        <w:t>&gt; Date accessed: 18</w:t>
      </w:r>
      <w:r>
        <w:rPr>
          <w:rFonts w:ascii="Baskerville" w:hAnsi="Baskerville"/>
          <w:sz w:val="20"/>
          <w:szCs w:val="20"/>
          <w:vertAlign w:val="superscript"/>
          <w:lang w:val="en-US"/>
        </w:rPr>
        <w:t xml:space="preserve"> </w:t>
      </w:r>
      <w:r>
        <w:rPr>
          <w:rFonts w:ascii="Baskerville" w:hAnsi="Baskerville"/>
          <w:sz w:val="20"/>
          <w:szCs w:val="20"/>
          <w:lang w:val="en-US"/>
        </w:rPr>
        <w:t xml:space="preserve">January 2017. </w:t>
      </w:r>
      <w:r w:rsidRPr="0051339F">
        <w:rPr>
          <w:rFonts w:ascii="Baskerville" w:hAnsi="Baskerville"/>
          <w:sz w:val="20"/>
          <w:szCs w:val="20"/>
          <w:lang w:val="en-US"/>
        </w:rPr>
        <w:t xml:space="preserve">Ministers from more than 100  countries participated in the </w:t>
      </w:r>
      <w:r>
        <w:rPr>
          <w:rFonts w:ascii="Baskerville" w:hAnsi="Baskerville"/>
          <w:sz w:val="20"/>
          <w:szCs w:val="20"/>
          <w:lang w:val="en-US"/>
        </w:rPr>
        <w:t xml:space="preserve">1990 </w:t>
      </w:r>
      <w:r w:rsidRPr="0051339F">
        <w:rPr>
          <w:rFonts w:ascii="Baskerville" w:hAnsi="Baskerville"/>
          <w:sz w:val="20"/>
          <w:szCs w:val="20"/>
          <w:lang w:val="en-US"/>
        </w:rPr>
        <w:t>Second World Climate Conference</w:t>
      </w:r>
      <w:r>
        <w:rPr>
          <w:rFonts w:ascii="Baskerville" w:hAnsi="Baskerville"/>
          <w:sz w:val="20"/>
          <w:szCs w:val="20"/>
          <w:lang w:val="en-US"/>
        </w:rPr>
        <w:t xml:space="preserve"> in Geneva, Switzerland </w:t>
      </w:r>
      <w:r w:rsidRPr="0051339F">
        <w:rPr>
          <w:rFonts w:ascii="Baskerville" w:hAnsi="Baskerville"/>
          <w:sz w:val="20"/>
          <w:szCs w:val="20"/>
          <w:lang w:val="en-US"/>
        </w:rPr>
        <w:t>and debate</w:t>
      </w:r>
      <w:r>
        <w:rPr>
          <w:rFonts w:ascii="Baskerville" w:hAnsi="Baskerville"/>
          <w:sz w:val="20"/>
          <w:szCs w:val="20"/>
          <w:lang w:val="en-US"/>
        </w:rPr>
        <w:t xml:space="preserve">d </w:t>
      </w:r>
      <w:r w:rsidRPr="0051339F">
        <w:rPr>
          <w:rFonts w:ascii="Baskerville" w:hAnsi="Baskerville"/>
          <w:sz w:val="20"/>
          <w:szCs w:val="20"/>
          <w:lang w:val="en-US"/>
        </w:rPr>
        <w:t>strategies to respond</w:t>
      </w:r>
      <w:r>
        <w:rPr>
          <w:rFonts w:ascii="Baskerville" w:hAnsi="Baskerville"/>
          <w:sz w:val="20"/>
          <w:szCs w:val="20"/>
          <w:lang w:val="en-US"/>
        </w:rPr>
        <w:t xml:space="preserve"> to global climate change. </w:t>
      </w:r>
      <w:r w:rsidRPr="000508A4">
        <w:rPr>
          <w:rFonts w:ascii="Baskerville" w:hAnsi="Baskerville"/>
          <w:sz w:val="20"/>
          <w:szCs w:val="20"/>
          <w:lang w:val="en-US"/>
        </w:rPr>
        <w:t xml:space="preserve">The overwhelming majority of countries were united in calling for immediate action. The United States, however, was strongly opposed to committing itself to cutbacks. </w:t>
      </w:r>
    </w:p>
  </w:footnote>
  <w:footnote w:id="21">
    <w:p w:rsidR="0095270E" w:rsidRPr="0051339F" w:rsidRDefault="0095270E" w:rsidP="0095270E">
      <w:pPr>
        <w:pStyle w:val="FootnoteText"/>
        <w:rPr>
          <w:rFonts w:ascii="Baskerville" w:hAnsi="Baskerville"/>
          <w:sz w:val="20"/>
          <w:szCs w:val="20"/>
          <w:lang w:val="en-US"/>
        </w:rPr>
      </w:pPr>
      <w:r w:rsidRPr="0051339F">
        <w:rPr>
          <w:rStyle w:val="FootnoteReference"/>
          <w:rFonts w:ascii="Baskerville" w:hAnsi="Baskerville"/>
          <w:sz w:val="20"/>
          <w:szCs w:val="20"/>
        </w:rPr>
        <w:footnoteRef/>
      </w:r>
      <w:r w:rsidRPr="0051339F">
        <w:rPr>
          <w:rFonts w:ascii="Baskerville" w:hAnsi="Baskerville"/>
          <w:sz w:val="20"/>
          <w:szCs w:val="20"/>
        </w:rPr>
        <w:t xml:space="preserve"> </w:t>
      </w:r>
      <w:r w:rsidRPr="0051339F">
        <w:rPr>
          <w:rFonts w:ascii="Baskerville" w:hAnsi="Baskerville"/>
          <w:sz w:val="20"/>
          <w:szCs w:val="20"/>
          <w:lang w:val="en-US"/>
        </w:rPr>
        <w:t>Address by Secretary of State James Baker, National Governors A</w:t>
      </w:r>
      <w:r>
        <w:rPr>
          <w:rFonts w:ascii="Baskerville" w:hAnsi="Baskerville"/>
          <w:sz w:val="20"/>
          <w:szCs w:val="20"/>
          <w:lang w:val="en-US"/>
        </w:rPr>
        <w:t xml:space="preserve">ssociation, in Washington, D.C. </w:t>
      </w:r>
      <w:r w:rsidRPr="0051339F">
        <w:rPr>
          <w:rFonts w:ascii="Baskerville" w:hAnsi="Baskerville"/>
          <w:sz w:val="20"/>
          <w:szCs w:val="20"/>
          <w:lang w:val="en-US"/>
        </w:rPr>
        <w:t>(</w:t>
      </w:r>
      <w:r>
        <w:rPr>
          <w:rFonts w:ascii="Baskerville" w:hAnsi="Baskerville"/>
          <w:sz w:val="20"/>
          <w:szCs w:val="20"/>
          <w:lang w:val="en-US"/>
        </w:rPr>
        <w:t>26</w:t>
      </w:r>
      <w:r w:rsidRPr="0051339F">
        <w:rPr>
          <w:rFonts w:ascii="Baskerville" w:hAnsi="Baskerville"/>
          <w:sz w:val="20"/>
          <w:szCs w:val="20"/>
          <w:vertAlign w:val="superscript"/>
          <w:lang w:val="en-US"/>
        </w:rPr>
        <w:t>th</w:t>
      </w:r>
      <w:r>
        <w:rPr>
          <w:rFonts w:ascii="Baskerville" w:hAnsi="Baskerville"/>
          <w:sz w:val="20"/>
          <w:szCs w:val="20"/>
          <w:lang w:val="en-US"/>
        </w:rPr>
        <w:t xml:space="preserve"> February </w:t>
      </w:r>
      <w:r w:rsidRPr="0051339F">
        <w:rPr>
          <w:rFonts w:ascii="Baskerville" w:hAnsi="Baskerville"/>
          <w:sz w:val="20"/>
          <w:szCs w:val="20"/>
          <w:lang w:val="en-US"/>
        </w:rPr>
        <w:t xml:space="preserve">1990).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270E"/>
    <w:rsid w:val="00013AF3"/>
    <w:rsid w:val="0095270E"/>
    <w:rsid w:val="00B308B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34859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270E"/>
  </w:style>
  <w:style w:type="paragraph" w:styleId="Heading1">
    <w:name w:val="heading 1"/>
    <w:basedOn w:val="Normal"/>
    <w:next w:val="Normal"/>
    <w:link w:val="Heading1Char"/>
    <w:uiPriority w:val="9"/>
    <w:qFormat/>
    <w:rsid w:val="0095270E"/>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95270E"/>
  </w:style>
  <w:style w:type="character" w:customStyle="1" w:styleId="FootnoteTextChar">
    <w:name w:val="Footnote Text Char"/>
    <w:basedOn w:val="DefaultParagraphFont"/>
    <w:link w:val="FootnoteText"/>
    <w:uiPriority w:val="99"/>
    <w:rsid w:val="0095270E"/>
  </w:style>
  <w:style w:type="character" w:styleId="FootnoteReference">
    <w:name w:val="footnote reference"/>
    <w:basedOn w:val="DefaultParagraphFont"/>
    <w:uiPriority w:val="99"/>
    <w:unhideWhenUsed/>
    <w:rsid w:val="0095270E"/>
    <w:rPr>
      <w:vertAlign w:val="superscript"/>
    </w:rPr>
  </w:style>
  <w:style w:type="character" w:customStyle="1" w:styleId="Heading1Char">
    <w:name w:val="Heading 1 Char"/>
    <w:basedOn w:val="DefaultParagraphFont"/>
    <w:link w:val="Heading1"/>
    <w:uiPriority w:val="9"/>
    <w:rsid w:val="0095270E"/>
    <w:rPr>
      <w:rFonts w:asciiTheme="majorHAnsi" w:eastAsiaTheme="majorEastAsia" w:hAnsiTheme="majorHAnsi" w:cstheme="majorBidi"/>
      <w:b/>
      <w:bCs/>
      <w:color w:val="345A8A" w:themeColor="accent1" w:themeShade="B5"/>
      <w:sz w:val="32"/>
      <w:szCs w:val="3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270E"/>
  </w:style>
  <w:style w:type="paragraph" w:styleId="Heading1">
    <w:name w:val="heading 1"/>
    <w:basedOn w:val="Normal"/>
    <w:next w:val="Normal"/>
    <w:link w:val="Heading1Char"/>
    <w:uiPriority w:val="9"/>
    <w:qFormat/>
    <w:rsid w:val="0095270E"/>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95270E"/>
  </w:style>
  <w:style w:type="character" w:customStyle="1" w:styleId="FootnoteTextChar">
    <w:name w:val="Footnote Text Char"/>
    <w:basedOn w:val="DefaultParagraphFont"/>
    <w:link w:val="FootnoteText"/>
    <w:uiPriority w:val="99"/>
    <w:rsid w:val="0095270E"/>
  </w:style>
  <w:style w:type="character" w:styleId="FootnoteReference">
    <w:name w:val="footnote reference"/>
    <w:basedOn w:val="DefaultParagraphFont"/>
    <w:uiPriority w:val="99"/>
    <w:unhideWhenUsed/>
    <w:rsid w:val="0095270E"/>
    <w:rPr>
      <w:vertAlign w:val="superscript"/>
    </w:rPr>
  </w:style>
  <w:style w:type="character" w:customStyle="1" w:styleId="Heading1Char">
    <w:name w:val="Heading 1 Char"/>
    <w:basedOn w:val="DefaultParagraphFont"/>
    <w:link w:val="Heading1"/>
    <w:uiPriority w:val="9"/>
    <w:rsid w:val="0095270E"/>
    <w:rPr>
      <w:rFonts w:asciiTheme="majorHAnsi" w:eastAsiaTheme="majorEastAsia" w:hAnsiTheme="majorHAnsi" w:cstheme="majorBidi"/>
      <w:b/>
      <w:bCs/>
      <w:color w:val="345A8A" w:themeColor="accent1" w:themeShade="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534</Words>
  <Characters>3044</Characters>
  <Application>Microsoft Macintosh Word</Application>
  <DocSecurity>0</DocSecurity>
  <Lines>25</Lines>
  <Paragraphs>7</Paragraphs>
  <ScaleCrop>false</ScaleCrop>
  <Company/>
  <LinksUpToDate>false</LinksUpToDate>
  <CharactersWithSpaces>3571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1</cp:revision>
  <dcterms:created xsi:type="dcterms:W3CDTF">2017-08-03T08:13:00Z</dcterms:created>
  <dcterms:modified xsi:type="dcterms:W3CDTF">2017-08-03T08:21:00Z</dcterms:modified>
</cp:coreProperties>
</file>