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503355" w14:textId="5ABAF793" w:rsidR="00BF1C2F" w:rsidRPr="006C0488" w:rsidRDefault="00BF1C2F" w:rsidP="00BF1C2F">
      <w:pPr>
        <w:jc w:val="center"/>
        <w:rPr>
          <w:rFonts w:ascii="Baskerville" w:hAnsi="Baskerville"/>
          <w:sz w:val="28"/>
          <w:szCs w:val="28"/>
          <w:u w:val="single"/>
          <w:lang w:val="en-US"/>
        </w:rPr>
      </w:pPr>
      <w:r>
        <w:rPr>
          <w:rFonts w:ascii="Baskerville" w:hAnsi="Baskerville"/>
          <w:sz w:val="28"/>
          <w:szCs w:val="28"/>
          <w:u w:val="single"/>
        </w:rPr>
        <w:t xml:space="preserve">Environmental Law </w:t>
      </w:r>
      <w:r>
        <w:rPr>
          <w:rFonts w:ascii="Baskerville" w:hAnsi="Baskerville"/>
          <w:sz w:val="28"/>
          <w:szCs w:val="28"/>
          <w:u w:val="single"/>
          <w:lang w:val="en-US"/>
        </w:rPr>
        <w:t>(LAWDM0013)</w:t>
      </w:r>
      <w:r w:rsidRPr="00322286">
        <w:rPr>
          <w:rFonts w:ascii="Baskerville" w:hAnsi="Baskerville"/>
          <w:sz w:val="28"/>
          <w:szCs w:val="28"/>
          <w:u w:val="single"/>
        </w:rPr>
        <w:t xml:space="preserve">: </w:t>
      </w:r>
      <w:r>
        <w:rPr>
          <w:rFonts w:ascii="Baskerville" w:hAnsi="Baskerville"/>
          <w:sz w:val="28"/>
          <w:szCs w:val="28"/>
          <w:u w:val="single"/>
        </w:rPr>
        <w:t>Summative</w:t>
      </w:r>
      <w:r w:rsidRPr="00322286">
        <w:rPr>
          <w:rFonts w:ascii="Baskerville" w:hAnsi="Baskerville"/>
          <w:sz w:val="28"/>
          <w:szCs w:val="28"/>
          <w:u w:val="single"/>
        </w:rPr>
        <w:t xml:space="preserve"> Essay</w:t>
      </w:r>
      <w:r w:rsidR="0048722D">
        <w:rPr>
          <w:rFonts w:ascii="Baskerville" w:hAnsi="Baskerville"/>
          <w:sz w:val="28"/>
          <w:szCs w:val="28"/>
          <w:u w:val="single"/>
        </w:rPr>
        <w:t xml:space="preserve"> 1</w:t>
      </w:r>
    </w:p>
    <w:p w14:paraId="61CE1027" w14:textId="77777777" w:rsidR="00BF1C2F" w:rsidRDefault="00BF1C2F" w:rsidP="00BF1C2F">
      <w:pPr>
        <w:rPr>
          <w:rFonts w:ascii="Baskerville" w:hAnsi="Baskerville"/>
          <w:b/>
          <w:bCs/>
          <w:u w:val="single"/>
        </w:rPr>
      </w:pPr>
    </w:p>
    <w:p w14:paraId="394EA4ED" w14:textId="710E2BC6" w:rsidR="00BF1C2F" w:rsidRPr="00BF1C2F" w:rsidRDefault="00BF1C2F" w:rsidP="000074DC">
      <w:pPr>
        <w:ind w:left="284"/>
        <w:jc w:val="center"/>
        <w:rPr>
          <w:rFonts w:ascii="Baskerville" w:hAnsi="Baskerville"/>
          <w:b/>
          <w:bCs/>
          <w:i/>
        </w:rPr>
      </w:pPr>
      <w:r w:rsidRPr="00BF1C2F">
        <w:rPr>
          <w:rFonts w:ascii="Baskerville" w:hAnsi="Baskerville"/>
          <w:b/>
          <w:bCs/>
          <w:i/>
        </w:rPr>
        <w:t>Environmental principles lack legal teeth. Critically discuss in relation to one such principle.</w:t>
      </w:r>
    </w:p>
    <w:p w14:paraId="1919DC23" w14:textId="77777777" w:rsidR="00BF1C2F" w:rsidRPr="009971A3" w:rsidRDefault="00BF1C2F" w:rsidP="00BF1C2F">
      <w:pPr>
        <w:jc w:val="center"/>
        <w:rPr>
          <w:rFonts w:ascii="Baskerville" w:hAnsi="Baskerville"/>
          <w:b/>
          <w:bCs/>
          <w:u w:val="single"/>
        </w:rPr>
      </w:pPr>
    </w:p>
    <w:p w14:paraId="101EDB7F" w14:textId="77777777" w:rsidR="00BF1C2F" w:rsidRDefault="00BF1C2F" w:rsidP="00BF1C2F">
      <w:pPr>
        <w:jc w:val="center"/>
        <w:rPr>
          <w:rFonts w:ascii="Baskerville" w:hAnsi="Baskerville"/>
          <w:b/>
          <w:bCs/>
          <w:u w:val="single"/>
          <w:lang w:val="en-US"/>
        </w:rPr>
      </w:pPr>
    </w:p>
    <w:p w14:paraId="0AD75422" w14:textId="67442E34" w:rsidR="00BF1C2F" w:rsidRDefault="00BF1C2F" w:rsidP="00BF1C2F">
      <w:pPr>
        <w:rPr>
          <w:rFonts w:ascii="Baskerville" w:hAnsi="Baskerville"/>
          <w:b/>
          <w:bCs/>
          <w:u w:val="single"/>
          <w:lang w:val="en-US"/>
        </w:rPr>
      </w:pPr>
      <w:r>
        <w:rPr>
          <w:rFonts w:ascii="Baskerville" w:hAnsi="Baskerville"/>
          <w:b/>
          <w:bCs/>
          <w:u w:val="single"/>
          <w:lang w:val="en-US"/>
        </w:rPr>
        <w:t xml:space="preserve">Word Count (excluding footnotes and bibliography): </w:t>
      </w:r>
      <w:r w:rsidR="00A465F9">
        <w:rPr>
          <w:rFonts w:ascii="Baskerville" w:hAnsi="Baskerville"/>
          <w:b/>
          <w:bCs/>
          <w:u w:val="single"/>
          <w:lang w:val="en-US"/>
        </w:rPr>
        <w:t>2</w:t>
      </w:r>
      <w:r>
        <w:rPr>
          <w:rFonts w:ascii="Baskerville" w:hAnsi="Baskerville"/>
          <w:b/>
          <w:bCs/>
          <w:u w:val="single"/>
          <w:lang w:val="en-US"/>
        </w:rPr>
        <w:t>,</w:t>
      </w:r>
      <w:r w:rsidR="00830F8F">
        <w:rPr>
          <w:rFonts w:ascii="Baskerville" w:hAnsi="Baskerville"/>
          <w:b/>
          <w:bCs/>
          <w:u w:val="single"/>
          <w:lang w:val="en-US"/>
        </w:rPr>
        <w:t>862</w:t>
      </w:r>
      <w:r>
        <w:rPr>
          <w:rFonts w:ascii="Baskerville" w:hAnsi="Baskerville"/>
          <w:b/>
          <w:bCs/>
          <w:u w:val="single"/>
          <w:lang w:val="en-US"/>
        </w:rPr>
        <w:t xml:space="preserve"> words</w:t>
      </w:r>
    </w:p>
    <w:p w14:paraId="01C34A49" w14:textId="77777777" w:rsidR="007C530D" w:rsidRDefault="007C530D"/>
    <w:p w14:paraId="2CBB9B84" w14:textId="77777777" w:rsidR="00F932E5" w:rsidRDefault="00F932E5" w:rsidP="00F932E5">
      <w:pPr>
        <w:rPr>
          <w:rFonts w:ascii="Baskerville" w:hAnsi="Baskerville"/>
          <w:b/>
          <w:u w:val="single"/>
          <w:lang w:val="en-US"/>
        </w:rPr>
      </w:pPr>
      <w:r w:rsidRPr="009151F4">
        <w:rPr>
          <w:rFonts w:ascii="Baskerville" w:hAnsi="Baskerville"/>
          <w:b/>
          <w:u w:val="single"/>
          <w:lang w:val="en-US"/>
        </w:rPr>
        <w:t>Introduction</w:t>
      </w:r>
    </w:p>
    <w:p w14:paraId="0D986B77" w14:textId="77777777" w:rsidR="00014E85" w:rsidRPr="009151F4" w:rsidRDefault="00014E85" w:rsidP="00F932E5">
      <w:pPr>
        <w:rPr>
          <w:rFonts w:ascii="Baskerville" w:hAnsi="Baskerville"/>
          <w:b/>
          <w:u w:val="single"/>
          <w:lang w:val="en-US"/>
        </w:rPr>
      </w:pPr>
    </w:p>
    <w:p w14:paraId="3449E268" w14:textId="06F8FD5B" w:rsidR="00F932E5" w:rsidRPr="00B02398" w:rsidRDefault="00F932E5" w:rsidP="00F932E5">
      <w:pPr>
        <w:rPr>
          <w:rFonts w:ascii="Baskerville" w:hAnsi="Baskerville"/>
        </w:rPr>
      </w:pPr>
      <w:r w:rsidRPr="00B02398">
        <w:rPr>
          <w:rFonts w:ascii="Baskerville" w:hAnsi="Baskerville"/>
          <w:lang w:val="en-US"/>
        </w:rPr>
        <w:t>Environmental principles exist in international declarations (such as the Rio Declaration); policy documents, treaties, directives and</w:t>
      </w:r>
      <w:r>
        <w:rPr>
          <w:rFonts w:ascii="Baskerville" w:hAnsi="Baskerville"/>
          <w:lang w:val="en-US"/>
        </w:rPr>
        <w:t xml:space="preserve"> </w:t>
      </w:r>
      <w:r w:rsidRPr="00B02398">
        <w:rPr>
          <w:rFonts w:ascii="Baskerville" w:hAnsi="Baskerville"/>
          <w:lang w:val="en-US"/>
        </w:rPr>
        <w:t>the jurisprudence of the courts. However, owing to the vague and multiple definitions of these principles, there continues to be ‘considerable debate’</w:t>
      </w:r>
      <w:r w:rsidRPr="00B02398">
        <w:rPr>
          <w:rStyle w:val="FootnoteReference"/>
          <w:rFonts w:ascii="Baskerville" w:hAnsi="Baskerville"/>
          <w:lang w:val="en-US"/>
        </w:rPr>
        <w:footnoteReference w:id="1"/>
      </w:r>
      <w:r w:rsidRPr="00B02398">
        <w:rPr>
          <w:rFonts w:ascii="Baskerville" w:hAnsi="Baskerville"/>
          <w:lang w:val="en-US"/>
        </w:rPr>
        <w:t xml:space="preserve"> </w:t>
      </w:r>
      <w:r>
        <w:rPr>
          <w:rFonts w:ascii="Baskerville" w:hAnsi="Baskerville"/>
          <w:lang w:val="en-US"/>
        </w:rPr>
        <w:t>as to whether these principles carry sufficient legal teeth. The Precautionary Principle is the most controversial principle in international legal developments. Many legal scholars still debate whether it is even an environmental principle at all.</w:t>
      </w:r>
      <w:r w:rsidR="00A42DD2">
        <w:rPr>
          <w:rStyle w:val="FootnoteReference"/>
          <w:rFonts w:ascii="Baskerville" w:hAnsi="Baskerville"/>
          <w:lang w:val="en-US"/>
        </w:rPr>
        <w:footnoteReference w:id="2"/>
      </w:r>
      <w:r>
        <w:rPr>
          <w:rFonts w:ascii="Baskerville" w:hAnsi="Baskerville"/>
          <w:lang w:val="en-US"/>
        </w:rPr>
        <w:t xml:space="preserve"> This essay will critique the precautionary principle and evaluate whether it requires further legal foundation for it to maintain a fundamental place in environmental law.</w:t>
      </w:r>
    </w:p>
    <w:p w14:paraId="4BF69EE4" w14:textId="77777777" w:rsidR="00D64F34" w:rsidRDefault="00D64F34">
      <w:pPr>
        <w:rPr>
          <w:rFonts w:ascii="Baskerville" w:hAnsi="Baskerville"/>
          <w:b/>
        </w:rPr>
      </w:pPr>
    </w:p>
    <w:p w14:paraId="44E5591B" w14:textId="69CE5B20" w:rsidR="00595FB7" w:rsidRPr="00C716FD" w:rsidRDefault="00C716FD">
      <w:pPr>
        <w:rPr>
          <w:rFonts w:ascii="Baskerville" w:hAnsi="Baskerville"/>
          <w:b/>
          <w:u w:val="single"/>
        </w:rPr>
      </w:pPr>
      <w:r w:rsidRPr="00C716FD">
        <w:rPr>
          <w:rFonts w:ascii="Baskerville" w:hAnsi="Baskerville"/>
          <w:b/>
          <w:u w:val="single"/>
        </w:rPr>
        <w:t xml:space="preserve">The </w:t>
      </w:r>
      <w:r w:rsidR="005E4F4C" w:rsidRPr="00C716FD">
        <w:rPr>
          <w:rFonts w:ascii="Baskerville" w:hAnsi="Baskerville"/>
          <w:b/>
          <w:u w:val="single"/>
        </w:rPr>
        <w:t>Precautionary Principle</w:t>
      </w:r>
    </w:p>
    <w:p w14:paraId="5069C9D2" w14:textId="77777777" w:rsidR="00D85A5A" w:rsidRDefault="00D85A5A">
      <w:pPr>
        <w:rPr>
          <w:rFonts w:ascii="Baskerville" w:hAnsi="Baskerville"/>
          <w:b/>
        </w:rPr>
      </w:pPr>
    </w:p>
    <w:p w14:paraId="713EDF96" w14:textId="4D3174FE" w:rsidR="00602D89" w:rsidRDefault="005F3D75" w:rsidP="005E4F4C">
      <w:pPr>
        <w:rPr>
          <w:rFonts w:ascii="Baskerville" w:hAnsi="Baskerville"/>
        </w:rPr>
      </w:pPr>
      <w:r w:rsidRPr="00F85AC9">
        <w:rPr>
          <w:rFonts w:ascii="Baskerville" w:hAnsi="Baskerville"/>
        </w:rPr>
        <w:t xml:space="preserve">The Precautionary Principle’s origins date back to the </w:t>
      </w:r>
      <w:r w:rsidR="00811893">
        <w:rPr>
          <w:rFonts w:ascii="Baskerville" w:hAnsi="Baskerville"/>
        </w:rPr>
        <w:t>Stockholm Declaration of 1972</w:t>
      </w:r>
      <w:r w:rsidR="006262B1">
        <w:rPr>
          <w:rFonts w:ascii="Baskerville" w:hAnsi="Baskerville"/>
        </w:rPr>
        <w:t>,</w:t>
      </w:r>
      <w:r w:rsidR="00E4061D">
        <w:rPr>
          <w:rStyle w:val="FootnoteReference"/>
          <w:rFonts w:ascii="Baskerville" w:hAnsi="Baskerville"/>
        </w:rPr>
        <w:footnoteReference w:id="3"/>
      </w:r>
      <w:r w:rsidR="006262B1">
        <w:rPr>
          <w:rFonts w:ascii="Baskerville" w:hAnsi="Baskerville"/>
        </w:rPr>
        <w:t xml:space="preserve"> but its importance </w:t>
      </w:r>
      <w:r w:rsidR="00BB34C8">
        <w:rPr>
          <w:rFonts w:ascii="Baskerville" w:hAnsi="Baskerville"/>
        </w:rPr>
        <w:t>w</w:t>
      </w:r>
      <w:r w:rsidR="006262B1">
        <w:rPr>
          <w:rFonts w:ascii="Baskerville" w:hAnsi="Baskerville"/>
        </w:rPr>
        <w:t xml:space="preserve">as </w:t>
      </w:r>
      <w:r w:rsidR="00BB34C8">
        <w:rPr>
          <w:rFonts w:ascii="Baskerville" w:hAnsi="Baskerville"/>
        </w:rPr>
        <w:t xml:space="preserve">first </w:t>
      </w:r>
      <w:r w:rsidR="006262B1">
        <w:rPr>
          <w:rFonts w:ascii="Baskerville" w:hAnsi="Baskerville"/>
        </w:rPr>
        <w:t xml:space="preserve">truly </w:t>
      </w:r>
      <w:r w:rsidR="00330A35">
        <w:rPr>
          <w:rFonts w:ascii="Baskerville" w:hAnsi="Baskerville"/>
        </w:rPr>
        <w:t xml:space="preserve">affirmed </w:t>
      </w:r>
      <w:r w:rsidR="008432ED">
        <w:rPr>
          <w:rFonts w:ascii="Baskerville" w:hAnsi="Baskerville"/>
        </w:rPr>
        <w:t>by</w:t>
      </w:r>
      <w:r w:rsidR="00330A35">
        <w:rPr>
          <w:rFonts w:ascii="Baskerville" w:hAnsi="Baskerville"/>
        </w:rPr>
        <w:t xml:space="preserve"> </w:t>
      </w:r>
      <w:r w:rsidR="000869C9">
        <w:rPr>
          <w:rFonts w:ascii="Baskerville" w:hAnsi="Baskerville"/>
        </w:rPr>
        <w:t xml:space="preserve">principle 15 of </w:t>
      </w:r>
      <w:r w:rsidR="00330A35">
        <w:rPr>
          <w:rFonts w:ascii="Baskerville" w:hAnsi="Baskerville"/>
        </w:rPr>
        <w:t>the Rio Declaration of 1992</w:t>
      </w:r>
      <w:r w:rsidR="00602D89">
        <w:rPr>
          <w:rFonts w:ascii="Baskerville" w:hAnsi="Baskerville"/>
        </w:rPr>
        <w:t>:</w:t>
      </w:r>
    </w:p>
    <w:p w14:paraId="06D98488" w14:textId="77777777" w:rsidR="001C59D8" w:rsidRDefault="001C59D8" w:rsidP="005E4F4C">
      <w:pPr>
        <w:rPr>
          <w:rFonts w:ascii="Baskerville" w:hAnsi="Baskerville"/>
        </w:rPr>
      </w:pPr>
    </w:p>
    <w:p w14:paraId="6B8CF1AA" w14:textId="77777777" w:rsidR="00602D89" w:rsidRDefault="00602D89" w:rsidP="00602D89">
      <w:pPr>
        <w:ind w:left="993" w:right="1070"/>
        <w:rPr>
          <w:rFonts w:ascii="Baskerville" w:hAnsi="Baskerville"/>
        </w:rPr>
      </w:pPr>
      <w:r>
        <w:rPr>
          <w:rFonts w:ascii="Baskerville" w:hAnsi="Baskerville"/>
        </w:rPr>
        <w:t>‘</w:t>
      </w:r>
      <w:r w:rsidRPr="00602D89">
        <w:rPr>
          <w:rFonts w:ascii="Baskerville" w:hAnsi="Baskerville"/>
          <w:lang w:val="en-US"/>
        </w:rPr>
        <w:t>In order to protect the environment, the precautionary approach shall be widely applied by States according to their capabilities. Where there are threats of serious or irreversible damage, lack of full scientific certainty shall not be used as a reason for postponing cost-effective measures to prevent environmental degradation.</w:t>
      </w:r>
      <w:r>
        <w:rPr>
          <w:rFonts w:ascii="Baskerville" w:hAnsi="Baskerville"/>
          <w:lang w:val="en-US"/>
        </w:rPr>
        <w:t>’</w:t>
      </w:r>
      <w:r w:rsidR="00B92530">
        <w:rPr>
          <w:rStyle w:val="FootnoteReference"/>
          <w:rFonts w:ascii="Baskerville" w:hAnsi="Baskerville"/>
        </w:rPr>
        <w:footnoteReference w:id="4"/>
      </w:r>
      <w:r w:rsidR="00330A35">
        <w:rPr>
          <w:rFonts w:ascii="Baskerville" w:hAnsi="Baskerville"/>
        </w:rPr>
        <w:t xml:space="preserve"> </w:t>
      </w:r>
    </w:p>
    <w:p w14:paraId="61BDFDF1" w14:textId="77777777" w:rsidR="001C59D8" w:rsidRDefault="001C59D8" w:rsidP="00602D89">
      <w:pPr>
        <w:ind w:left="993" w:right="1070"/>
        <w:rPr>
          <w:rFonts w:ascii="Baskerville" w:hAnsi="Baskerville"/>
        </w:rPr>
      </w:pPr>
    </w:p>
    <w:p w14:paraId="02A87E82" w14:textId="570B1AF6" w:rsidR="00D56B83" w:rsidRPr="002C1BBA" w:rsidRDefault="00330A35" w:rsidP="00D56B83">
      <w:pPr>
        <w:rPr>
          <w:rFonts w:ascii="Baskerville" w:hAnsi="Baskerville"/>
          <w:lang w:val="en-US"/>
        </w:rPr>
      </w:pPr>
      <w:r>
        <w:rPr>
          <w:rFonts w:ascii="Baskerville" w:hAnsi="Baskerville"/>
        </w:rPr>
        <w:t xml:space="preserve">The </w:t>
      </w:r>
      <w:r w:rsidR="00BE60E3">
        <w:rPr>
          <w:rFonts w:ascii="Baskerville" w:hAnsi="Baskerville"/>
        </w:rPr>
        <w:t>p</w:t>
      </w:r>
      <w:r>
        <w:rPr>
          <w:rFonts w:ascii="Baskerville" w:hAnsi="Baskerville"/>
        </w:rPr>
        <w:t xml:space="preserve">recautionary </w:t>
      </w:r>
      <w:r w:rsidR="00BE60E3">
        <w:rPr>
          <w:rFonts w:ascii="Baskerville" w:hAnsi="Baskerville"/>
        </w:rPr>
        <w:t>p</w:t>
      </w:r>
      <w:r>
        <w:rPr>
          <w:rFonts w:ascii="Baskerville" w:hAnsi="Baskerville"/>
        </w:rPr>
        <w:t>rinciple operates on the basis that protective action should be taken before it can be shown that there is complete scientific proof of a risk.</w:t>
      </w:r>
      <w:r w:rsidR="00534DA3">
        <w:rPr>
          <w:rStyle w:val="FootnoteReference"/>
          <w:rFonts w:ascii="Baskerville" w:hAnsi="Baskerville"/>
        </w:rPr>
        <w:footnoteReference w:id="5"/>
      </w:r>
      <w:r w:rsidR="00843CED">
        <w:rPr>
          <w:rFonts w:ascii="Baskerville" w:hAnsi="Baskerville"/>
        </w:rPr>
        <w:t xml:space="preserve"> </w:t>
      </w:r>
      <w:r w:rsidR="00843CED" w:rsidRPr="00843CED">
        <w:rPr>
          <w:rFonts w:ascii="Baskerville" w:hAnsi="Baskerville"/>
        </w:rPr>
        <w:t xml:space="preserve">The precautionary approach is </w:t>
      </w:r>
      <w:r w:rsidR="00843CED">
        <w:rPr>
          <w:rFonts w:ascii="Baskerville" w:hAnsi="Baskerville"/>
        </w:rPr>
        <w:t xml:space="preserve">therefore </w:t>
      </w:r>
      <w:r w:rsidR="00843CED" w:rsidRPr="00843CED">
        <w:rPr>
          <w:rFonts w:ascii="Baskerville" w:hAnsi="Baskerville"/>
        </w:rPr>
        <w:t xml:space="preserve">a logical extension of </w:t>
      </w:r>
      <w:r w:rsidR="00843CED">
        <w:rPr>
          <w:rFonts w:ascii="Baskerville" w:hAnsi="Baskerville"/>
        </w:rPr>
        <w:t>‘</w:t>
      </w:r>
      <w:r w:rsidR="00843CED" w:rsidRPr="00843CED">
        <w:rPr>
          <w:rFonts w:ascii="Baskerville" w:hAnsi="Baskerville"/>
        </w:rPr>
        <w:t>common</w:t>
      </w:r>
      <w:r w:rsidR="00843CED">
        <w:rPr>
          <w:rFonts w:ascii="Baskerville" w:hAnsi="Baskerville"/>
        </w:rPr>
        <w:t xml:space="preserve"> </w:t>
      </w:r>
      <w:r w:rsidR="00843CED" w:rsidRPr="00843CED">
        <w:rPr>
          <w:rFonts w:ascii="Baskerville" w:hAnsi="Baskerville"/>
        </w:rPr>
        <w:t>sense concepts</w:t>
      </w:r>
      <w:r w:rsidR="00843CED">
        <w:rPr>
          <w:rFonts w:ascii="Baskerville" w:hAnsi="Baskerville"/>
        </w:rPr>
        <w:t>’</w:t>
      </w:r>
      <w:r w:rsidR="00843CED" w:rsidRPr="00843CED">
        <w:rPr>
          <w:rFonts w:ascii="Baskerville" w:hAnsi="Baskerville"/>
        </w:rPr>
        <w:t xml:space="preserve"> that guide daily life:</w:t>
      </w:r>
      <w:r w:rsidR="00843CED">
        <w:rPr>
          <w:rFonts w:ascii="Baskerville" w:hAnsi="Baskerville"/>
        </w:rPr>
        <w:t xml:space="preserve"> ‘</w:t>
      </w:r>
      <w:r w:rsidR="00843CED" w:rsidRPr="00843CED">
        <w:rPr>
          <w:rFonts w:ascii="Baskerville" w:hAnsi="Baskerville"/>
        </w:rPr>
        <w:t>“an ounce of prevention is worth a pound of cure”; “better safe than sorry”; the Hippocratic Oath’s “first, do no harm</w:t>
      </w:r>
      <w:r w:rsidR="00843CED">
        <w:rPr>
          <w:rFonts w:ascii="Baskerville" w:hAnsi="Baskerville"/>
        </w:rPr>
        <w:t>”.’</w:t>
      </w:r>
      <w:r w:rsidR="00843CED">
        <w:rPr>
          <w:rStyle w:val="FootnoteReference"/>
          <w:rFonts w:ascii="Baskerville" w:hAnsi="Baskerville"/>
        </w:rPr>
        <w:footnoteReference w:id="6"/>
      </w:r>
      <w:r w:rsidR="00843CED" w:rsidRPr="00843CED">
        <w:rPr>
          <w:rFonts w:ascii="Baskerville" w:hAnsi="Baskerville"/>
        </w:rPr>
        <w:t xml:space="preserve"> </w:t>
      </w:r>
      <w:r w:rsidR="002C1BBA">
        <w:rPr>
          <w:rFonts w:ascii="Baskerville" w:hAnsi="Baskerville"/>
          <w:lang w:val="en-US"/>
        </w:rPr>
        <w:t xml:space="preserve">Despite its </w:t>
      </w:r>
      <w:r w:rsidR="00E43F48">
        <w:rPr>
          <w:rFonts w:ascii="Baskerville" w:hAnsi="Baskerville"/>
          <w:lang w:val="en-US"/>
        </w:rPr>
        <w:t>frequent</w:t>
      </w:r>
      <w:r w:rsidR="002C1BBA">
        <w:rPr>
          <w:rFonts w:ascii="Baskerville" w:hAnsi="Baskerville"/>
          <w:lang w:val="en-US"/>
        </w:rPr>
        <w:t xml:space="preserve"> </w:t>
      </w:r>
      <w:r w:rsidR="002C1BBA" w:rsidRPr="002C1BBA">
        <w:rPr>
          <w:rFonts w:ascii="Baskerville" w:hAnsi="Baskerville"/>
          <w:lang w:val="en-US"/>
        </w:rPr>
        <w:lastRenderedPageBreak/>
        <w:t>implement</w:t>
      </w:r>
      <w:r w:rsidR="002C1BBA">
        <w:rPr>
          <w:rFonts w:ascii="Baskerville" w:hAnsi="Baskerville"/>
          <w:lang w:val="en-US"/>
        </w:rPr>
        <w:t>ation</w:t>
      </w:r>
      <w:r w:rsidR="002C1BBA" w:rsidRPr="002C1BBA">
        <w:rPr>
          <w:rFonts w:ascii="Baskerville" w:hAnsi="Baskerville"/>
          <w:lang w:val="en-US"/>
        </w:rPr>
        <w:t xml:space="preserve">, the precautionary principle has </w:t>
      </w:r>
      <w:r w:rsidR="002C1BBA">
        <w:rPr>
          <w:rFonts w:ascii="Baskerville" w:hAnsi="Baskerville"/>
          <w:lang w:val="en-US"/>
        </w:rPr>
        <w:t>‘</w:t>
      </w:r>
      <w:r w:rsidR="002C1BBA" w:rsidRPr="002C1BBA">
        <w:rPr>
          <w:rFonts w:ascii="Baskerville" w:hAnsi="Baskerville"/>
          <w:lang w:val="en-US"/>
        </w:rPr>
        <w:t xml:space="preserve">neither a commonly </w:t>
      </w:r>
      <w:r w:rsidR="002C1BBA">
        <w:rPr>
          <w:rFonts w:ascii="Baskerville" w:hAnsi="Baskerville"/>
          <w:lang w:val="en-US"/>
        </w:rPr>
        <w:t>agreed</w:t>
      </w:r>
      <w:r w:rsidR="002C1BBA" w:rsidRPr="002C1BBA">
        <w:rPr>
          <w:rFonts w:ascii="Baskerville" w:hAnsi="Baskerville"/>
          <w:lang w:val="en-US"/>
        </w:rPr>
        <w:t xml:space="preserve"> definition nor a set of criteria to guide its implementation</w:t>
      </w:r>
      <w:r w:rsidR="002C1BBA">
        <w:rPr>
          <w:rFonts w:ascii="Baskerville" w:hAnsi="Baskerville"/>
          <w:lang w:val="en-US"/>
        </w:rPr>
        <w:t>’</w:t>
      </w:r>
      <w:r w:rsidR="002C1BBA" w:rsidRPr="002C1BBA">
        <w:rPr>
          <w:rFonts w:ascii="Baskerville" w:hAnsi="Baskerville"/>
          <w:lang w:val="en-US"/>
        </w:rPr>
        <w:t>.</w:t>
      </w:r>
      <w:r w:rsidR="007E0BDE">
        <w:rPr>
          <w:rStyle w:val="FootnoteReference"/>
          <w:rFonts w:ascii="Baskerville" w:hAnsi="Baskerville"/>
          <w:lang w:val="en-US"/>
        </w:rPr>
        <w:footnoteReference w:id="7"/>
      </w:r>
      <w:r w:rsidR="002C1BBA" w:rsidRPr="002C1BBA">
        <w:rPr>
          <w:rFonts w:ascii="Baskerville" w:hAnsi="Baskerville"/>
          <w:lang w:val="en-US"/>
        </w:rPr>
        <w:t xml:space="preserve"> </w:t>
      </w:r>
      <w:r w:rsidR="00843CED">
        <w:rPr>
          <w:rFonts w:ascii="Baskerville" w:hAnsi="Baskerville"/>
        </w:rPr>
        <w:t xml:space="preserve">As a principle, </w:t>
      </w:r>
      <w:r w:rsidR="00E84FE1">
        <w:rPr>
          <w:rFonts w:ascii="Baskerville" w:hAnsi="Baskerville"/>
        </w:rPr>
        <w:t>i</w:t>
      </w:r>
      <w:r w:rsidR="00E84FE1" w:rsidRPr="00843CED">
        <w:rPr>
          <w:rFonts w:ascii="Baskerville" w:hAnsi="Baskerville"/>
        </w:rPr>
        <w:t xml:space="preserve">t challenges us to prevent </w:t>
      </w:r>
      <w:r w:rsidR="00E84FE1">
        <w:rPr>
          <w:rFonts w:ascii="Baskerville" w:hAnsi="Baskerville"/>
        </w:rPr>
        <w:t xml:space="preserve">environmental </w:t>
      </w:r>
      <w:r w:rsidR="00E84FE1" w:rsidRPr="00843CED">
        <w:rPr>
          <w:rFonts w:ascii="Baskerville" w:hAnsi="Baskerville"/>
        </w:rPr>
        <w:t xml:space="preserve">harm before it </w:t>
      </w:r>
      <w:r w:rsidR="00E84FE1">
        <w:rPr>
          <w:rFonts w:ascii="Baskerville" w:hAnsi="Baskerville"/>
        </w:rPr>
        <w:t xml:space="preserve">actually </w:t>
      </w:r>
      <w:r w:rsidR="000E6D85">
        <w:rPr>
          <w:rFonts w:ascii="Baskerville" w:hAnsi="Baskerville"/>
        </w:rPr>
        <w:t>takes place</w:t>
      </w:r>
      <w:r w:rsidR="00E84FE1">
        <w:rPr>
          <w:rFonts w:ascii="Baskerville" w:hAnsi="Baskerville"/>
        </w:rPr>
        <w:t xml:space="preserve">. </w:t>
      </w:r>
      <w:r w:rsidR="00D56B83" w:rsidRPr="00B353CB">
        <w:rPr>
          <w:rFonts w:ascii="Baskerville" w:hAnsi="Baskerville"/>
          <w:lang w:val="en-US"/>
        </w:rPr>
        <w:t xml:space="preserve">It must also be </w:t>
      </w:r>
      <w:r w:rsidR="00B353CB" w:rsidRPr="00B353CB">
        <w:rPr>
          <w:rFonts w:ascii="Baskerville" w:hAnsi="Baskerville"/>
          <w:lang w:val="en-US"/>
        </w:rPr>
        <w:t>noted</w:t>
      </w:r>
      <w:r w:rsidR="00D56B83" w:rsidRPr="00B353CB">
        <w:rPr>
          <w:rFonts w:ascii="Baskerville" w:hAnsi="Baskerville"/>
          <w:lang w:val="en-US"/>
        </w:rPr>
        <w:t xml:space="preserve"> that the precautionary principle is </w:t>
      </w:r>
      <w:r w:rsidR="00B353CB" w:rsidRPr="00B353CB">
        <w:rPr>
          <w:rFonts w:ascii="Baskerville" w:hAnsi="Baskerville"/>
          <w:lang w:val="en-US"/>
        </w:rPr>
        <w:t>usually</w:t>
      </w:r>
      <w:r w:rsidR="00D56B83" w:rsidRPr="00B353CB">
        <w:rPr>
          <w:rFonts w:ascii="Baskerville" w:hAnsi="Baskerville"/>
          <w:lang w:val="en-US"/>
        </w:rPr>
        <w:t xml:space="preserve"> only </w:t>
      </w:r>
      <w:r w:rsidR="00B353CB" w:rsidRPr="00B353CB">
        <w:rPr>
          <w:rFonts w:ascii="Baskerville" w:hAnsi="Baskerville"/>
          <w:lang w:val="en-US"/>
        </w:rPr>
        <w:t>applicable</w:t>
      </w:r>
      <w:r w:rsidR="00D56B83" w:rsidRPr="00B353CB">
        <w:rPr>
          <w:rFonts w:ascii="Baskerville" w:hAnsi="Baskerville"/>
          <w:lang w:val="en-US"/>
        </w:rPr>
        <w:t xml:space="preserve"> where the following elements are </w:t>
      </w:r>
      <w:r w:rsidR="00B353CB" w:rsidRPr="00B353CB">
        <w:rPr>
          <w:rFonts w:ascii="Baskerville" w:hAnsi="Baskerville"/>
          <w:lang w:val="en-US"/>
        </w:rPr>
        <w:t>evident</w:t>
      </w:r>
      <w:r w:rsidR="00D56B83" w:rsidRPr="00B353CB">
        <w:rPr>
          <w:rFonts w:ascii="Baskerville" w:hAnsi="Baskerville"/>
          <w:lang w:val="en-US"/>
        </w:rPr>
        <w:t>:</w:t>
      </w:r>
      <w:r w:rsidR="00D56B83" w:rsidRPr="00214860">
        <w:rPr>
          <w:rFonts w:ascii="Baskerville" w:hAnsi="Baskerville"/>
          <w:color w:val="FF0000"/>
          <w:lang w:val="en-US"/>
        </w:rPr>
        <w:t xml:space="preserve"> </w:t>
      </w:r>
    </w:p>
    <w:p w14:paraId="1509F41B" w14:textId="77777777" w:rsidR="00D56B83" w:rsidRPr="00214860" w:rsidRDefault="00D56B83" w:rsidP="00D56B83">
      <w:pPr>
        <w:rPr>
          <w:rFonts w:ascii="Baskerville" w:hAnsi="Baskerville"/>
          <w:color w:val="FF0000"/>
          <w:lang w:val="en-US"/>
        </w:rPr>
      </w:pPr>
    </w:p>
    <w:p w14:paraId="39E6701A" w14:textId="5AC09218" w:rsidR="00D56B83" w:rsidRDefault="00D56B83" w:rsidP="00D56B83">
      <w:pPr>
        <w:pStyle w:val="ListParagraph"/>
        <w:numPr>
          <w:ilvl w:val="0"/>
          <w:numId w:val="5"/>
        </w:numPr>
        <w:rPr>
          <w:rFonts w:ascii="Baskerville" w:hAnsi="Baskerville"/>
          <w:color w:val="FF0000"/>
          <w:lang w:val="en-US"/>
        </w:rPr>
      </w:pPr>
      <w:r w:rsidRPr="00B353CB">
        <w:rPr>
          <w:rFonts w:ascii="Baskerville" w:hAnsi="Baskerville"/>
          <w:lang w:val="en-US"/>
        </w:rPr>
        <w:t xml:space="preserve">First, in situations </w:t>
      </w:r>
      <w:r w:rsidR="00B353CB" w:rsidRPr="00B353CB">
        <w:rPr>
          <w:rFonts w:ascii="Baskerville" w:hAnsi="Baskerville"/>
          <w:lang w:val="en-US"/>
        </w:rPr>
        <w:t>involving a significant level of</w:t>
      </w:r>
      <w:r w:rsidRPr="00B353CB">
        <w:rPr>
          <w:rFonts w:ascii="Baskerville" w:hAnsi="Baskerville"/>
          <w:lang w:val="en-US"/>
        </w:rPr>
        <w:t xml:space="preserve"> </w:t>
      </w:r>
      <w:r w:rsidRPr="00B353CB">
        <w:rPr>
          <w:rFonts w:ascii="Baskerville" w:hAnsi="Baskerville"/>
          <w:i/>
          <w:iCs/>
          <w:lang w:val="en-US"/>
        </w:rPr>
        <w:t>uncertainty</w:t>
      </w:r>
      <w:r w:rsidRPr="00B353CB">
        <w:rPr>
          <w:rFonts w:ascii="Baskerville" w:hAnsi="Baskerville"/>
          <w:lang w:val="en-US"/>
        </w:rPr>
        <w:t>.</w:t>
      </w:r>
      <w:r w:rsidRPr="00214860">
        <w:rPr>
          <w:rFonts w:ascii="Baskerville" w:hAnsi="Baskerville"/>
          <w:color w:val="FF0000"/>
          <w:lang w:val="en-US"/>
        </w:rPr>
        <w:t xml:space="preserve"> </w:t>
      </w:r>
      <w:r w:rsidR="00B353CB" w:rsidRPr="00B353CB">
        <w:rPr>
          <w:rFonts w:ascii="Baskerville" w:hAnsi="Baskerville"/>
          <w:lang w:val="en-US"/>
        </w:rPr>
        <w:t>T</w:t>
      </w:r>
      <w:r w:rsidRPr="00B353CB">
        <w:rPr>
          <w:rFonts w:ascii="Baskerville" w:hAnsi="Baskerville"/>
          <w:lang w:val="en-US"/>
        </w:rPr>
        <w:t>he</w:t>
      </w:r>
      <w:r w:rsidR="00B353CB" w:rsidRPr="00B353CB">
        <w:rPr>
          <w:rFonts w:ascii="Baskerville" w:hAnsi="Baskerville"/>
          <w:lang w:val="en-US"/>
        </w:rPr>
        <w:t>se involve scenarios whe</w:t>
      </w:r>
      <w:r w:rsidRPr="00B353CB">
        <w:rPr>
          <w:rFonts w:ascii="Baskerville" w:hAnsi="Baskerville"/>
          <w:lang w:val="en-US"/>
        </w:rPr>
        <w:t xml:space="preserve">re the threat is </w:t>
      </w:r>
      <w:r w:rsidR="00B353CB" w:rsidRPr="00B353CB">
        <w:rPr>
          <w:rFonts w:ascii="Baskerville" w:hAnsi="Baskerville"/>
          <w:lang w:val="en-US"/>
        </w:rPr>
        <w:t>fairly</w:t>
      </w:r>
      <w:r w:rsidRPr="00B353CB">
        <w:rPr>
          <w:rFonts w:ascii="Baskerville" w:hAnsi="Baskerville"/>
          <w:lang w:val="en-US"/>
        </w:rPr>
        <w:t xml:space="preserve"> certain (i.e. a causal link </w:t>
      </w:r>
      <w:r w:rsidR="00B353CB" w:rsidRPr="00B353CB">
        <w:rPr>
          <w:rFonts w:ascii="Baskerville" w:hAnsi="Baskerville"/>
          <w:lang w:val="en-US"/>
        </w:rPr>
        <w:t xml:space="preserve">can be established </w:t>
      </w:r>
      <w:r w:rsidRPr="00B353CB">
        <w:rPr>
          <w:rFonts w:ascii="Baskerville" w:hAnsi="Baskerville"/>
          <w:lang w:val="en-US"/>
        </w:rPr>
        <w:t>between an action and environmental damage,</w:t>
      </w:r>
      <w:r w:rsidRPr="00214860">
        <w:rPr>
          <w:rFonts w:ascii="Baskerville" w:hAnsi="Baskerville"/>
          <w:color w:val="FF0000"/>
          <w:lang w:val="en-US"/>
        </w:rPr>
        <w:t xml:space="preserve"> </w:t>
      </w:r>
      <w:r w:rsidRPr="00B353CB">
        <w:rPr>
          <w:rFonts w:ascii="Baskerville" w:hAnsi="Baskerville"/>
          <w:lang w:val="en-US"/>
        </w:rPr>
        <w:t xml:space="preserve">the probability of occurrence can be calculated, and the damage </w:t>
      </w:r>
      <w:r w:rsidR="00B353CB" w:rsidRPr="00B353CB">
        <w:rPr>
          <w:rFonts w:ascii="Baskerville" w:hAnsi="Baskerville"/>
          <w:lang w:val="en-US"/>
        </w:rPr>
        <w:t>covered</w:t>
      </w:r>
      <w:r w:rsidRPr="00B353CB">
        <w:rPr>
          <w:rFonts w:ascii="Baskerville" w:hAnsi="Baskerville"/>
          <w:lang w:val="en-US"/>
        </w:rPr>
        <w:t xml:space="preserve"> against), </w:t>
      </w:r>
      <w:r w:rsidR="00B353CB" w:rsidRPr="00B353CB">
        <w:rPr>
          <w:rFonts w:ascii="Baskerville" w:hAnsi="Baskerville"/>
          <w:lang w:val="en-US"/>
        </w:rPr>
        <w:t>‘</w:t>
      </w:r>
      <w:r w:rsidRPr="00B353CB">
        <w:rPr>
          <w:rFonts w:ascii="Baskerville" w:hAnsi="Baskerville"/>
          <w:lang w:val="en-US"/>
        </w:rPr>
        <w:t>measures may also need to be taken</w:t>
      </w:r>
      <w:r w:rsidR="00B353CB" w:rsidRPr="00B353CB">
        <w:rPr>
          <w:rFonts w:ascii="Baskerville" w:hAnsi="Baskerville"/>
          <w:lang w:val="en-US"/>
        </w:rPr>
        <w:t>’</w:t>
      </w:r>
      <w:r w:rsidRPr="00B353CB">
        <w:rPr>
          <w:rFonts w:ascii="Baskerville" w:hAnsi="Baskerville"/>
          <w:lang w:val="en-US"/>
        </w:rPr>
        <w:t>.</w:t>
      </w:r>
      <w:r w:rsidR="00B353CB" w:rsidRPr="00B353CB">
        <w:rPr>
          <w:rStyle w:val="FootnoteReference"/>
          <w:rFonts w:ascii="Baskerville" w:hAnsi="Baskerville"/>
          <w:lang w:val="en-US"/>
        </w:rPr>
        <w:footnoteReference w:id="8"/>
      </w:r>
      <w:r w:rsidR="00B353CB" w:rsidRPr="00214860">
        <w:rPr>
          <w:rFonts w:ascii="Baskerville" w:hAnsi="Baskerville"/>
          <w:color w:val="FF0000"/>
          <w:lang w:val="en-US"/>
        </w:rPr>
        <w:t xml:space="preserve"> </w:t>
      </w:r>
      <w:r w:rsidRPr="00B353CB">
        <w:rPr>
          <w:rFonts w:ascii="Baskerville" w:hAnsi="Baskerville"/>
          <w:lang w:val="en-US"/>
        </w:rPr>
        <w:t xml:space="preserve">However, these </w:t>
      </w:r>
      <w:r w:rsidR="00B353CB" w:rsidRPr="00B353CB">
        <w:rPr>
          <w:rFonts w:ascii="Baskerville" w:hAnsi="Baskerville"/>
          <w:lang w:val="en-US"/>
        </w:rPr>
        <w:t>ought to</w:t>
      </w:r>
      <w:r w:rsidRPr="00B353CB">
        <w:rPr>
          <w:rFonts w:ascii="Baskerville" w:hAnsi="Baskerville"/>
          <w:lang w:val="en-US"/>
        </w:rPr>
        <w:t xml:space="preserve"> be </w:t>
      </w:r>
      <w:r w:rsidR="00B353CB" w:rsidRPr="00B353CB">
        <w:rPr>
          <w:rFonts w:ascii="Baskerville" w:hAnsi="Baskerville"/>
          <w:lang w:val="en-US"/>
        </w:rPr>
        <w:t>viewed</w:t>
      </w:r>
      <w:r w:rsidRPr="00B353CB">
        <w:rPr>
          <w:rFonts w:ascii="Baskerville" w:hAnsi="Baskerville"/>
          <w:lang w:val="en-US"/>
        </w:rPr>
        <w:t xml:space="preserve"> as </w:t>
      </w:r>
      <w:r w:rsidRPr="00B353CB">
        <w:rPr>
          <w:rFonts w:ascii="Baskerville" w:hAnsi="Baskerville"/>
          <w:i/>
          <w:iCs/>
          <w:lang w:val="en-US"/>
        </w:rPr>
        <w:t>preventive</w:t>
      </w:r>
      <w:r w:rsidR="00B353CB" w:rsidRPr="00B353CB">
        <w:rPr>
          <w:rFonts w:ascii="Baskerville" w:hAnsi="Baskerville"/>
          <w:lang w:val="en-US"/>
        </w:rPr>
        <w:t xml:space="preserve"> and</w:t>
      </w:r>
      <w:r w:rsidRPr="00B353CB">
        <w:rPr>
          <w:rFonts w:ascii="Baskerville" w:hAnsi="Baskerville"/>
          <w:lang w:val="en-US"/>
        </w:rPr>
        <w:t xml:space="preserve"> not </w:t>
      </w:r>
      <w:r w:rsidRPr="00B353CB">
        <w:rPr>
          <w:rFonts w:ascii="Baskerville" w:hAnsi="Baskerville"/>
          <w:i/>
          <w:iCs/>
          <w:lang w:val="en-US"/>
        </w:rPr>
        <w:t xml:space="preserve">precautionary </w:t>
      </w:r>
      <w:r w:rsidRPr="00B353CB">
        <w:rPr>
          <w:rFonts w:ascii="Baskerville" w:hAnsi="Baskerville"/>
          <w:lang w:val="en-US"/>
        </w:rPr>
        <w:t>measures; and</w:t>
      </w:r>
    </w:p>
    <w:p w14:paraId="58675A14" w14:textId="53B0CBA8" w:rsidR="00D56B83" w:rsidRDefault="00D56B83" w:rsidP="00D56B83">
      <w:pPr>
        <w:pStyle w:val="ListParagraph"/>
        <w:numPr>
          <w:ilvl w:val="0"/>
          <w:numId w:val="5"/>
        </w:numPr>
        <w:rPr>
          <w:rFonts w:ascii="Baskerville" w:hAnsi="Baskerville"/>
          <w:color w:val="FF0000"/>
          <w:lang w:val="en-US"/>
        </w:rPr>
      </w:pPr>
      <w:r w:rsidRPr="00B353CB">
        <w:rPr>
          <w:rFonts w:ascii="Baskerville" w:hAnsi="Baskerville"/>
          <w:lang w:val="en-US"/>
        </w:rPr>
        <w:t xml:space="preserve">Second, where there is a </w:t>
      </w:r>
      <w:r w:rsidR="00B353CB" w:rsidRPr="00B353CB">
        <w:rPr>
          <w:rFonts w:ascii="Baskerville" w:hAnsi="Baskerville"/>
          <w:lang w:val="en-US"/>
        </w:rPr>
        <w:t>risk</w:t>
      </w:r>
      <w:r w:rsidRPr="00B353CB">
        <w:rPr>
          <w:rFonts w:ascii="Baskerville" w:hAnsi="Baskerville"/>
          <w:lang w:val="en-US"/>
        </w:rPr>
        <w:t xml:space="preserve"> of environmental damage.</w:t>
      </w:r>
      <w:r w:rsidRPr="00214860">
        <w:rPr>
          <w:rFonts w:ascii="Baskerville" w:hAnsi="Baskerville"/>
          <w:color w:val="FF0000"/>
          <w:lang w:val="en-US"/>
        </w:rPr>
        <w:t xml:space="preserve"> </w:t>
      </w:r>
      <w:r w:rsidR="00B353CB" w:rsidRPr="00B353CB">
        <w:rPr>
          <w:rFonts w:ascii="Baskerville" w:hAnsi="Baskerville"/>
          <w:lang w:val="en-US"/>
        </w:rPr>
        <w:t xml:space="preserve">In situations where </w:t>
      </w:r>
      <w:r w:rsidRPr="00B353CB">
        <w:rPr>
          <w:rFonts w:ascii="Baskerville" w:hAnsi="Baskerville"/>
          <w:lang w:val="en-US"/>
        </w:rPr>
        <w:t xml:space="preserve">there is no indication of a threat </w:t>
      </w:r>
      <w:r w:rsidR="00B353CB" w:rsidRPr="00B353CB">
        <w:rPr>
          <w:rFonts w:ascii="Baskerville" w:hAnsi="Baskerville"/>
          <w:lang w:val="en-US"/>
        </w:rPr>
        <w:t xml:space="preserve">to the </w:t>
      </w:r>
      <w:r w:rsidRPr="00B353CB">
        <w:rPr>
          <w:rFonts w:ascii="Baskerville" w:hAnsi="Baskerville"/>
          <w:lang w:val="en-US"/>
        </w:rPr>
        <w:t>environment, the principle will not apply; and</w:t>
      </w:r>
    </w:p>
    <w:p w14:paraId="0FF799CB" w14:textId="1E3462D7" w:rsidR="00D56B83" w:rsidRDefault="00D56B83" w:rsidP="00D56B83">
      <w:pPr>
        <w:pStyle w:val="ListParagraph"/>
        <w:numPr>
          <w:ilvl w:val="0"/>
          <w:numId w:val="5"/>
        </w:numPr>
        <w:rPr>
          <w:rFonts w:ascii="Baskerville" w:hAnsi="Baskerville"/>
          <w:color w:val="FF0000"/>
          <w:lang w:val="en-US"/>
        </w:rPr>
      </w:pPr>
      <w:r w:rsidRPr="00B353CB">
        <w:rPr>
          <w:rFonts w:ascii="Baskerville" w:hAnsi="Baskerville"/>
          <w:lang w:val="en-US"/>
        </w:rPr>
        <w:t>Third, where the</w:t>
      </w:r>
      <w:r w:rsidR="00B353CB" w:rsidRPr="00B353CB">
        <w:rPr>
          <w:rFonts w:ascii="Baskerville" w:hAnsi="Baskerville"/>
          <w:lang w:val="en-US"/>
        </w:rPr>
        <w:t xml:space="preserve">re is a </w:t>
      </w:r>
      <w:r w:rsidRPr="00B353CB">
        <w:rPr>
          <w:rFonts w:ascii="Baskerville" w:hAnsi="Baskerville"/>
          <w:lang w:val="en-US"/>
        </w:rPr>
        <w:t>threat</w:t>
      </w:r>
      <w:r w:rsidR="00B353CB" w:rsidRPr="00B353CB">
        <w:rPr>
          <w:rFonts w:ascii="Baskerville" w:hAnsi="Baskerville"/>
          <w:lang w:val="en-US"/>
        </w:rPr>
        <w:t xml:space="preserve"> of serious and irreparable</w:t>
      </w:r>
      <w:r w:rsidRPr="00B353CB">
        <w:rPr>
          <w:rFonts w:ascii="Baskerville" w:hAnsi="Baskerville"/>
          <w:lang w:val="en-US"/>
        </w:rPr>
        <w:t xml:space="preserve"> harm.</w:t>
      </w:r>
      <w:r w:rsidRPr="00214860">
        <w:rPr>
          <w:rFonts w:ascii="Baskerville" w:hAnsi="Baskerville"/>
          <w:color w:val="FF0000"/>
          <w:lang w:val="en-US"/>
        </w:rPr>
        <w:t xml:space="preserve"> </w:t>
      </w:r>
      <w:r w:rsidR="00B353CB" w:rsidRPr="00B353CB">
        <w:rPr>
          <w:rFonts w:ascii="Baskerville" w:hAnsi="Baskerville"/>
          <w:lang w:val="en-US"/>
        </w:rPr>
        <w:t>‘</w:t>
      </w:r>
      <w:r w:rsidRPr="00B353CB">
        <w:rPr>
          <w:rFonts w:ascii="Baskerville" w:hAnsi="Baskerville"/>
          <w:lang w:val="en-US"/>
        </w:rPr>
        <w:t>Where threatened damage is trivial or easily reversible, the principle will not be relevant</w:t>
      </w:r>
      <w:r w:rsidR="00B353CB" w:rsidRPr="00B353CB">
        <w:rPr>
          <w:rFonts w:ascii="Baskerville" w:hAnsi="Baskerville"/>
          <w:lang w:val="en-US"/>
        </w:rPr>
        <w:t>’</w:t>
      </w:r>
      <w:r w:rsidRPr="00B353CB">
        <w:rPr>
          <w:rFonts w:ascii="Baskerville" w:hAnsi="Baskerville"/>
          <w:lang w:val="en-US"/>
        </w:rPr>
        <w:t>.</w:t>
      </w:r>
      <w:r w:rsidR="00B353CB" w:rsidRPr="00B353CB">
        <w:rPr>
          <w:rStyle w:val="FootnoteReference"/>
          <w:rFonts w:ascii="Baskerville" w:hAnsi="Baskerville"/>
          <w:lang w:val="en-US"/>
        </w:rPr>
        <w:footnoteReference w:id="9"/>
      </w:r>
      <w:r w:rsidRPr="00B353CB">
        <w:rPr>
          <w:rFonts w:ascii="Baskerville" w:hAnsi="Baskerville"/>
          <w:lang w:val="en-US"/>
        </w:rPr>
        <w:t xml:space="preserve">  </w:t>
      </w:r>
    </w:p>
    <w:p w14:paraId="3C1166FB" w14:textId="77777777" w:rsidR="00D56B83" w:rsidRDefault="00D56B83" w:rsidP="005E4F4C">
      <w:pPr>
        <w:rPr>
          <w:rFonts w:ascii="Baskerville" w:hAnsi="Baskerville"/>
        </w:rPr>
      </w:pPr>
    </w:p>
    <w:p w14:paraId="73F79C4B" w14:textId="77777777" w:rsidR="006C120F" w:rsidRDefault="00F76642" w:rsidP="005E4F4C">
      <w:pPr>
        <w:rPr>
          <w:rFonts w:ascii="Baskerville" w:hAnsi="Baskerville"/>
          <w:lang w:val="en-US"/>
        </w:rPr>
      </w:pPr>
      <w:r>
        <w:rPr>
          <w:rFonts w:ascii="Baskerville" w:hAnsi="Baskerville"/>
        </w:rPr>
        <w:t xml:space="preserve">To realise the legal rationale for taking </w:t>
      </w:r>
      <w:r w:rsidR="00D56B83">
        <w:rPr>
          <w:rFonts w:ascii="Baskerville" w:hAnsi="Baskerville"/>
        </w:rPr>
        <w:t>environmental</w:t>
      </w:r>
      <w:r>
        <w:rPr>
          <w:rFonts w:ascii="Baskerville" w:hAnsi="Baskerville"/>
        </w:rPr>
        <w:t xml:space="preserve"> precautions, we must break down the precautionary principle into its constituent norms. </w:t>
      </w:r>
      <w:r w:rsidR="00E84FE1" w:rsidRPr="00E84FE1">
        <w:rPr>
          <w:rFonts w:ascii="Baskerville" w:hAnsi="Baskerville"/>
          <w:lang w:val="en-US"/>
        </w:rPr>
        <w:t xml:space="preserve">Ethically speaking, </w:t>
      </w:r>
      <w:r w:rsidR="00E84FE1">
        <w:rPr>
          <w:rFonts w:ascii="Baskerville" w:hAnsi="Baskerville"/>
          <w:lang w:val="en-US"/>
        </w:rPr>
        <w:t>t</w:t>
      </w:r>
      <w:r w:rsidR="00E84FE1">
        <w:rPr>
          <w:rFonts w:ascii="Baskerville" w:hAnsi="Baskerville"/>
        </w:rPr>
        <w:t xml:space="preserve">he precautionary principle can be subdivided into </w:t>
      </w:r>
      <w:r w:rsidR="00E84FE1" w:rsidRPr="00E84FE1">
        <w:rPr>
          <w:rFonts w:ascii="Baskerville" w:hAnsi="Baskerville"/>
          <w:lang w:val="en-US"/>
        </w:rPr>
        <w:t>three normative propositions</w:t>
      </w:r>
      <w:r w:rsidR="000E6D85">
        <w:rPr>
          <w:rFonts w:ascii="Baskerville" w:hAnsi="Baskerville"/>
          <w:lang w:val="en-US"/>
        </w:rPr>
        <w:t>.</w:t>
      </w:r>
      <w:r w:rsidR="00344324">
        <w:rPr>
          <w:rFonts w:ascii="Baskerville" w:hAnsi="Baskerville"/>
          <w:lang w:val="en-US"/>
        </w:rPr>
        <w:t xml:space="preserve"> </w:t>
      </w:r>
    </w:p>
    <w:p w14:paraId="48F1F0BB" w14:textId="77777777" w:rsidR="006C120F" w:rsidRDefault="006C120F" w:rsidP="005E4F4C">
      <w:pPr>
        <w:rPr>
          <w:rFonts w:ascii="Baskerville" w:hAnsi="Baskerville"/>
          <w:lang w:val="en-US"/>
        </w:rPr>
      </w:pPr>
    </w:p>
    <w:p w14:paraId="758125C8" w14:textId="7D33D7FD" w:rsidR="005F3D75" w:rsidRPr="00344324" w:rsidRDefault="00E84FE1" w:rsidP="005E4F4C">
      <w:pPr>
        <w:rPr>
          <w:rFonts w:ascii="Baskerville" w:hAnsi="Baskerville"/>
          <w:lang w:val="en-US"/>
        </w:rPr>
      </w:pPr>
      <w:r>
        <w:rPr>
          <w:rFonts w:ascii="Baskerville" w:hAnsi="Baskerville"/>
        </w:rPr>
        <w:t>Firstly, the prec</w:t>
      </w:r>
      <w:r w:rsidR="000E6D85">
        <w:rPr>
          <w:rFonts w:ascii="Baskerville" w:hAnsi="Baskerville"/>
        </w:rPr>
        <w:t>autionary principle</w:t>
      </w:r>
      <w:r>
        <w:rPr>
          <w:rFonts w:ascii="Baskerville" w:hAnsi="Baskerville"/>
        </w:rPr>
        <w:t xml:space="preserve"> </w:t>
      </w:r>
      <w:r w:rsidR="000E6D85">
        <w:rPr>
          <w:rFonts w:ascii="Baskerville" w:hAnsi="Baskerville"/>
        </w:rPr>
        <w:t xml:space="preserve">demands that we </w:t>
      </w:r>
      <w:r w:rsidR="00482B84">
        <w:rPr>
          <w:rFonts w:ascii="Baskerville" w:hAnsi="Baskerville"/>
        </w:rPr>
        <w:t xml:space="preserve">anticipate </w:t>
      </w:r>
      <w:r w:rsidR="003F04E1">
        <w:rPr>
          <w:rFonts w:ascii="Baskerville" w:hAnsi="Baskerville"/>
        </w:rPr>
        <w:t xml:space="preserve">environmental </w:t>
      </w:r>
      <w:r w:rsidR="000E6D85">
        <w:rPr>
          <w:rFonts w:ascii="Baskerville" w:hAnsi="Baskerville"/>
        </w:rPr>
        <w:t>damage</w:t>
      </w:r>
      <w:r w:rsidR="00843CED" w:rsidRPr="00843CED">
        <w:rPr>
          <w:rFonts w:ascii="Baskerville" w:hAnsi="Baskerville"/>
        </w:rPr>
        <w:t xml:space="preserve"> before it </w:t>
      </w:r>
      <w:r w:rsidR="00667D4B">
        <w:rPr>
          <w:rFonts w:ascii="Baskerville" w:hAnsi="Baskerville"/>
        </w:rPr>
        <w:t xml:space="preserve">actually </w:t>
      </w:r>
      <w:r w:rsidR="00843CED" w:rsidRPr="00843CED">
        <w:rPr>
          <w:rFonts w:ascii="Baskerville" w:hAnsi="Baskerville"/>
        </w:rPr>
        <w:t>occurs.</w:t>
      </w:r>
      <w:r w:rsidR="00B25C42">
        <w:rPr>
          <w:rStyle w:val="FootnoteReference"/>
          <w:rFonts w:ascii="Baskerville" w:hAnsi="Baskerville"/>
        </w:rPr>
        <w:footnoteReference w:id="10"/>
      </w:r>
      <w:r w:rsidR="00843CED" w:rsidRPr="00843CED">
        <w:rPr>
          <w:rFonts w:ascii="Baskerville" w:hAnsi="Baskerville"/>
        </w:rPr>
        <w:t xml:space="preserve"> </w:t>
      </w:r>
      <w:r w:rsidR="00327D36" w:rsidRPr="00327D36">
        <w:rPr>
          <w:rFonts w:ascii="Baskerville" w:hAnsi="Baskerville"/>
          <w:lang w:val="en-US"/>
        </w:rPr>
        <w:t>T</w:t>
      </w:r>
      <w:r w:rsidR="00344324" w:rsidRPr="00327D36">
        <w:rPr>
          <w:rFonts w:ascii="Baskerville" w:hAnsi="Baskerville"/>
          <w:lang w:val="en-US"/>
        </w:rPr>
        <w:t xml:space="preserve">o date, </w:t>
      </w:r>
      <w:r w:rsidR="00327D36" w:rsidRPr="00327D36">
        <w:rPr>
          <w:rFonts w:ascii="Baskerville" w:hAnsi="Baskerville"/>
          <w:lang w:val="en-US"/>
        </w:rPr>
        <w:t xml:space="preserve">however, </w:t>
      </w:r>
      <w:r w:rsidR="00344324" w:rsidRPr="00327D36">
        <w:rPr>
          <w:rFonts w:ascii="Baskerville" w:hAnsi="Baskerville"/>
          <w:lang w:val="en-US"/>
        </w:rPr>
        <w:t xml:space="preserve">this first substantial proposition implied by the precautionary principle has </w:t>
      </w:r>
      <w:r w:rsidR="00327D36" w:rsidRPr="00327D36">
        <w:rPr>
          <w:rFonts w:ascii="Baskerville" w:hAnsi="Baskerville"/>
          <w:lang w:val="en-US"/>
        </w:rPr>
        <w:t xml:space="preserve">surprisingly </w:t>
      </w:r>
      <w:r w:rsidR="00344324" w:rsidRPr="00327D36">
        <w:rPr>
          <w:rFonts w:ascii="Baskerville" w:hAnsi="Baskerville"/>
          <w:lang w:val="en-US"/>
        </w:rPr>
        <w:t>‘not received much direct attention in the academic literature of the principle’.</w:t>
      </w:r>
      <w:r w:rsidR="00344324" w:rsidRPr="00327D36">
        <w:rPr>
          <w:rStyle w:val="FootnoteReference"/>
          <w:rFonts w:ascii="Baskerville" w:hAnsi="Baskerville"/>
          <w:lang w:val="en-US"/>
        </w:rPr>
        <w:footnoteReference w:id="11"/>
      </w:r>
      <w:r w:rsidR="00344324" w:rsidRPr="00344324">
        <w:rPr>
          <w:rFonts w:ascii="Baskerville" w:hAnsi="Baskerville"/>
          <w:lang w:val="en-US"/>
        </w:rPr>
        <w:t xml:space="preserve"> </w:t>
      </w:r>
    </w:p>
    <w:p w14:paraId="200796C7" w14:textId="77777777" w:rsidR="005A298A" w:rsidRDefault="005A298A" w:rsidP="005E4F4C">
      <w:pPr>
        <w:rPr>
          <w:rFonts w:ascii="Baskerville" w:hAnsi="Baskerville"/>
        </w:rPr>
      </w:pPr>
    </w:p>
    <w:p w14:paraId="58344F1C" w14:textId="5207F491" w:rsidR="0095441C" w:rsidRPr="00D14D89" w:rsidRDefault="00AB6E8C" w:rsidP="0095441C">
      <w:pPr>
        <w:rPr>
          <w:rFonts w:ascii="Baskerville" w:hAnsi="Baskerville"/>
          <w:color w:val="FF0000"/>
          <w:lang w:val="en-US"/>
        </w:rPr>
      </w:pPr>
      <w:r w:rsidRPr="00AB6E8C">
        <w:rPr>
          <w:rFonts w:ascii="Baskerville" w:hAnsi="Baskerville"/>
          <w:lang w:val="en-US"/>
        </w:rPr>
        <w:t>Secondly, the precautionary principle implies a norm to pre-emptively prevent environmental damage.</w:t>
      </w:r>
      <w:r>
        <w:rPr>
          <w:rFonts w:ascii="Baskerville" w:hAnsi="Baskerville"/>
          <w:lang w:val="en-US"/>
        </w:rPr>
        <w:t xml:space="preserve"> </w:t>
      </w:r>
      <w:r w:rsidR="003D0DDF" w:rsidRPr="003B4C83">
        <w:rPr>
          <w:rFonts w:ascii="Baskerville" w:hAnsi="Baskerville"/>
          <w:lang w:val="en-US"/>
        </w:rPr>
        <w:t>We can contrast this</w:t>
      </w:r>
      <w:r w:rsidR="0095441C" w:rsidRPr="003B4C83">
        <w:rPr>
          <w:rFonts w:ascii="Baskerville" w:hAnsi="Baskerville"/>
          <w:lang w:val="en-US"/>
        </w:rPr>
        <w:t xml:space="preserve"> </w:t>
      </w:r>
      <w:r w:rsidR="0095441C" w:rsidRPr="003B4C83">
        <w:rPr>
          <w:rFonts w:ascii="Baskerville" w:hAnsi="Baskerville"/>
          <w:i/>
          <w:iCs/>
          <w:lang w:val="en-US"/>
        </w:rPr>
        <w:t xml:space="preserve">proactive </w:t>
      </w:r>
      <w:r w:rsidR="0095441C" w:rsidRPr="003B4C83">
        <w:rPr>
          <w:rFonts w:ascii="Baskerville" w:hAnsi="Baskerville"/>
          <w:lang w:val="en-US"/>
        </w:rPr>
        <w:t xml:space="preserve">view with the </w:t>
      </w:r>
      <w:r w:rsidR="0095441C" w:rsidRPr="003B4C83">
        <w:rPr>
          <w:rFonts w:ascii="Baskerville" w:hAnsi="Baskerville"/>
          <w:i/>
          <w:iCs/>
          <w:lang w:val="en-US"/>
        </w:rPr>
        <w:t xml:space="preserve">reactive </w:t>
      </w:r>
      <w:r w:rsidR="0095441C" w:rsidRPr="003B4C83">
        <w:rPr>
          <w:rFonts w:ascii="Baskerville" w:hAnsi="Baskerville"/>
          <w:lang w:val="en-US"/>
        </w:rPr>
        <w:t>approach</w:t>
      </w:r>
      <w:r w:rsidR="00D14D89" w:rsidRPr="003B4C83">
        <w:rPr>
          <w:rFonts w:ascii="Baskerville" w:hAnsi="Baskerville"/>
          <w:lang w:val="en-US"/>
        </w:rPr>
        <w:t>,</w:t>
      </w:r>
      <w:r w:rsidR="0095441C" w:rsidRPr="003B4C83">
        <w:rPr>
          <w:rFonts w:ascii="Baskerville" w:hAnsi="Baskerville"/>
          <w:lang w:val="en-US"/>
        </w:rPr>
        <w:t xml:space="preserve"> </w:t>
      </w:r>
      <w:r w:rsidR="003D0DDF" w:rsidRPr="003B4C83">
        <w:rPr>
          <w:rFonts w:ascii="Baskerville" w:hAnsi="Baskerville"/>
          <w:lang w:val="en-US"/>
        </w:rPr>
        <w:t>‘</w:t>
      </w:r>
      <w:r w:rsidR="0095441C" w:rsidRPr="003B4C83">
        <w:rPr>
          <w:rFonts w:ascii="Baskerville" w:hAnsi="Baskerville"/>
          <w:lang w:val="en-US"/>
        </w:rPr>
        <w:t xml:space="preserve">which </w:t>
      </w:r>
      <w:r w:rsidR="0084382D" w:rsidRPr="003B4C83">
        <w:rPr>
          <w:rFonts w:ascii="Baskerville" w:hAnsi="Baskerville"/>
          <w:lang w:val="en-US"/>
        </w:rPr>
        <w:t>suggests</w:t>
      </w:r>
      <w:r w:rsidR="0095441C" w:rsidRPr="003B4C83">
        <w:rPr>
          <w:rFonts w:ascii="Baskerville" w:hAnsi="Baskerville"/>
          <w:lang w:val="en-US"/>
        </w:rPr>
        <w:t xml:space="preserve"> an obligation to remedy or compensate damage </w:t>
      </w:r>
      <w:r w:rsidR="0095441C" w:rsidRPr="003B4C83">
        <w:rPr>
          <w:rFonts w:ascii="Baskerville" w:hAnsi="Baskerville"/>
          <w:u w:val="single"/>
          <w:lang w:val="en-US"/>
        </w:rPr>
        <w:t>after</w:t>
      </w:r>
      <w:r w:rsidR="0095441C" w:rsidRPr="003B4C83">
        <w:rPr>
          <w:rFonts w:ascii="Baskerville" w:hAnsi="Baskerville"/>
          <w:lang w:val="en-US"/>
        </w:rPr>
        <w:t xml:space="preserve"> its realisation</w:t>
      </w:r>
      <w:r w:rsidR="003D0DDF" w:rsidRPr="003B4C83">
        <w:rPr>
          <w:rFonts w:ascii="Baskerville" w:hAnsi="Baskerville"/>
          <w:lang w:val="en-US"/>
        </w:rPr>
        <w:t>’</w:t>
      </w:r>
      <w:r w:rsidR="0095441C" w:rsidRPr="003B4C83">
        <w:rPr>
          <w:rFonts w:ascii="Baskerville" w:hAnsi="Baskerville"/>
          <w:lang w:val="en-US"/>
        </w:rPr>
        <w:t>.</w:t>
      </w:r>
      <w:r w:rsidR="003D0DDF" w:rsidRPr="003B4C83">
        <w:rPr>
          <w:rStyle w:val="FootnoteReference"/>
          <w:rFonts w:ascii="Baskerville" w:hAnsi="Baskerville"/>
          <w:lang w:val="en-US"/>
        </w:rPr>
        <w:footnoteReference w:id="12"/>
      </w:r>
      <w:r w:rsidR="0095441C" w:rsidRPr="003B4C83">
        <w:rPr>
          <w:rFonts w:ascii="Baskerville" w:hAnsi="Baskerville"/>
          <w:lang w:val="en-US"/>
        </w:rPr>
        <w:t xml:space="preserve"> </w:t>
      </w:r>
      <w:r w:rsidR="0084382D" w:rsidRPr="00E842A3">
        <w:rPr>
          <w:rFonts w:ascii="Baskerville" w:hAnsi="Baskerville"/>
          <w:lang w:val="en-US"/>
        </w:rPr>
        <w:t>Edward Soule provides a</w:t>
      </w:r>
      <w:r w:rsidR="00D14D89" w:rsidRPr="00E842A3">
        <w:rPr>
          <w:rFonts w:ascii="Baskerville" w:hAnsi="Baskerville"/>
          <w:lang w:val="en-US"/>
        </w:rPr>
        <w:t xml:space="preserve"> s</w:t>
      </w:r>
      <w:r w:rsidR="0095441C" w:rsidRPr="00E842A3">
        <w:rPr>
          <w:rFonts w:ascii="Baskerville" w:hAnsi="Baskerville"/>
          <w:lang w:val="en-US"/>
        </w:rPr>
        <w:t>imilar account of th</w:t>
      </w:r>
      <w:r w:rsidR="004B0227" w:rsidRPr="00E842A3">
        <w:rPr>
          <w:rFonts w:ascii="Baskerville" w:hAnsi="Baskerville"/>
          <w:lang w:val="en-US"/>
        </w:rPr>
        <w:t>is</w:t>
      </w:r>
      <w:r w:rsidR="0084382D" w:rsidRPr="00E842A3">
        <w:rPr>
          <w:rFonts w:ascii="Baskerville" w:hAnsi="Baskerville"/>
          <w:lang w:val="en-US"/>
        </w:rPr>
        <w:t xml:space="preserve"> second</w:t>
      </w:r>
      <w:r w:rsidR="0095441C" w:rsidRPr="00E842A3">
        <w:rPr>
          <w:rFonts w:ascii="Baskerville" w:hAnsi="Baskerville"/>
          <w:lang w:val="en-US"/>
        </w:rPr>
        <w:t xml:space="preserve"> normative proposition implied by the </w:t>
      </w:r>
      <w:r w:rsidR="00200B24" w:rsidRPr="00E842A3">
        <w:rPr>
          <w:rFonts w:ascii="Baskerville" w:hAnsi="Baskerville"/>
          <w:lang w:val="en-US"/>
        </w:rPr>
        <w:t xml:space="preserve">precautionary </w:t>
      </w:r>
      <w:r w:rsidR="0095441C" w:rsidRPr="00E842A3">
        <w:rPr>
          <w:rFonts w:ascii="Baskerville" w:hAnsi="Baskerville"/>
          <w:lang w:val="en-US"/>
        </w:rPr>
        <w:t xml:space="preserve">principle </w:t>
      </w:r>
      <w:r w:rsidR="0084382D" w:rsidRPr="00E842A3">
        <w:rPr>
          <w:rFonts w:ascii="Baskerville" w:hAnsi="Baskerville"/>
          <w:lang w:val="en-US"/>
        </w:rPr>
        <w:t>through his emphasis of</w:t>
      </w:r>
      <w:r w:rsidR="0095441C" w:rsidRPr="00E842A3">
        <w:rPr>
          <w:rFonts w:ascii="Baskerville" w:hAnsi="Baskerville"/>
          <w:lang w:val="en-US"/>
        </w:rPr>
        <w:t xml:space="preserve"> “a commitment to risk avoidance in terms of some envir</w:t>
      </w:r>
      <w:r w:rsidR="007B71DC" w:rsidRPr="00E842A3">
        <w:rPr>
          <w:rFonts w:ascii="Baskerville" w:hAnsi="Baskerville"/>
          <w:lang w:val="en-US"/>
        </w:rPr>
        <w:t>onmental risks”</w:t>
      </w:r>
      <w:r w:rsidR="0095441C" w:rsidRPr="00E842A3">
        <w:rPr>
          <w:rFonts w:ascii="Baskerville" w:hAnsi="Baskerville"/>
          <w:lang w:val="en-US"/>
        </w:rPr>
        <w:t>.</w:t>
      </w:r>
      <w:r w:rsidR="007B71DC" w:rsidRPr="00E842A3">
        <w:rPr>
          <w:rStyle w:val="FootnoteReference"/>
          <w:rFonts w:ascii="Baskerville" w:hAnsi="Baskerville"/>
          <w:lang w:val="en-US"/>
        </w:rPr>
        <w:footnoteReference w:id="13"/>
      </w:r>
      <w:r w:rsidR="0095441C" w:rsidRPr="00E842A3">
        <w:rPr>
          <w:rFonts w:ascii="Baskerville" w:hAnsi="Baskerville"/>
          <w:lang w:val="en-US"/>
        </w:rPr>
        <w:t xml:space="preserve"> In his </w:t>
      </w:r>
      <w:r w:rsidR="00E842A3">
        <w:rPr>
          <w:rFonts w:ascii="Baskerville" w:hAnsi="Baskerville"/>
          <w:lang w:val="en-US"/>
        </w:rPr>
        <w:t>opinion</w:t>
      </w:r>
      <w:r w:rsidR="0095441C" w:rsidRPr="00E842A3">
        <w:rPr>
          <w:rFonts w:ascii="Baskerville" w:hAnsi="Baskerville"/>
          <w:lang w:val="en-US"/>
        </w:rPr>
        <w:t xml:space="preserve">, </w:t>
      </w:r>
    </w:p>
    <w:p w14:paraId="4851C8ED" w14:textId="77777777" w:rsidR="0095441C" w:rsidRPr="00D14D89" w:rsidRDefault="0095441C" w:rsidP="0095441C">
      <w:pPr>
        <w:rPr>
          <w:rFonts w:ascii="Baskerville" w:hAnsi="Baskerville"/>
          <w:color w:val="FF0000"/>
          <w:lang w:val="en-US"/>
        </w:rPr>
      </w:pPr>
    </w:p>
    <w:p w14:paraId="04960438" w14:textId="603FBBF3" w:rsidR="0095441C" w:rsidRPr="00E842A3" w:rsidRDefault="0095441C" w:rsidP="0095441C">
      <w:pPr>
        <w:ind w:left="851" w:right="1070"/>
        <w:rPr>
          <w:rFonts w:ascii="Baskerville" w:hAnsi="Baskerville"/>
          <w:lang w:val="en-US"/>
        </w:rPr>
      </w:pPr>
      <w:r w:rsidRPr="00E842A3">
        <w:rPr>
          <w:rFonts w:ascii="Baskerville" w:hAnsi="Baskerville"/>
          <w:iCs/>
          <w:lang w:val="en-US"/>
        </w:rPr>
        <w:t>‘</w:t>
      </w:r>
      <w:r w:rsidR="00A04721" w:rsidRPr="00E842A3">
        <w:rPr>
          <w:rFonts w:ascii="Baskerville" w:hAnsi="Baskerville"/>
          <w:i/>
          <w:iCs/>
          <w:lang w:val="en-US"/>
        </w:rPr>
        <w:t>s</w:t>
      </w:r>
      <w:r w:rsidR="000F0DD1" w:rsidRPr="00E842A3">
        <w:rPr>
          <w:rFonts w:ascii="Baskerville" w:hAnsi="Baskerville"/>
          <w:i/>
          <w:iCs/>
          <w:lang w:val="en-US"/>
        </w:rPr>
        <w:t>ometimes</w:t>
      </w:r>
      <w:r w:rsidRPr="00E842A3">
        <w:rPr>
          <w:rFonts w:ascii="Baskerville" w:hAnsi="Baskerville"/>
          <w:i/>
          <w:iCs/>
          <w:lang w:val="en-US"/>
        </w:rPr>
        <w:t xml:space="preserve"> </w:t>
      </w:r>
      <w:r w:rsidRPr="00E842A3">
        <w:rPr>
          <w:rFonts w:ascii="Baskerville" w:hAnsi="Baskerville"/>
          <w:lang w:val="en-US"/>
        </w:rPr>
        <w:t>regulators should prohibit (or constrain) the commerciali</w:t>
      </w:r>
      <w:r w:rsidR="00273F34">
        <w:rPr>
          <w:rFonts w:ascii="Baskerville" w:hAnsi="Baskerville"/>
          <w:lang w:val="en-US"/>
        </w:rPr>
        <w:t>s</w:t>
      </w:r>
      <w:r w:rsidRPr="00E842A3">
        <w:rPr>
          <w:rFonts w:ascii="Baskerville" w:hAnsi="Baskerville"/>
          <w:lang w:val="en-US"/>
        </w:rPr>
        <w:t>ation of environmentally risky technology, even though the science that identifies the risk is uncertain and even though economic or other factors might recommend otherwise’.</w:t>
      </w:r>
      <w:r w:rsidR="007B71DC" w:rsidRPr="00E842A3">
        <w:rPr>
          <w:rStyle w:val="FootnoteReference"/>
          <w:rFonts w:ascii="Baskerville" w:hAnsi="Baskerville"/>
          <w:lang w:val="en-US"/>
        </w:rPr>
        <w:footnoteReference w:id="14"/>
      </w:r>
    </w:p>
    <w:p w14:paraId="2D30CBCB" w14:textId="77777777" w:rsidR="0095441C" w:rsidRPr="00D14D89" w:rsidRDefault="0095441C" w:rsidP="005E4F4C">
      <w:pPr>
        <w:rPr>
          <w:rFonts w:ascii="Baskerville" w:hAnsi="Baskerville"/>
          <w:color w:val="FF0000"/>
        </w:rPr>
      </w:pPr>
    </w:p>
    <w:p w14:paraId="1DA617A2" w14:textId="7F6806AE" w:rsidR="005A298A" w:rsidRDefault="004B397C" w:rsidP="005A298A">
      <w:pPr>
        <w:rPr>
          <w:rFonts w:ascii="Baskerville" w:hAnsi="Baskerville"/>
          <w:lang w:val="en-US"/>
        </w:rPr>
      </w:pPr>
      <w:r w:rsidRPr="008B4632">
        <w:rPr>
          <w:rFonts w:ascii="Baskerville" w:hAnsi="Baskerville"/>
          <w:lang w:val="en-US"/>
        </w:rPr>
        <w:t>Pre</w:t>
      </w:r>
      <w:r w:rsidR="005A298A" w:rsidRPr="008B4632">
        <w:rPr>
          <w:rFonts w:ascii="Baskerville" w:hAnsi="Baskerville"/>
          <w:lang w:val="en-US"/>
        </w:rPr>
        <w:t xml:space="preserve">-emptive measures may </w:t>
      </w:r>
      <w:r w:rsidR="009E5D13" w:rsidRPr="008B4632">
        <w:rPr>
          <w:rFonts w:ascii="Baskerville" w:hAnsi="Baskerville"/>
          <w:lang w:val="en-US"/>
        </w:rPr>
        <w:t>include</w:t>
      </w:r>
      <w:r w:rsidR="005A298A" w:rsidRPr="008B4632">
        <w:rPr>
          <w:rFonts w:ascii="Baskerville" w:hAnsi="Baskerville"/>
          <w:lang w:val="en-US"/>
        </w:rPr>
        <w:t xml:space="preserve"> </w:t>
      </w:r>
      <w:r w:rsidR="009E5D13" w:rsidRPr="008B4632">
        <w:rPr>
          <w:rFonts w:ascii="Baskerville" w:hAnsi="Baskerville"/>
          <w:lang w:val="en-US"/>
        </w:rPr>
        <w:t>phase-outs or outright bans</w:t>
      </w:r>
      <w:r w:rsidR="005A298A" w:rsidRPr="008B4632">
        <w:rPr>
          <w:rFonts w:ascii="Baskerville" w:hAnsi="Baskerville"/>
          <w:lang w:val="en-US"/>
        </w:rPr>
        <w:t xml:space="preserve">, </w:t>
      </w:r>
      <w:r w:rsidR="009E5D13" w:rsidRPr="008B4632">
        <w:rPr>
          <w:rFonts w:ascii="Baskerville" w:hAnsi="Baskerville"/>
          <w:lang w:val="en-US"/>
        </w:rPr>
        <w:t>‘</w:t>
      </w:r>
      <w:r w:rsidR="005A298A" w:rsidRPr="008B4632">
        <w:rPr>
          <w:rFonts w:ascii="Baskerville" w:hAnsi="Baskerville"/>
          <w:lang w:val="en-US"/>
        </w:rPr>
        <w:t>moratoria, pre-market testing, labelling, and requests for extra scientific information before proceeding</w:t>
      </w:r>
      <w:r w:rsidR="009E5D13" w:rsidRPr="008B4632">
        <w:rPr>
          <w:rFonts w:ascii="Baskerville" w:hAnsi="Baskerville"/>
          <w:lang w:val="en-US"/>
        </w:rPr>
        <w:t>’</w:t>
      </w:r>
      <w:r w:rsidR="005A298A" w:rsidRPr="008B4632">
        <w:rPr>
          <w:rFonts w:ascii="Baskerville" w:hAnsi="Baskerville"/>
          <w:lang w:val="en-US"/>
        </w:rPr>
        <w:t>.</w:t>
      </w:r>
      <w:r w:rsidR="009E5D13" w:rsidRPr="008B4632">
        <w:rPr>
          <w:rStyle w:val="FootnoteReference"/>
          <w:rFonts w:ascii="Baskerville" w:hAnsi="Baskerville"/>
          <w:lang w:val="en-US"/>
        </w:rPr>
        <w:footnoteReference w:id="15"/>
      </w:r>
      <w:r w:rsidR="005A298A" w:rsidRPr="00D14D89">
        <w:rPr>
          <w:rFonts w:ascii="Baskerville" w:hAnsi="Baskerville"/>
          <w:color w:val="FF0000"/>
          <w:lang w:val="en-US"/>
        </w:rPr>
        <w:t xml:space="preserve"> </w:t>
      </w:r>
      <w:r w:rsidR="005A298A" w:rsidRPr="00F81ABD">
        <w:rPr>
          <w:rFonts w:ascii="Baskerville" w:hAnsi="Baskerville"/>
          <w:lang w:val="en-US"/>
        </w:rPr>
        <w:t>Other precautionary response</w:t>
      </w:r>
      <w:r w:rsidR="00F81ABD" w:rsidRPr="00F81ABD">
        <w:rPr>
          <w:rFonts w:ascii="Baskerville" w:hAnsi="Baskerville"/>
          <w:lang w:val="en-US"/>
        </w:rPr>
        <w:t>s</w:t>
      </w:r>
      <w:r w:rsidR="005A298A" w:rsidRPr="00F81ABD">
        <w:rPr>
          <w:rFonts w:ascii="Baskerville" w:hAnsi="Baskerville"/>
          <w:lang w:val="en-US"/>
        </w:rPr>
        <w:t xml:space="preserve"> would </w:t>
      </w:r>
      <w:r w:rsidR="00F81ABD" w:rsidRPr="00F81ABD">
        <w:rPr>
          <w:rFonts w:ascii="Baskerville" w:hAnsi="Baskerville"/>
          <w:lang w:val="en-US"/>
        </w:rPr>
        <w:t>include</w:t>
      </w:r>
      <w:r w:rsidR="005A298A" w:rsidRPr="00F81ABD">
        <w:rPr>
          <w:rFonts w:ascii="Baskerville" w:hAnsi="Baskerville"/>
          <w:lang w:val="en-US"/>
        </w:rPr>
        <w:t xml:space="preserve"> the establishment and implementation of new precautionary risk assessment methodologies.</w:t>
      </w:r>
      <w:r w:rsidR="005A298A" w:rsidRPr="00D14D89">
        <w:rPr>
          <w:rFonts w:ascii="Baskerville" w:hAnsi="Baskerville"/>
          <w:color w:val="FF0000"/>
          <w:lang w:val="en-US"/>
        </w:rPr>
        <w:t xml:space="preserve"> </w:t>
      </w:r>
      <w:r w:rsidR="005A298A" w:rsidRPr="00F81ABD">
        <w:rPr>
          <w:rFonts w:ascii="Baskerville" w:hAnsi="Baskerville"/>
          <w:lang w:val="en-US"/>
        </w:rPr>
        <w:t xml:space="preserve">The </w:t>
      </w:r>
      <w:r w:rsidR="00F81ABD" w:rsidRPr="00F81ABD">
        <w:rPr>
          <w:rFonts w:ascii="Baskerville" w:hAnsi="Baskerville"/>
          <w:lang w:val="en-US"/>
        </w:rPr>
        <w:t xml:space="preserve">latter reflects a heavy emphasis </w:t>
      </w:r>
      <w:r w:rsidR="005A298A" w:rsidRPr="00F81ABD">
        <w:rPr>
          <w:rFonts w:ascii="Baskerville" w:hAnsi="Baskerville"/>
          <w:lang w:val="en-US"/>
        </w:rPr>
        <w:t xml:space="preserve">on the first normative </w:t>
      </w:r>
      <w:r w:rsidR="00F81ABD" w:rsidRPr="00F81ABD">
        <w:rPr>
          <w:rFonts w:ascii="Baskerville" w:hAnsi="Baskerville"/>
          <w:lang w:val="en-US"/>
        </w:rPr>
        <w:t>proposition of the principle. T</w:t>
      </w:r>
      <w:r w:rsidR="005A298A" w:rsidRPr="00F81ABD">
        <w:rPr>
          <w:rFonts w:ascii="Baskerville" w:hAnsi="Baskerville"/>
          <w:lang w:val="en-US"/>
        </w:rPr>
        <w:t xml:space="preserve">he focus is not only on how to </w:t>
      </w:r>
      <w:r w:rsidR="00F81ABD" w:rsidRPr="00F81ABD">
        <w:rPr>
          <w:rFonts w:ascii="Baskerville" w:hAnsi="Baskerville"/>
          <w:lang w:val="en-US"/>
        </w:rPr>
        <w:t>address</w:t>
      </w:r>
      <w:r w:rsidR="005A298A" w:rsidRPr="00F81ABD">
        <w:rPr>
          <w:rFonts w:ascii="Baskerville" w:hAnsi="Baskerville"/>
          <w:lang w:val="en-US"/>
        </w:rPr>
        <w:t xml:space="preserve"> the identified threats, but also on the methods to anticipate and assess </w:t>
      </w:r>
      <w:r w:rsidR="00F81ABD" w:rsidRPr="00F81ABD">
        <w:rPr>
          <w:rFonts w:ascii="Baskerville" w:hAnsi="Baskerville"/>
          <w:lang w:val="en-US"/>
        </w:rPr>
        <w:t xml:space="preserve">the </w:t>
      </w:r>
      <w:r w:rsidR="005A298A" w:rsidRPr="00F81ABD">
        <w:rPr>
          <w:rFonts w:ascii="Baskerville" w:hAnsi="Baskerville"/>
          <w:lang w:val="en-US"/>
        </w:rPr>
        <w:t xml:space="preserve">threats </w:t>
      </w:r>
      <w:r w:rsidR="00F81ABD" w:rsidRPr="00F81ABD">
        <w:rPr>
          <w:rFonts w:ascii="Baskerville" w:hAnsi="Baskerville"/>
          <w:lang w:val="en-US"/>
        </w:rPr>
        <w:t xml:space="preserve">in </w:t>
      </w:r>
      <w:r w:rsidR="005A298A" w:rsidRPr="00F81ABD">
        <w:rPr>
          <w:rFonts w:ascii="Baskerville" w:hAnsi="Baskerville"/>
          <w:lang w:val="en-US"/>
        </w:rPr>
        <w:t>the first place.</w:t>
      </w:r>
      <w:r w:rsidR="0060598F" w:rsidRPr="00F81ABD">
        <w:rPr>
          <w:rStyle w:val="FootnoteReference"/>
          <w:rFonts w:ascii="Baskerville" w:hAnsi="Baskerville"/>
          <w:lang w:val="en-US"/>
        </w:rPr>
        <w:footnoteReference w:id="16"/>
      </w:r>
    </w:p>
    <w:p w14:paraId="73095EEB" w14:textId="77777777" w:rsidR="00A7623C" w:rsidRDefault="00A7623C" w:rsidP="005A298A">
      <w:pPr>
        <w:rPr>
          <w:rFonts w:ascii="Baskerville" w:hAnsi="Baskerville"/>
          <w:lang w:val="en-US"/>
        </w:rPr>
      </w:pPr>
    </w:p>
    <w:p w14:paraId="5A1DE47F" w14:textId="37E5CB12" w:rsidR="00C36C45" w:rsidRDefault="00A7623C" w:rsidP="00C36C45">
      <w:pPr>
        <w:rPr>
          <w:rFonts w:ascii="Baskerville" w:hAnsi="Baskerville"/>
          <w:color w:val="FF0000"/>
          <w:lang w:val="en-US"/>
        </w:rPr>
      </w:pPr>
      <w:r w:rsidRPr="00A7623C">
        <w:rPr>
          <w:rFonts w:ascii="Baskerville" w:hAnsi="Baskerville"/>
          <w:lang w:val="en-US"/>
        </w:rPr>
        <w:t>The third normative proposition from the precautionary principle</w:t>
      </w:r>
      <w:r w:rsidRPr="00A7623C">
        <w:rPr>
          <w:rFonts w:ascii="Baskerville" w:hAnsi="Baskerville"/>
          <w:color w:val="FF0000"/>
          <w:lang w:val="en-US"/>
        </w:rPr>
        <w:t xml:space="preserve"> </w:t>
      </w:r>
      <w:r w:rsidRPr="00867337">
        <w:rPr>
          <w:rFonts w:ascii="Baskerville" w:hAnsi="Baskerville"/>
          <w:lang w:val="en-US"/>
        </w:rPr>
        <w:t xml:space="preserve">concerns the </w:t>
      </w:r>
      <w:r w:rsidR="00867337" w:rsidRPr="00867337">
        <w:rPr>
          <w:rFonts w:ascii="Baskerville" w:hAnsi="Baskerville"/>
          <w:lang w:val="en-US"/>
        </w:rPr>
        <w:t xml:space="preserve">correct </w:t>
      </w:r>
      <w:r w:rsidRPr="00867337">
        <w:rPr>
          <w:rFonts w:ascii="Baskerville" w:hAnsi="Baskerville"/>
          <w:lang w:val="en-US"/>
        </w:rPr>
        <w:t xml:space="preserve">role of scientific knowledge in the environmental decision-making. </w:t>
      </w:r>
      <w:r w:rsidR="00867337" w:rsidRPr="00867337">
        <w:rPr>
          <w:rFonts w:ascii="Baskerville" w:hAnsi="Baskerville"/>
          <w:lang w:val="en-US"/>
        </w:rPr>
        <w:t>The precautionary principle prescribes that</w:t>
      </w:r>
      <w:r w:rsidRPr="00867337">
        <w:rPr>
          <w:rFonts w:ascii="Baskerville" w:hAnsi="Baskerville"/>
          <w:lang w:val="en-US"/>
        </w:rPr>
        <w:t xml:space="preserve"> adequate scientific understanding o</w:t>
      </w:r>
      <w:r w:rsidR="00867337" w:rsidRPr="00867337">
        <w:rPr>
          <w:rFonts w:ascii="Baskerville" w:hAnsi="Baskerville"/>
          <w:lang w:val="en-US"/>
        </w:rPr>
        <w:t>f an identified threat is an un</w:t>
      </w:r>
      <w:r w:rsidRPr="00867337">
        <w:rPr>
          <w:rFonts w:ascii="Baskerville" w:hAnsi="Baskerville"/>
          <w:lang w:val="en-US"/>
        </w:rPr>
        <w:t>necessary c</w:t>
      </w:r>
      <w:r w:rsidR="00E65C9C" w:rsidRPr="00867337">
        <w:rPr>
          <w:rFonts w:ascii="Baskerville" w:hAnsi="Baskerville"/>
          <w:lang w:val="en-US"/>
        </w:rPr>
        <w:t>ondition for taking precautions.</w:t>
      </w:r>
      <w:r w:rsidR="00E65C9C" w:rsidRPr="00867337">
        <w:rPr>
          <w:rStyle w:val="FootnoteReference"/>
          <w:rFonts w:ascii="Baskerville" w:hAnsi="Baskerville"/>
          <w:lang w:val="en-US"/>
        </w:rPr>
        <w:footnoteReference w:id="17"/>
      </w:r>
      <w:r w:rsidR="00E65C9C" w:rsidRPr="00867337">
        <w:rPr>
          <w:rFonts w:ascii="Baskerville" w:hAnsi="Baskerville"/>
          <w:lang w:val="en-US"/>
        </w:rPr>
        <w:t xml:space="preserve"> </w:t>
      </w:r>
      <w:r w:rsidRPr="00867337">
        <w:rPr>
          <w:rFonts w:ascii="Baskerville" w:hAnsi="Baskerville"/>
          <w:lang w:val="en-US"/>
        </w:rPr>
        <w:t xml:space="preserve">This feature distinguishes the </w:t>
      </w:r>
      <w:r w:rsidR="00867337" w:rsidRPr="00867337">
        <w:rPr>
          <w:rFonts w:ascii="Baskerville" w:hAnsi="Baskerville"/>
          <w:lang w:val="en-US"/>
        </w:rPr>
        <w:t xml:space="preserve">precautionary </w:t>
      </w:r>
      <w:r w:rsidRPr="00867337">
        <w:rPr>
          <w:rFonts w:ascii="Baskerville" w:hAnsi="Baskerville"/>
          <w:lang w:val="en-US"/>
        </w:rPr>
        <w:t xml:space="preserve">principle (or the precautionary approach) from </w:t>
      </w:r>
      <w:r w:rsidR="00867337" w:rsidRPr="00867337">
        <w:rPr>
          <w:rFonts w:ascii="Baskerville" w:hAnsi="Baskerville"/>
          <w:lang w:val="en-US"/>
        </w:rPr>
        <w:t>previous</w:t>
      </w:r>
      <w:r w:rsidRPr="00867337">
        <w:rPr>
          <w:rFonts w:ascii="Baskerville" w:hAnsi="Baskerville"/>
          <w:lang w:val="en-US"/>
        </w:rPr>
        <w:t xml:space="preserve"> institutionalised risk governance approaches.</w:t>
      </w:r>
      <w:r w:rsidR="002A47AE" w:rsidRPr="00867337">
        <w:rPr>
          <w:rStyle w:val="FootnoteReference"/>
          <w:rFonts w:ascii="Baskerville" w:hAnsi="Baskerville"/>
          <w:lang w:val="en-US"/>
        </w:rPr>
        <w:footnoteReference w:id="18"/>
      </w:r>
      <w:r w:rsidRPr="00867337">
        <w:rPr>
          <w:rFonts w:ascii="Baskerville" w:hAnsi="Baskerville"/>
          <w:lang w:val="en-US"/>
        </w:rPr>
        <w:t xml:space="preserve"> </w:t>
      </w:r>
      <w:r w:rsidR="00C36C45" w:rsidRPr="00C36C45">
        <w:rPr>
          <w:rFonts w:ascii="Baskerville" w:hAnsi="Baskerville"/>
          <w:lang w:val="en-US"/>
        </w:rPr>
        <w:t>However, this third proposition</w:t>
      </w:r>
      <w:r w:rsidR="00C36C45" w:rsidRPr="00C36C45">
        <w:rPr>
          <w:rFonts w:ascii="Baskerville" w:hAnsi="Baskerville"/>
          <w:color w:val="FF0000"/>
          <w:lang w:val="en-US"/>
        </w:rPr>
        <w:t xml:space="preserve"> </w:t>
      </w:r>
      <w:r w:rsidR="00C36C45" w:rsidRPr="00587683">
        <w:rPr>
          <w:rFonts w:ascii="Baskerville" w:hAnsi="Baskerville"/>
          <w:lang w:val="en-US"/>
        </w:rPr>
        <w:t xml:space="preserve">does not </w:t>
      </w:r>
      <w:r w:rsidR="00587683" w:rsidRPr="00587683">
        <w:rPr>
          <w:rFonts w:ascii="Baskerville" w:hAnsi="Baskerville"/>
          <w:lang w:val="en-US"/>
        </w:rPr>
        <w:t>suggest</w:t>
      </w:r>
      <w:r w:rsidR="00C36C45" w:rsidRPr="00587683">
        <w:rPr>
          <w:rFonts w:ascii="Baskerville" w:hAnsi="Baskerville"/>
          <w:lang w:val="en-US"/>
        </w:rPr>
        <w:t xml:space="preserve"> that any suspicions of risks are sufficient to trigger precautions, but that we “should act based on the best available science, albeit tentative, inconclusive, or in dispute”</w:t>
      </w:r>
      <w:r w:rsidR="002C6D25" w:rsidRPr="00587683">
        <w:rPr>
          <w:rFonts w:ascii="Baskerville" w:hAnsi="Baskerville"/>
          <w:lang w:val="en-US"/>
        </w:rPr>
        <w:t>.</w:t>
      </w:r>
      <w:r w:rsidR="002C6D25" w:rsidRPr="00587683">
        <w:rPr>
          <w:rStyle w:val="FootnoteReference"/>
          <w:rFonts w:ascii="Baskerville" w:hAnsi="Baskerville"/>
          <w:lang w:val="en-US"/>
        </w:rPr>
        <w:footnoteReference w:id="19"/>
      </w:r>
      <w:r w:rsidR="00C36C45" w:rsidRPr="00C36C45">
        <w:rPr>
          <w:rFonts w:ascii="Baskerville" w:hAnsi="Baskerville"/>
          <w:color w:val="FF0000"/>
          <w:lang w:val="en-US"/>
        </w:rPr>
        <w:t xml:space="preserve"> </w:t>
      </w:r>
    </w:p>
    <w:p w14:paraId="5CB89C9C" w14:textId="77777777" w:rsidR="00630C9D" w:rsidRDefault="00630C9D" w:rsidP="00C36C45">
      <w:pPr>
        <w:rPr>
          <w:rFonts w:ascii="Baskerville" w:hAnsi="Baskerville"/>
          <w:color w:val="FF0000"/>
          <w:lang w:val="en-US"/>
        </w:rPr>
      </w:pPr>
    </w:p>
    <w:p w14:paraId="58F4C85B" w14:textId="77777777" w:rsidR="00630C9D" w:rsidRDefault="00630C9D" w:rsidP="00630C9D">
      <w:pPr>
        <w:rPr>
          <w:rFonts w:ascii="Baskerville" w:hAnsi="Baskerville"/>
          <w:b/>
          <w:u w:val="single"/>
          <w:lang w:val="en-US"/>
        </w:rPr>
      </w:pPr>
      <w:r>
        <w:rPr>
          <w:rFonts w:ascii="Baskerville" w:hAnsi="Baskerville"/>
          <w:b/>
          <w:u w:val="single"/>
          <w:lang w:val="en-US"/>
        </w:rPr>
        <w:t>‘Precaution’</w:t>
      </w:r>
    </w:p>
    <w:p w14:paraId="41B7409F" w14:textId="77777777" w:rsidR="00630C9D" w:rsidRDefault="00630C9D" w:rsidP="00630C9D">
      <w:pPr>
        <w:rPr>
          <w:rFonts w:ascii="Baskerville" w:hAnsi="Baskerville"/>
          <w:b/>
          <w:u w:val="single"/>
          <w:lang w:val="en-US"/>
        </w:rPr>
      </w:pPr>
    </w:p>
    <w:p w14:paraId="7FE35936" w14:textId="60E368A9" w:rsidR="00223C2B" w:rsidRPr="00D750A9" w:rsidRDefault="00002E64" w:rsidP="00223C2B">
      <w:pPr>
        <w:rPr>
          <w:rFonts w:ascii="Baskerville" w:hAnsi="Baskerville"/>
          <w:color w:val="FF0000"/>
          <w:lang w:val="en-US"/>
        </w:rPr>
      </w:pPr>
      <w:r w:rsidRPr="00002E64">
        <w:rPr>
          <w:rFonts w:ascii="Baskerville" w:hAnsi="Baskerville"/>
          <w:lang w:val="en-US"/>
        </w:rPr>
        <w:t>Precaution is one of the ‘guiding principles of environmental laws in the European Union’.</w:t>
      </w:r>
      <w:r w:rsidR="003137B4">
        <w:rPr>
          <w:rStyle w:val="FootnoteReference"/>
          <w:rFonts w:ascii="Baskerville" w:hAnsi="Baskerville"/>
          <w:lang w:val="en-US"/>
        </w:rPr>
        <w:footnoteReference w:id="20"/>
      </w:r>
      <w:r>
        <w:rPr>
          <w:rFonts w:ascii="Baskerville" w:hAnsi="Baskerville"/>
          <w:color w:val="FF0000"/>
          <w:lang w:val="en-US"/>
        </w:rPr>
        <w:t xml:space="preserve"> </w:t>
      </w:r>
      <w:r w:rsidR="00630C9D" w:rsidRPr="00576AB3">
        <w:rPr>
          <w:rFonts w:ascii="Baskerville" w:hAnsi="Baskerville"/>
          <w:lang w:val="en-US"/>
        </w:rPr>
        <w:t xml:space="preserve">There has been </w:t>
      </w:r>
      <w:r w:rsidR="00576AB3" w:rsidRPr="00576AB3">
        <w:rPr>
          <w:rFonts w:ascii="Baskerville" w:hAnsi="Baskerville"/>
          <w:lang w:val="en-US"/>
        </w:rPr>
        <w:t>considerable</w:t>
      </w:r>
      <w:r w:rsidR="00630C9D" w:rsidRPr="00576AB3">
        <w:rPr>
          <w:rFonts w:ascii="Baskerville" w:hAnsi="Baskerville"/>
          <w:lang w:val="en-US"/>
        </w:rPr>
        <w:t xml:space="preserve"> debate </w:t>
      </w:r>
      <w:r w:rsidR="00576AB3" w:rsidRPr="00576AB3">
        <w:rPr>
          <w:rFonts w:ascii="Baskerville" w:hAnsi="Baskerville"/>
          <w:lang w:val="en-US"/>
        </w:rPr>
        <w:t>concerning</w:t>
      </w:r>
      <w:r w:rsidR="00630C9D" w:rsidRPr="00576AB3">
        <w:rPr>
          <w:rFonts w:ascii="Baskerville" w:hAnsi="Baskerville"/>
          <w:lang w:val="en-US"/>
        </w:rPr>
        <w:t xml:space="preserve"> the concept of precaution,</w:t>
      </w:r>
      <w:r w:rsidR="00630C9D" w:rsidRPr="00785138">
        <w:rPr>
          <w:rFonts w:ascii="Baskerville" w:hAnsi="Baskerville"/>
          <w:color w:val="FF0000"/>
          <w:lang w:val="en-US"/>
        </w:rPr>
        <w:t xml:space="preserve"> </w:t>
      </w:r>
      <w:r w:rsidR="000D62C1" w:rsidRPr="000D62C1">
        <w:rPr>
          <w:rFonts w:ascii="Baskerville" w:hAnsi="Baskerville"/>
          <w:lang w:val="en-US"/>
        </w:rPr>
        <w:t>particularly</w:t>
      </w:r>
      <w:r w:rsidR="00630C9D" w:rsidRPr="000D62C1">
        <w:rPr>
          <w:rFonts w:ascii="Baskerville" w:hAnsi="Baskerville"/>
          <w:lang w:val="en-US"/>
        </w:rPr>
        <w:t xml:space="preserve"> whether it should be </w:t>
      </w:r>
      <w:r w:rsidR="000D62C1" w:rsidRPr="000D62C1">
        <w:rPr>
          <w:rFonts w:ascii="Baskerville" w:hAnsi="Baskerville"/>
          <w:lang w:val="en-US"/>
        </w:rPr>
        <w:t>acknowledged</w:t>
      </w:r>
      <w:r w:rsidR="00630C9D" w:rsidRPr="000D62C1">
        <w:rPr>
          <w:rFonts w:ascii="Baskerville" w:hAnsi="Baskerville"/>
          <w:lang w:val="en-US"/>
        </w:rPr>
        <w:t xml:space="preserve"> as a legal principle </w:t>
      </w:r>
      <w:r w:rsidR="000D62C1" w:rsidRPr="000D62C1">
        <w:rPr>
          <w:rFonts w:ascii="Baskerville" w:hAnsi="Baskerville"/>
          <w:lang w:val="en-US"/>
        </w:rPr>
        <w:t>as well as</w:t>
      </w:r>
      <w:r w:rsidR="00630C9D" w:rsidRPr="000D62C1">
        <w:rPr>
          <w:rFonts w:ascii="Baskerville" w:hAnsi="Baskerville"/>
          <w:lang w:val="en-US"/>
        </w:rPr>
        <w:t xml:space="preserve"> being a sound policy approach.</w:t>
      </w:r>
      <w:r w:rsidR="00576AB3" w:rsidRPr="000D62C1">
        <w:rPr>
          <w:rStyle w:val="FootnoteReference"/>
          <w:rFonts w:ascii="Baskerville" w:hAnsi="Baskerville"/>
          <w:lang w:val="en-US"/>
        </w:rPr>
        <w:footnoteReference w:id="21"/>
      </w:r>
      <w:r w:rsidR="00630C9D" w:rsidRPr="00785138">
        <w:rPr>
          <w:rFonts w:ascii="Baskerville" w:hAnsi="Baskerville"/>
          <w:color w:val="FF0000"/>
          <w:lang w:val="en-US"/>
        </w:rPr>
        <w:t xml:space="preserve"> </w:t>
      </w:r>
      <w:r w:rsidR="000D62C1" w:rsidRPr="000D62C1">
        <w:rPr>
          <w:rFonts w:ascii="Baskerville" w:hAnsi="Baskerville"/>
          <w:lang w:val="en-US"/>
        </w:rPr>
        <w:t>Critics</w:t>
      </w:r>
      <w:r w:rsidR="00630C9D" w:rsidRPr="000D62C1">
        <w:rPr>
          <w:rFonts w:ascii="Baskerville" w:hAnsi="Baskerville"/>
          <w:lang w:val="en-US"/>
        </w:rPr>
        <w:t xml:space="preserve"> have argued against the recognition of ‘precaution’ as a “principle” of environmental law, </w:t>
      </w:r>
      <w:r w:rsidR="00630C9D" w:rsidRPr="00D33E1B">
        <w:rPr>
          <w:rFonts w:ascii="Baskerville" w:hAnsi="Baskerville"/>
          <w:lang w:val="en-US"/>
        </w:rPr>
        <w:t xml:space="preserve">which </w:t>
      </w:r>
      <w:r w:rsidR="00D33E1B" w:rsidRPr="00D33E1B">
        <w:rPr>
          <w:rFonts w:ascii="Baskerville" w:hAnsi="Baskerville"/>
          <w:lang w:val="en-US"/>
        </w:rPr>
        <w:t>implies</w:t>
      </w:r>
      <w:r w:rsidR="00630C9D" w:rsidRPr="00D33E1B">
        <w:rPr>
          <w:rFonts w:ascii="Baskerville" w:hAnsi="Baskerville"/>
          <w:lang w:val="en-US"/>
        </w:rPr>
        <w:t xml:space="preserve"> a </w:t>
      </w:r>
      <w:r w:rsidR="000D62C1" w:rsidRPr="00D33E1B">
        <w:rPr>
          <w:rFonts w:ascii="Baskerville" w:hAnsi="Baskerville"/>
          <w:lang w:val="en-US"/>
        </w:rPr>
        <w:t>wide</w:t>
      </w:r>
      <w:r w:rsidR="00630C9D" w:rsidRPr="00D33E1B">
        <w:rPr>
          <w:rFonts w:ascii="Baskerville" w:hAnsi="Baskerville"/>
          <w:lang w:val="en-US"/>
        </w:rPr>
        <w:t xml:space="preserve"> obligation to apply precaution in decision-making,</w:t>
      </w:r>
      <w:r w:rsidR="00630C9D" w:rsidRPr="00785138">
        <w:rPr>
          <w:rFonts w:ascii="Baskerville" w:hAnsi="Baskerville"/>
          <w:color w:val="FF0000"/>
          <w:lang w:val="en-US"/>
        </w:rPr>
        <w:t xml:space="preserve"> </w:t>
      </w:r>
      <w:r w:rsidR="000D62C1" w:rsidRPr="00D33E1B">
        <w:rPr>
          <w:rFonts w:ascii="Baskerville" w:hAnsi="Baskerville"/>
          <w:lang w:val="en-US"/>
        </w:rPr>
        <w:t>favouring the</w:t>
      </w:r>
      <w:r w:rsidR="00630C9D" w:rsidRPr="00D33E1B">
        <w:rPr>
          <w:rFonts w:ascii="Baskerville" w:hAnsi="Baskerville"/>
          <w:lang w:val="en-US"/>
        </w:rPr>
        <w:t xml:space="preserve"> </w:t>
      </w:r>
      <w:r w:rsidR="00D33E1B" w:rsidRPr="00D33E1B">
        <w:rPr>
          <w:rFonts w:ascii="Baskerville" w:hAnsi="Baskerville"/>
          <w:lang w:val="en-US"/>
        </w:rPr>
        <w:t>designation</w:t>
      </w:r>
      <w:r w:rsidR="00630C9D" w:rsidRPr="00D33E1B">
        <w:rPr>
          <w:rFonts w:ascii="Baskerville" w:hAnsi="Baskerville"/>
          <w:lang w:val="en-US"/>
        </w:rPr>
        <w:t xml:space="preserve"> </w:t>
      </w:r>
      <w:r w:rsidR="000D62C1" w:rsidRPr="00D33E1B">
        <w:rPr>
          <w:rFonts w:ascii="Baskerville" w:hAnsi="Baskerville"/>
          <w:lang w:val="en-US"/>
        </w:rPr>
        <w:t xml:space="preserve">of </w:t>
      </w:r>
      <w:r w:rsidR="00630C9D" w:rsidRPr="00D33E1B">
        <w:rPr>
          <w:rFonts w:ascii="Baskerville" w:hAnsi="Baskerville"/>
          <w:lang w:val="en-US"/>
        </w:rPr>
        <w:t xml:space="preserve">precaution as </w:t>
      </w:r>
      <w:r w:rsidR="000D62C1" w:rsidRPr="00D33E1B">
        <w:rPr>
          <w:rFonts w:ascii="Baskerville" w:hAnsi="Baskerville"/>
          <w:lang w:val="en-US"/>
        </w:rPr>
        <w:t>‘</w:t>
      </w:r>
      <w:r w:rsidR="00630C9D" w:rsidRPr="00D33E1B">
        <w:rPr>
          <w:rFonts w:ascii="Baskerville" w:hAnsi="Baskerville"/>
          <w:lang w:val="en-US"/>
        </w:rPr>
        <w:t>merely one particular policy/management “approach” to dealing with uncertain threats</w:t>
      </w:r>
      <w:r w:rsidR="000D62C1" w:rsidRPr="00D33E1B">
        <w:rPr>
          <w:rFonts w:ascii="Baskerville" w:hAnsi="Baskerville"/>
          <w:lang w:val="en-US"/>
        </w:rPr>
        <w:t>’</w:t>
      </w:r>
      <w:r w:rsidR="00630C9D" w:rsidRPr="00D33E1B">
        <w:rPr>
          <w:rFonts w:ascii="Baskerville" w:hAnsi="Baskerville"/>
          <w:lang w:val="en-US"/>
        </w:rPr>
        <w:t>.</w:t>
      </w:r>
      <w:r w:rsidR="000D62C1" w:rsidRPr="00D33E1B">
        <w:rPr>
          <w:rStyle w:val="FootnoteReference"/>
          <w:rFonts w:ascii="Baskerville" w:hAnsi="Baskerville"/>
          <w:lang w:val="en-US"/>
        </w:rPr>
        <w:footnoteReference w:id="22"/>
      </w:r>
      <w:r w:rsidR="000D62C1">
        <w:rPr>
          <w:rFonts w:ascii="Baskerville" w:hAnsi="Baskerville"/>
          <w:color w:val="FF0000"/>
          <w:lang w:val="en-US"/>
        </w:rPr>
        <w:t xml:space="preserve"> </w:t>
      </w:r>
      <w:r w:rsidR="00D33E1B">
        <w:rPr>
          <w:rFonts w:ascii="Baskerville" w:hAnsi="Baskerville"/>
          <w:color w:val="FF0000"/>
          <w:lang w:val="en-US"/>
        </w:rPr>
        <w:t xml:space="preserve"> </w:t>
      </w:r>
      <w:r w:rsidR="00D33E1B" w:rsidRPr="00D33E1B">
        <w:rPr>
          <w:rFonts w:ascii="Baskerville" w:hAnsi="Baskerville"/>
          <w:lang w:val="en-US"/>
        </w:rPr>
        <w:t>Although it is indisputable</w:t>
      </w:r>
      <w:r w:rsidR="00630C9D" w:rsidRPr="00D33E1B">
        <w:rPr>
          <w:rFonts w:ascii="Baskerville" w:hAnsi="Baskerville"/>
          <w:lang w:val="en-US"/>
        </w:rPr>
        <w:t xml:space="preserve"> that in a </w:t>
      </w:r>
      <w:r w:rsidR="00D33E1B" w:rsidRPr="00D33E1B">
        <w:rPr>
          <w:rFonts w:ascii="Baskerville" w:hAnsi="Baskerville"/>
          <w:lang w:val="en-US"/>
        </w:rPr>
        <w:t>growing</w:t>
      </w:r>
      <w:r w:rsidR="00630C9D" w:rsidRPr="00D33E1B">
        <w:rPr>
          <w:rFonts w:ascii="Baskerville" w:hAnsi="Baskerville"/>
          <w:lang w:val="en-US"/>
        </w:rPr>
        <w:t xml:space="preserve"> number of </w:t>
      </w:r>
      <w:r w:rsidR="00D33E1B" w:rsidRPr="00D33E1B">
        <w:rPr>
          <w:rFonts w:ascii="Baskerville" w:hAnsi="Baskerville"/>
          <w:lang w:val="en-US"/>
        </w:rPr>
        <w:t>particular</w:t>
      </w:r>
      <w:r w:rsidR="00630C9D" w:rsidRPr="00D33E1B">
        <w:rPr>
          <w:rFonts w:ascii="Baskerville" w:hAnsi="Baskerville"/>
          <w:lang w:val="en-US"/>
        </w:rPr>
        <w:t xml:space="preserve"> contexts there are </w:t>
      </w:r>
      <w:r w:rsidR="00D33E1B" w:rsidRPr="00D33E1B">
        <w:rPr>
          <w:rFonts w:ascii="Baskerville" w:hAnsi="Baskerville"/>
          <w:lang w:val="en-US"/>
        </w:rPr>
        <w:t>strong</w:t>
      </w:r>
      <w:r w:rsidR="00630C9D" w:rsidRPr="00D33E1B">
        <w:rPr>
          <w:rFonts w:ascii="Baskerville" w:hAnsi="Baskerville"/>
          <w:lang w:val="en-US"/>
        </w:rPr>
        <w:t xml:space="preserve"> legal requirements to apply precaution,</w:t>
      </w:r>
      <w:r w:rsidR="00630C9D" w:rsidRPr="00785138">
        <w:rPr>
          <w:rFonts w:ascii="Baskerville" w:hAnsi="Baskerville"/>
          <w:color w:val="FF0000"/>
          <w:lang w:val="en-US"/>
        </w:rPr>
        <w:t xml:space="preserve"> </w:t>
      </w:r>
      <w:r w:rsidR="00630C9D" w:rsidRPr="00D33E1B">
        <w:rPr>
          <w:rFonts w:ascii="Baskerville" w:hAnsi="Baskerville"/>
          <w:lang w:val="en-US"/>
        </w:rPr>
        <w:t xml:space="preserve">there </w:t>
      </w:r>
      <w:r w:rsidR="00D33E1B" w:rsidRPr="00D33E1B">
        <w:rPr>
          <w:rFonts w:ascii="Baskerville" w:hAnsi="Baskerville"/>
          <w:lang w:val="en-US"/>
        </w:rPr>
        <w:t xml:space="preserve">remains constant debate as to </w:t>
      </w:r>
      <w:r w:rsidR="00630C9D" w:rsidRPr="00D33E1B">
        <w:rPr>
          <w:rFonts w:ascii="Baskerville" w:hAnsi="Baskerville"/>
          <w:lang w:val="en-US"/>
        </w:rPr>
        <w:t xml:space="preserve">whether precaution has </w:t>
      </w:r>
      <w:r w:rsidR="00D33E1B" w:rsidRPr="00D33E1B">
        <w:rPr>
          <w:rFonts w:ascii="Baskerville" w:hAnsi="Baskerville"/>
          <w:lang w:val="en-US"/>
        </w:rPr>
        <w:t>been assimilated into</w:t>
      </w:r>
      <w:r w:rsidR="00630C9D" w:rsidRPr="00D33E1B">
        <w:rPr>
          <w:rFonts w:ascii="Baskerville" w:hAnsi="Baskerville"/>
          <w:lang w:val="en-US"/>
        </w:rPr>
        <w:t xml:space="preserve"> international customary law.</w:t>
      </w:r>
      <w:r w:rsidR="00223C2B">
        <w:rPr>
          <w:rFonts w:ascii="Baskerville" w:hAnsi="Baskerville"/>
          <w:color w:val="FF0000"/>
          <w:lang w:val="en-US"/>
        </w:rPr>
        <w:t xml:space="preserve"> </w:t>
      </w:r>
      <w:r w:rsidR="00223C2B" w:rsidRPr="006238BD">
        <w:rPr>
          <w:rFonts w:ascii="Baskerville" w:hAnsi="Baskerville"/>
          <w:lang w:val="en-US"/>
        </w:rPr>
        <w:t xml:space="preserve">The </w:t>
      </w:r>
      <w:r w:rsidR="003E41C2">
        <w:rPr>
          <w:rFonts w:ascii="Baskerville" w:hAnsi="Baskerville"/>
          <w:lang w:val="en-US"/>
        </w:rPr>
        <w:t>‘</w:t>
      </w:r>
      <w:r w:rsidR="00223C2B" w:rsidRPr="006238BD">
        <w:rPr>
          <w:rFonts w:ascii="Baskerville" w:hAnsi="Baskerville"/>
          <w:lang w:val="en-US"/>
        </w:rPr>
        <w:t>Guidelines</w:t>
      </w:r>
      <w:r w:rsidR="006238BD" w:rsidRPr="006238BD">
        <w:rPr>
          <w:rFonts w:ascii="Baskerville" w:hAnsi="Baskerville"/>
          <w:lang w:val="en-US"/>
        </w:rPr>
        <w:t xml:space="preserve"> </w:t>
      </w:r>
      <w:r w:rsidR="006238BD" w:rsidRPr="006238BD">
        <w:rPr>
          <w:rFonts w:ascii="Baskerville" w:hAnsi="Baskerville"/>
        </w:rPr>
        <w:t>for Applying the Precautionary Principle</w:t>
      </w:r>
      <w:r w:rsidR="006238BD" w:rsidRPr="006238BD">
        <w:rPr>
          <w:rFonts w:ascii="Baskerville" w:hAnsi="Baskerville"/>
          <w:lang w:val="en-US"/>
        </w:rPr>
        <w:t xml:space="preserve"> </w:t>
      </w:r>
      <w:r w:rsidR="003E41C2" w:rsidRPr="003E41C2">
        <w:rPr>
          <w:rFonts w:ascii="Baskerville" w:hAnsi="Baskerville"/>
        </w:rPr>
        <w:t>to Biodiversity Conservation and Natural Resource Management</w:t>
      </w:r>
      <w:r w:rsidR="003E41C2">
        <w:rPr>
          <w:rFonts w:ascii="Baskerville" w:hAnsi="Baskerville"/>
        </w:rPr>
        <w:t>’</w:t>
      </w:r>
      <w:r w:rsidR="003E41C2" w:rsidRPr="003E41C2">
        <w:rPr>
          <w:rFonts w:ascii="Baskerville" w:hAnsi="Baskerville"/>
          <w:lang w:val="en-US"/>
        </w:rPr>
        <w:t xml:space="preserve"> </w:t>
      </w:r>
      <w:r w:rsidR="00223C2B" w:rsidRPr="006238BD">
        <w:rPr>
          <w:rFonts w:ascii="Baskerville" w:hAnsi="Baskerville"/>
          <w:lang w:val="en-US"/>
        </w:rPr>
        <w:t xml:space="preserve">first main </w:t>
      </w:r>
      <w:r w:rsidR="006238BD" w:rsidRPr="006238BD">
        <w:rPr>
          <w:rFonts w:ascii="Baskerville" w:hAnsi="Baskerville"/>
          <w:lang w:val="en-US"/>
        </w:rPr>
        <w:t>instruction</w:t>
      </w:r>
      <w:r w:rsidR="00223C2B" w:rsidRPr="006238BD">
        <w:rPr>
          <w:rFonts w:ascii="Baskerville" w:hAnsi="Baskerville"/>
          <w:lang w:val="en-US"/>
        </w:rPr>
        <w:t xml:space="preserve"> </w:t>
      </w:r>
      <w:r w:rsidR="006238BD" w:rsidRPr="006238BD">
        <w:rPr>
          <w:rFonts w:ascii="Baskerville" w:hAnsi="Baskerville"/>
          <w:lang w:val="en-US"/>
        </w:rPr>
        <w:t>for</w:t>
      </w:r>
      <w:r w:rsidR="00223C2B" w:rsidRPr="006238BD">
        <w:rPr>
          <w:rFonts w:ascii="Baskerville" w:hAnsi="Baskerville"/>
          <w:lang w:val="en-US"/>
        </w:rPr>
        <w:t xml:space="preserve"> applying the precautionary principle correctly suggests that it ‘requires a clear legal and policy basis and an effective system of governance</w:t>
      </w:r>
      <w:r w:rsidR="006238BD">
        <w:rPr>
          <w:rFonts w:ascii="Baskerville" w:hAnsi="Baskerville"/>
          <w:lang w:val="en-US"/>
        </w:rPr>
        <w:t>’</w:t>
      </w:r>
      <w:r w:rsidR="00223C2B" w:rsidRPr="006238BD">
        <w:rPr>
          <w:rFonts w:ascii="Baskerville" w:hAnsi="Baskerville"/>
          <w:lang w:val="en-US"/>
        </w:rPr>
        <w:t>.</w:t>
      </w:r>
      <w:r w:rsidR="006238BD" w:rsidRPr="006238BD">
        <w:rPr>
          <w:rStyle w:val="FootnoteReference"/>
          <w:rFonts w:ascii="Baskerville" w:hAnsi="Baskerville"/>
          <w:lang w:val="en-US"/>
        </w:rPr>
        <w:footnoteReference w:id="23"/>
      </w:r>
      <w:r w:rsidR="00223C2B" w:rsidRPr="006238BD">
        <w:rPr>
          <w:rFonts w:ascii="Baskerville" w:hAnsi="Baskerville"/>
          <w:lang w:val="en-US"/>
        </w:rPr>
        <w:t xml:space="preserve"> </w:t>
      </w:r>
      <w:r w:rsidR="00340397" w:rsidRPr="00340397">
        <w:rPr>
          <w:rFonts w:ascii="Baskerville" w:hAnsi="Baskerville"/>
          <w:lang w:val="en-US"/>
        </w:rPr>
        <w:t>The advisory document also</w:t>
      </w:r>
      <w:r w:rsidR="00223C2B" w:rsidRPr="00340397">
        <w:rPr>
          <w:rFonts w:ascii="Baskerville" w:hAnsi="Baskerville"/>
          <w:lang w:val="en-US"/>
        </w:rPr>
        <w:t xml:space="preserve"> requires the establishment and maintenance of </w:t>
      </w:r>
      <w:r w:rsidR="00340397" w:rsidRPr="00340397">
        <w:rPr>
          <w:rFonts w:ascii="Baskerville" w:hAnsi="Baskerville"/>
          <w:lang w:val="en-US"/>
        </w:rPr>
        <w:t>‘</w:t>
      </w:r>
      <w:r w:rsidR="00223C2B" w:rsidRPr="00340397">
        <w:rPr>
          <w:rFonts w:ascii="Baskerville" w:hAnsi="Baskerville"/>
          <w:lang w:val="en-US"/>
        </w:rPr>
        <w:t>adequately resourced institutions</w:t>
      </w:r>
      <w:r w:rsidR="00340397" w:rsidRPr="00340397">
        <w:rPr>
          <w:rFonts w:ascii="Baskerville" w:hAnsi="Baskerville"/>
          <w:lang w:val="en-US"/>
        </w:rPr>
        <w:t>’</w:t>
      </w:r>
      <w:r w:rsidR="00223C2B" w:rsidRPr="00340397">
        <w:rPr>
          <w:rFonts w:ascii="Baskerville" w:hAnsi="Baskerville"/>
          <w:lang w:val="en-US"/>
        </w:rPr>
        <w:t xml:space="preserve"> to </w:t>
      </w:r>
      <w:r w:rsidR="00340397" w:rsidRPr="00340397">
        <w:rPr>
          <w:rFonts w:ascii="Baskerville" w:hAnsi="Baskerville"/>
          <w:lang w:val="en-US"/>
        </w:rPr>
        <w:t>conduct</w:t>
      </w:r>
      <w:r w:rsidR="00223C2B" w:rsidRPr="00340397">
        <w:rPr>
          <w:rFonts w:ascii="Baskerville" w:hAnsi="Baskerville"/>
          <w:lang w:val="en-US"/>
        </w:rPr>
        <w:t xml:space="preserve"> research into </w:t>
      </w:r>
      <w:r w:rsidR="00340397" w:rsidRPr="00340397">
        <w:rPr>
          <w:rFonts w:ascii="Baskerville" w:hAnsi="Baskerville"/>
          <w:lang w:val="en-US"/>
        </w:rPr>
        <w:t>‘</w:t>
      </w:r>
      <w:r w:rsidR="00223C2B" w:rsidRPr="00340397">
        <w:rPr>
          <w:rFonts w:ascii="Baskerville" w:hAnsi="Baskerville"/>
          <w:lang w:val="en-US"/>
        </w:rPr>
        <w:t>risk and uncertainty</w:t>
      </w:r>
      <w:r w:rsidR="00340397" w:rsidRPr="00340397">
        <w:rPr>
          <w:rFonts w:ascii="Baskerville" w:hAnsi="Baskerville"/>
          <w:lang w:val="en-US"/>
        </w:rPr>
        <w:t>’</w:t>
      </w:r>
      <w:r w:rsidR="00223C2B" w:rsidRPr="00340397">
        <w:rPr>
          <w:rFonts w:ascii="Baskerville" w:hAnsi="Baskerville"/>
          <w:lang w:val="en-US"/>
        </w:rPr>
        <w:t xml:space="preserve"> in environmental decision-making </w:t>
      </w:r>
      <w:r w:rsidR="00223C2B" w:rsidRPr="00340397">
        <w:rPr>
          <w:rFonts w:ascii="Baskerville" w:hAnsi="Baskerville"/>
          <w:bCs/>
          <w:lang w:val="en-US"/>
        </w:rPr>
        <w:t xml:space="preserve">and </w:t>
      </w:r>
      <w:r w:rsidR="00340397" w:rsidRPr="00340397">
        <w:rPr>
          <w:rFonts w:ascii="Baskerville" w:hAnsi="Baskerville"/>
          <w:bCs/>
          <w:lang w:val="en-US"/>
        </w:rPr>
        <w:t>‘</w:t>
      </w:r>
      <w:r w:rsidR="00223C2B" w:rsidRPr="00340397">
        <w:rPr>
          <w:rFonts w:ascii="Baskerville" w:hAnsi="Baskerville"/>
          <w:bCs/>
          <w:lang w:val="en-US"/>
        </w:rPr>
        <w:t>natural resource management</w:t>
      </w:r>
      <w:r w:rsidR="00340397" w:rsidRPr="00340397">
        <w:rPr>
          <w:rFonts w:ascii="Baskerville" w:hAnsi="Baskerville"/>
          <w:bCs/>
          <w:lang w:val="en-US"/>
        </w:rPr>
        <w:t>’</w:t>
      </w:r>
      <w:r w:rsidR="00223C2B" w:rsidRPr="00340397">
        <w:rPr>
          <w:rFonts w:ascii="Baskerville" w:hAnsi="Baskerville"/>
          <w:lang w:val="en-US"/>
        </w:rPr>
        <w:t>.</w:t>
      </w:r>
      <w:r w:rsidR="00340397" w:rsidRPr="00340397">
        <w:rPr>
          <w:rStyle w:val="FootnoteReference"/>
          <w:rFonts w:ascii="Baskerville" w:hAnsi="Baskerville"/>
          <w:lang w:val="en-US"/>
        </w:rPr>
        <w:footnoteReference w:id="24"/>
      </w:r>
      <w:r w:rsidR="00223C2B" w:rsidRPr="00D750A9">
        <w:rPr>
          <w:rFonts w:ascii="Baskerville" w:hAnsi="Baskerville"/>
          <w:color w:val="FF0000"/>
          <w:lang w:val="en-US"/>
        </w:rPr>
        <w:t xml:space="preserve"> </w:t>
      </w:r>
    </w:p>
    <w:p w14:paraId="00EDB84F" w14:textId="77777777" w:rsidR="007D0D33" w:rsidRDefault="007D0D33" w:rsidP="00C36C45">
      <w:pPr>
        <w:rPr>
          <w:rFonts w:ascii="Baskerville" w:hAnsi="Baskerville"/>
          <w:color w:val="FF0000"/>
          <w:lang w:val="en-US"/>
        </w:rPr>
      </w:pPr>
    </w:p>
    <w:p w14:paraId="3AC46B18" w14:textId="1C4D3AA2" w:rsidR="007D0D33" w:rsidRPr="000E0DB1" w:rsidRDefault="007D0D33" w:rsidP="00C36C45">
      <w:pPr>
        <w:rPr>
          <w:rFonts w:ascii="Baskerville" w:hAnsi="Baskerville"/>
          <w:b/>
          <w:u w:val="single"/>
          <w:lang w:val="en-US"/>
        </w:rPr>
      </w:pPr>
      <w:r w:rsidRPr="000E0DB1">
        <w:rPr>
          <w:rFonts w:ascii="Baskerville" w:hAnsi="Baskerville"/>
          <w:b/>
          <w:u w:val="single"/>
          <w:lang w:val="en-US"/>
        </w:rPr>
        <w:t>Customary International Law</w:t>
      </w:r>
    </w:p>
    <w:p w14:paraId="16ECAA0D" w14:textId="77777777" w:rsidR="00CA4C9D" w:rsidRDefault="00CA4C9D" w:rsidP="00C36C45">
      <w:pPr>
        <w:rPr>
          <w:rFonts w:ascii="Baskerville" w:hAnsi="Baskerville"/>
          <w:color w:val="FF0000"/>
          <w:lang w:val="en-US"/>
        </w:rPr>
      </w:pPr>
    </w:p>
    <w:p w14:paraId="08DC60EE" w14:textId="75DE7511" w:rsidR="007C628B" w:rsidRPr="007C628B" w:rsidRDefault="00615E5B" w:rsidP="007C628B">
      <w:pPr>
        <w:rPr>
          <w:rFonts w:ascii="Baskerville" w:hAnsi="Baskerville"/>
          <w:lang w:val="en-US"/>
        </w:rPr>
      </w:pPr>
      <w:r>
        <w:rPr>
          <w:rFonts w:ascii="Baskerville" w:hAnsi="Baskerville"/>
          <w:lang w:val="en-US"/>
        </w:rPr>
        <w:t xml:space="preserve">The precautionary principle is one of </w:t>
      </w:r>
      <w:r w:rsidR="00B57E79">
        <w:rPr>
          <w:rFonts w:ascii="Baskerville" w:hAnsi="Baskerville"/>
          <w:lang w:val="en-US"/>
        </w:rPr>
        <w:t>a number of embryonic primary principles of soft law ‘that could develop either into widely accepted legislative treaties or into customary international law’</w:t>
      </w:r>
      <w:r w:rsidR="0091068F">
        <w:rPr>
          <w:rFonts w:ascii="Baskerville" w:hAnsi="Baskerville"/>
          <w:lang w:val="en-US"/>
        </w:rPr>
        <w:t xml:space="preserve"> and thereby con</w:t>
      </w:r>
      <w:bookmarkStart w:id="0" w:name="_GoBack"/>
      <w:bookmarkEnd w:id="0"/>
      <w:r w:rsidR="0091068F">
        <w:rPr>
          <w:rFonts w:ascii="Baskerville" w:hAnsi="Baskerville"/>
          <w:lang w:val="en-US"/>
        </w:rPr>
        <w:t>vert them from ‘aspirational’ norms into legal obligations</w:t>
      </w:r>
      <w:r w:rsidR="00B57E79">
        <w:rPr>
          <w:rFonts w:ascii="Baskerville" w:hAnsi="Baskerville"/>
          <w:lang w:val="en-US"/>
        </w:rPr>
        <w:t>.</w:t>
      </w:r>
      <w:r w:rsidR="004D3568">
        <w:rPr>
          <w:rStyle w:val="FootnoteReference"/>
          <w:rFonts w:ascii="Baskerville" w:hAnsi="Baskerville"/>
          <w:lang w:val="en-US"/>
        </w:rPr>
        <w:footnoteReference w:id="25"/>
      </w:r>
      <w:r w:rsidR="0091068F">
        <w:rPr>
          <w:rFonts w:ascii="Baskerville" w:hAnsi="Baskerville"/>
          <w:lang w:val="en-US"/>
        </w:rPr>
        <w:t xml:space="preserve"> The precautionary principle is </w:t>
      </w:r>
      <w:r w:rsidR="007C628B">
        <w:rPr>
          <w:rFonts w:ascii="Baskerville" w:hAnsi="Baskerville"/>
          <w:lang w:val="en-US"/>
        </w:rPr>
        <w:t>therefore already</w:t>
      </w:r>
      <w:r w:rsidR="0091068F">
        <w:rPr>
          <w:rFonts w:ascii="Baskerville" w:hAnsi="Baskerville"/>
          <w:lang w:val="en-US"/>
        </w:rPr>
        <w:t xml:space="preserve"> widely considered to be a </w:t>
      </w:r>
      <w:r w:rsidR="00D10ED2">
        <w:rPr>
          <w:rFonts w:ascii="Baskerville" w:hAnsi="Baskerville"/>
          <w:lang w:val="en-US"/>
        </w:rPr>
        <w:t xml:space="preserve">non-binding </w:t>
      </w:r>
      <w:r w:rsidR="0091068F">
        <w:rPr>
          <w:rFonts w:ascii="Baskerville" w:hAnsi="Baskerville"/>
          <w:lang w:val="en-US"/>
        </w:rPr>
        <w:t>principle of customary international law.</w:t>
      </w:r>
      <w:r w:rsidR="009705A0">
        <w:rPr>
          <w:rStyle w:val="FootnoteReference"/>
          <w:rFonts w:ascii="Baskerville" w:hAnsi="Baskerville"/>
          <w:lang w:val="en-US"/>
        </w:rPr>
        <w:footnoteReference w:id="26"/>
      </w:r>
      <w:r w:rsidR="00DE011E">
        <w:rPr>
          <w:rFonts w:ascii="Baskerville" w:hAnsi="Baskerville"/>
          <w:lang w:val="en-US"/>
        </w:rPr>
        <w:t xml:space="preserve"> However, this concept is hard to justify for several reasons. </w:t>
      </w:r>
      <w:r w:rsidR="007C628B" w:rsidRPr="000851BA">
        <w:rPr>
          <w:rFonts w:ascii="Baskerville" w:hAnsi="Baskerville"/>
          <w:lang w:val="en-US"/>
        </w:rPr>
        <w:t xml:space="preserve">The precautionary principle is </w:t>
      </w:r>
      <w:r w:rsidR="00A75C8E">
        <w:rPr>
          <w:rFonts w:ascii="Baskerville" w:hAnsi="Baskerville"/>
          <w:lang w:val="en-US"/>
        </w:rPr>
        <w:t xml:space="preserve">still particularly </w:t>
      </w:r>
      <w:r w:rsidR="007C628B" w:rsidRPr="00A75C8E">
        <w:rPr>
          <w:rFonts w:ascii="Baskerville" w:hAnsi="Baskerville"/>
          <w:lang w:val="en-US"/>
        </w:rPr>
        <w:t>vague</w:t>
      </w:r>
      <w:r w:rsidR="007C628B" w:rsidRPr="000851BA">
        <w:rPr>
          <w:rFonts w:ascii="Baskerville" w:hAnsi="Baskerville"/>
          <w:lang w:val="en-US"/>
        </w:rPr>
        <w:t xml:space="preserve">, </w:t>
      </w:r>
      <w:r w:rsidR="00A75C8E">
        <w:rPr>
          <w:rFonts w:ascii="Baskerville" w:hAnsi="Baskerville"/>
          <w:lang w:val="en-US"/>
        </w:rPr>
        <w:t>despite being</w:t>
      </w:r>
      <w:r w:rsidR="007C628B" w:rsidRPr="000851BA">
        <w:rPr>
          <w:rFonts w:ascii="Baskerville" w:hAnsi="Baskerville"/>
          <w:lang w:val="en-US"/>
        </w:rPr>
        <w:t xml:space="preserve"> interpreted </w:t>
      </w:r>
      <w:r w:rsidR="000851BA" w:rsidRPr="000851BA">
        <w:rPr>
          <w:rFonts w:ascii="Baskerville" w:hAnsi="Baskerville"/>
          <w:lang w:val="en-US"/>
        </w:rPr>
        <w:t>through</w:t>
      </w:r>
      <w:r w:rsidR="007C628B" w:rsidRPr="000851BA">
        <w:rPr>
          <w:rFonts w:ascii="Baskerville" w:hAnsi="Baskerville"/>
          <w:lang w:val="en-US"/>
        </w:rPr>
        <w:t xml:space="preserve"> several different </w:t>
      </w:r>
      <w:r w:rsidR="000851BA" w:rsidRPr="000851BA">
        <w:rPr>
          <w:rFonts w:ascii="Baskerville" w:hAnsi="Baskerville"/>
          <w:lang w:val="en-US"/>
        </w:rPr>
        <w:t>methods</w:t>
      </w:r>
      <w:r w:rsidR="007C628B" w:rsidRPr="000851BA">
        <w:rPr>
          <w:rFonts w:ascii="Baskerville" w:hAnsi="Baskerville"/>
          <w:lang w:val="en-US"/>
        </w:rPr>
        <w:t xml:space="preserve"> and is </w:t>
      </w:r>
      <w:r w:rsidR="000851BA" w:rsidRPr="000851BA">
        <w:rPr>
          <w:rFonts w:ascii="Baskerville" w:hAnsi="Baskerville"/>
          <w:lang w:val="en-US"/>
        </w:rPr>
        <w:t>rejected</w:t>
      </w:r>
      <w:r w:rsidR="007C628B" w:rsidRPr="000851BA">
        <w:rPr>
          <w:rFonts w:ascii="Baskerville" w:hAnsi="Baskerville"/>
          <w:lang w:val="en-US"/>
        </w:rPr>
        <w:t xml:space="preserve"> by much of the world on a national level.</w:t>
      </w:r>
      <w:r w:rsidR="001D0B6F" w:rsidRPr="000851BA">
        <w:rPr>
          <w:rStyle w:val="FootnoteReference"/>
          <w:rFonts w:ascii="Baskerville" w:hAnsi="Baskerville"/>
          <w:lang w:val="en-US"/>
        </w:rPr>
        <w:footnoteReference w:id="27"/>
      </w:r>
      <w:r w:rsidR="007C628B" w:rsidRPr="007C628B">
        <w:rPr>
          <w:rFonts w:ascii="Baskerville" w:hAnsi="Baskerville"/>
          <w:lang w:val="en-US"/>
        </w:rPr>
        <w:t xml:space="preserve"> </w:t>
      </w:r>
      <w:r w:rsidR="005A004C">
        <w:rPr>
          <w:rFonts w:ascii="Baskerville" w:hAnsi="Baskerville"/>
          <w:lang w:val="en-US"/>
        </w:rPr>
        <w:t>For instance</w:t>
      </w:r>
      <w:r w:rsidR="00DE011E">
        <w:rPr>
          <w:rFonts w:ascii="Baskerville" w:hAnsi="Baskerville"/>
          <w:lang w:val="en-US"/>
        </w:rPr>
        <w:t>, the Dispute Settlement Body of the W</w:t>
      </w:r>
      <w:r w:rsidR="00DE055D">
        <w:rPr>
          <w:rFonts w:ascii="Baskerville" w:hAnsi="Baskerville"/>
          <w:lang w:val="en-US"/>
        </w:rPr>
        <w:t xml:space="preserve">orld </w:t>
      </w:r>
      <w:r w:rsidR="00DE011E">
        <w:rPr>
          <w:rFonts w:ascii="Baskerville" w:hAnsi="Baskerville"/>
          <w:lang w:val="en-US"/>
        </w:rPr>
        <w:t>T</w:t>
      </w:r>
      <w:r w:rsidR="00DE055D">
        <w:rPr>
          <w:rFonts w:ascii="Baskerville" w:hAnsi="Baskerville"/>
          <w:lang w:val="en-US"/>
        </w:rPr>
        <w:t xml:space="preserve">rade </w:t>
      </w:r>
      <w:r w:rsidR="00DE011E">
        <w:rPr>
          <w:rFonts w:ascii="Baskerville" w:hAnsi="Baskerville"/>
          <w:lang w:val="en-US"/>
        </w:rPr>
        <w:t>O</w:t>
      </w:r>
      <w:r w:rsidR="00DE055D">
        <w:rPr>
          <w:rFonts w:ascii="Baskerville" w:hAnsi="Baskerville"/>
          <w:lang w:val="en-US"/>
        </w:rPr>
        <w:t>rganisation</w:t>
      </w:r>
      <w:r w:rsidR="00DE011E">
        <w:rPr>
          <w:rFonts w:ascii="Baskerville" w:hAnsi="Baskerville"/>
          <w:lang w:val="en-US"/>
        </w:rPr>
        <w:t xml:space="preserve"> </w:t>
      </w:r>
      <w:r w:rsidR="00ED6732">
        <w:rPr>
          <w:rFonts w:ascii="Baskerville" w:hAnsi="Baskerville"/>
          <w:lang w:val="en-US"/>
        </w:rPr>
        <w:t xml:space="preserve">(WTO) </w:t>
      </w:r>
      <w:r w:rsidR="00DE011E">
        <w:rPr>
          <w:rFonts w:ascii="Baskerville" w:hAnsi="Baskerville"/>
          <w:lang w:val="en-US"/>
        </w:rPr>
        <w:t>has expressed doubts as to whether the precautionary principle is enshrined in customary international law or is considered to be a general principle of law under the definition provided by Article 38(1)(c) of the Statute of the I</w:t>
      </w:r>
      <w:r w:rsidR="00DE055D">
        <w:rPr>
          <w:rFonts w:ascii="Baskerville" w:hAnsi="Baskerville"/>
          <w:lang w:val="en-US"/>
        </w:rPr>
        <w:t xml:space="preserve">nternational </w:t>
      </w:r>
      <w:r w:rsidR="00DE011E">
        <w:rPr>
          <w:rFonts w:ascii="Baskerville" w:hAnsi="Baskerville"/>
          <w:lang w:val="en-US"/>
        </w:rPr>
        <w:t>C</w:t>
      </w:r>
      <w:r w:rsidR="00DE055D">
        <w:rPr>
          <w:rFonts w:ascii="Baskerville" w:hAnsi="Baskerville"/>
          <w:lang w:val="en-US"/>
        </w:rPr>
        <w:t xml:space="preserve">ourt of </w:t>
      </w:r>
      <w:r w:rsidR="00DE011E">
        <w:rPr>
          <w:rFonts w:ascii="Baskerville" w:hAnsi="Baskerville"/>
          <w:lang w:val="en-US"/>
        </w:rPr>
        <w:t>J</w:t>
      </w:r>
      <w:r w:rsidR="00DE055D">
        <w:rPr>
          <w:rFonts w:ascii="Baskerville" w:hAnsi="Baskerville"/>
          <w:lang w:val="en-US"/>
        </w:rPr>
        <w:t>ustice (ICJ)</w:t>
      </w:r>
      <w:r w:rsidR="00DE011E">
        <w:rPr>
          <w:rFonts w:ascii="Baskerville" w:hAnsi="Baskerville"/>
          <w:lang w:val="en-US"/>
        </w:rPr>
        <w:t>.</w:t>
      </w:r>
      <w:r w:rsidR="00353ACB">
        <w:rPr>
          <w:rStyle w:val="FootnoteReference"/>
          <w:rFonts w:ascii="Baskerville" w:hAnsi="Baskerville"/>
          <w:lang w:val="en-US"/>
        </w:rPr>
        <w:footnoteReference w:id="28"/>
      </w:r>
      <w:r w:rsidR="007C628B">
        <w:rPr>
          <w:rFonts w:ascii="Baskerville" w:hAnsi="Baskerville"/>
          <w:lang w:val="en-US"/>
        </w:rPr>
        <w:t xml:space="preserve"> </w:t>
      </w:r>
    </w:p>
    <w:p w14:paraId="2D9B8A23" w14:textId="77777777" w:rsidR="00673DDA" w:rsidRPr="00C36C45" w:rsidRDefault="00673DDA" w:rsidP="00C36C45">
      <w:pPr>
        <w:rPr>
          <w:rFonts w:ascii="Baskerville" w:hAnsi="Baskerville"/>
          <w:color w:val="FF0000"/>
          <w:lang w:val="en-US"/>
        </w:rPr>
      </w:pPr>
    </w:p>
    <w:p w14:paraId="3A94C565" w14:textId="6F5AD4D6" w:rsidR="00673DDA" w:rsidRDefault="00F05353" w:rsidP="00673DDA">
      <w:pPr>
        <w:rPr>
          <w:rFonts w:ascii="Baskerville" w:hAnsi="Baskerville"/>
        </w:rPr>
      </w:pPr>
      <w:r>
        <w:rPr>
          <w:rFonts w:ascii="Baskerville" w:hAnsi="Baskerville"/>
        </w:rPr>
        <w:t>T</w:t>
      </w:r>
      <w:r w:rsidRPr="00BA2C4F">
        <w:rPr>
          <w:rFonts w:ascii="Baskerville" w:hAnsi="Baskerville"/>
        </w:rPr>
        <w:t>he precautionary principle</w:t>
      </w:r>
      <w:r>
        <w:rPr>
          <w:rFonts w:ascii="Baskerville" w:hAnsi="Baskerville"/>
        </w:rPr>
        <w:t>’s</w:t>
      </w:r>
      <w:r w:rsidR="00673DDA">
        <w:rPr>
          <w:rFonts w:ascii="Baskerville" w:hAnsi="Baskerville"/>
        </w:rPr>
        <w:t xml:space="preserve"> </w:t>
      </w:r>
      <w:r w:rsidR="00673DDA" w:rsidRPr="00BA2C4F">
        <w:rPr>
          <w:rFonts w:ascii="Baskerville" w:hAnsi="Baskerville"/>
        </w:rPr>
        <w:t xml:space="preserve">wording may be </w:t>
      </w:r>
      <w:r w:rsidR="0089050A">
        <w:rPr>
          <w:rFonts w:ascii="Baskerville" w:hAnsi="Baskerville"/>
        </w:rPr>
        <w:t>unusual</w:t>
      </w:r>
      <w:r w:rsidR="00673DDA" w:rsidRPr="00BA2C4F">
        <w:rPr>
          <w:rFonts w:ascii="Baskerville" w:hAnsi="Baskerville"/>
        </w:rPr>
        <w:t xml:space="preserve">, like in the Paris Convention 1992, but </w:t>
      </w:r>
      <w:r w:rsidR="0089050A">
        <w:rPr>
          <w:rFonts w:ascii="Baskerville" w:hAnsi="Baskerville"/>
        </w:rPr>
        <w:t>norma</w:t>
      </w:r>
      <w:r w:rsidR="00673DDA" w:rsidRPr="00BA2C4F">
        <w:rPr>
          <w:rFonts w:ascii="Baskerville" w:hAnsi="Baskerville"/>
        </w:rPr>
        <w:t>lly the principle is restricted in international law to situations where there is “threat of serious damage” or “reasonable grounds for concern”.</w:t>
      </w:r>
      <w:r w:rsidR="00673DDA" w:rsidRPr="00BA2C4F">
        <w:rPr>
          <w:rStyle w:val="FootnoteReference"/>
          <w:rFonts w:ascii="Baskerville" w:hAnsi="Baskerville"/>
        </w:rPr>
        <w:footnoteReference w:id="29"/>
      </w:r>
      <w:r w:rsidR="00673DDA" w:rsidRPr="00EE5018">
        <w:rPr>
          <w:rFonts w:ascii="Baskerville" w:hAnsi="Baskerville"/>
        </w:rPr>
        <w:t xml:space="preserve"> </w:t>
      </w:r>
      <w:r w:rsidR="00673DDA">
        <w:rPr>
          <w:rFonts w:ascii="Baskerville" w:hAnsi="Baskerville"/>
        </w:rPr>
        <w:t>However, international policy dialogue concerning the pre</w:t>
      </w:r>
      <w:r w:rsidR="00673DDA" w:rsidRPr="006F6084">
        <w:rPr>
          <w:rFonts w:ascii="Baskerville" w:hAnsi="Baskerville"/>
        </w:rPr>
        <w:t>cautionary principle is</w:t>
      </w:r>
      <w:r w:rsidR="00673DDA">
        <w:rPr>
          <w:rFonts w:ascii="Baskerville" w:hAnsi="Baskerville"/>
        </w:rPr>
        <w:t xml:space="preserve"> fairly </w:t>
      </w:r>
      <w:r w:rsidR="00673DDA" w:rsidRPr="006F6084">
        <w:rPr>
          <w:rFonts w:ascii="Baskerville" w:hAnsi="Baskerville"/>
        </w:rPr>
        <w:t>clearly articulated</w:t>
      </w:r>
      <w:r w:rsidR="00673DDA">
        <w:rPr>
          <w:rFonts w:ascii="Baskerville" w:hAnsi="Baskerville"/>
        </w:rPr>
        <w:t>. S</w:t>
      </w:r>
      <w:r w:rsidR="00673DDA" w:rsidRPr="006F6084">
        <w:rPr>
          <w:rFonts w:ascii="Baskerville" w:hAnsi="Baskerville"/>
        </w:rPr>
        <w:t xml:space="preserve">ignificant elements </w:t>
      </w:r>
      <w:r w:rsidR="00673DDA">
        <w:rPr>
          <w:rFonts w:ascii="Baskerville" w:hAnsi="Baskerville"/>
        </w:rPr>
        <w:t>of this dialogue ‘</w:t>
      </w:r>
      <w:r w:rsidR="00673DDA" w:rsidRPr="006F6084">
        <w:rPr>
          <w:rFonts w:ascii="Baskerville" w:hAnsi="Baskerville"/>
        </w:rPr>
        <w:t xml:space="preserve">include: </w:t>
      </w:r>
    </w:p>
    <w:p w14:paraId="786594B8" w14:textId="77777777" w:rsidR="00673DDA" w:rsidRPr="006F6084" w:rsidRDefault="00673DDA" w:rsidP="00673DDA">
      <w:pPr>
        <w:rPr>
          <w:rFonts w:ascii="Baskerville" w:hAnsi="Baskerville"/>
        </w:rPr>
      </w:pPr>
    </w:p>
    <w:p w14:paraId="6C075FA9" w14:textId="77777777" w:rsidR="00673DDA" w:rsidRPr="006F6084" w:rsidRDefault="00673DDA" w:rsidP="00673DDA">
      <w:pPr>
        <w:numPr>
          <w:ilvl w:val="0"/>
          <w:numId w:val="2"/>
        </w:numPr>
        <w:rPr>
          <w:rFonts w:ascii="Baskerville" w:hAnsi="Baskerville"/>
        </w:rPr>
      </w:pPr>
      <w:r w:rsidRPr="006F6084">
        <w:rPr>
          <w:rFonts w:ascii="Baskerville" w:hAnsi="Baskerville"/>
        </w:rPr>
        <w:t xml:space="preserve">taking precautionary </w:t>
      </w:r>
      <w:r>
        <w:rPr>
          <w:rFonts w:ascii="Baskerville" w:hAnsi="Baskerville"/>
        </w:rPr>
        <w:t>measures even if not all cause-</w:t>
      </w:r>
      <w:r w:rsidRPr="006F6084">
        <w:rPr>
          <w:rFonts w:ascii="Baskerville" w:hAnsi="Baskerville"/>
        </w:rPr>
        <w:t xml:space="preserve">and-effect relationships are fully understood; </w:t>
      </w:r>
    </w:p>
    <w:p w14:paraId="71EDCA4E" w14:textId="77777777" w:rsidR="00673DDA" w:rsidRPr="006F6084" w:rsidRDefault="00673DDA" w:rsidP="00673DDA">
      <w:pPr>
        <w:numPr>
          <w:ilvl w:val="0"/>
          <w:numId w:val="2"/>
        </w:numPr>
        <w:rPr>
          <w:rFonts w:ascii="Baskerville" w:hAnsi="Baskerville"/>
        </w:rPr>
      </w:pPr>
      <w:r w:rsidRPr="006F6084">
        <w:rPr>
          <w:rFonts w:ascii="Baskerville" w:hAnsi="Baskerville"/>
        </w:rPr>
        <w:t>shifting the burden of</w:t>
      </w:r>
      <w:r>
        <w:rPr>
          <w:rFonts w:ascii="Baskerville" w:hAnsi="Baskerville"/>
        </w:rPr>
        <w:t xml:space="preserve"> proving safety onto the propo</w:t>
      </w:r>
      <w:r w:rsidRPr="006F6084">
        <w:rPr>
          <w:rFonts w:ascii="Baskerville" w:hAnsi="Baskerville"/>
        </w:rPr>
        <w:t xml:space="preserve">nent of a potentially harmful activity; </w:t>
      </w:r>
    </w:p>
    <w:p w14:paraId="4A77128A" w14:textId="77777777" w:rsidR="00673DDA" w:rsidRPr="006F6084" w:rsidRDefault="00673DDA" w:rsidP="00673DDA">
      <w:pPr>
        <w:numPr>
          <w:ilvl w:val="0"/>
          <w:numId w:val="2"/>
        </w:numPr>
        <w:rPr>
          <w:rFonts w:ascii="Baskerville" w:hAnsi="Baskerville"/>
        </w:rPr>
      </w:pPr>
      <w:r w:rsidRPr="006F6084">
        <w:rPr>
          <w:rFonts w:ascii="Baskerville" w:hAnsi="Baskerville"/>
        </w:rPr>
        <w:t xml:space="preserve">making environmental and public health decisions in an open, informed, and democratic way; </w:t>
      </w:r>
    </w:p>
    <w:p w14:paraId="550F09E1" w14:textId="77777777" w:rsidR="00673DDA" w:rsidRPr="006F6084" w:rsidRDefault="00673DDA" w:rsidP="00673DDA">
      <w:pPr>
        <w:numPr>
          <w:ilvl w:val="0"/>
          <w:numId w:val="2"/>
        </w:numPr>
        <w:rPr>
          <w:rFonts w:ascii="Baskerville" w:hAnsi="Baskerville"/>
        </w:rPr>
      </w:pPr>
      <w:r w:rsidRPr="006F6084">
        <w:rPr>
          <w:rFonts w:ascii="Baskerville" w:hAnsi="Baskerville"/>
        </w:rPr>
        <w:t xml:space="preserve">examining the full range of alternatives to a particular activity; and </w:t>
      </w:r>
    </w:p>
    <w:p w14:paraId="3CFADD19" w14:textId="77777777" w:rsidR="00673DDA" w:rsidRDefault="00673DDA" w:rsidP="00673DDA">
      <w:pPr>
        <w:numPr>
          <w:ilvl w:val="0"/>
          <w:numId w:val="2"/>
        </w:numPr>
        <w:rPr>
          <w:rFonts w:ascii="Baskerville" w:hAnsi="Baskerville"/>
        </w:rPr>
      </w:pPr>
      <w:r w:rsidRPr="006F6084">
        <w:rPr>
          <w:rFonts w:ascii="Baskerville" w:hAnsi="Baskerville"/>
        </w:rPr>
        <w:t>relying on a weight-of-the-evidence approach, rather than waiting for absolute certainty.</w:t>
      </w:r>
      <w:r>
        <w:rPr>
          <w:rFonts w:ascii="Baskerville" w:hAnsi="Baskerville"/>
        </w:rPr>
        <w:t>’</w:t>
      </w:r>
      <w:r>
        <w:rPr>
          <w:rStyle w:val="FootnoteReference"/>
          <w:rFonts w:ascii="Baskerville" w:hAnsi="Baskerville"/>
        </w:rPr>
        <w:footnoteReference w:id="30"/>
      </w:r>
      <w:r w:rsidRPr="006F6084">
        <w:rPr>
          <w:rFonts w:ascii="Baskerville" w:hAnsi="Baskerville"/>
        </w:rPr>
        <w:t xml:space="preserve"> </w:t>
      </w:r>
    </w:p>
    <w:p w14:paraId="7F00D22F" w14:textId="77777777" w:rsidR="00673DDA" w:rsidRPr="00EE5018" w:rsidRDefault="00673DDA" w:rsidP="00673DDA">
      <w:pPr>
        <w:ind w:left="720"/>
        <w:rPr>
          <w:rFonts w:ascii="Baskerville" w:hAnsi="Baskerville"/>
        </w:rPr>
      </w:pPr>
    </w:p>
    <w:p w14:paraId="0B212391" w14:textId="77777777" w:rsidR="00B45F8A" w:rsidRDefault="00673DDA" w:rsidP="00E62339">
      <w:pPr>
        <w:rPr>
          <w:rFonts w:ascii="Baskerville" w:hAnsi="Baskerville"/>
        </w:rPr>
      </w:pPr>
      <w:r>
        <w:rPr>
          <w:rFonts w:ascii="Baskerville" w:hAnsi="Baskerville"/>
        </w:rPr>
        <w:t xml:space="preserve">The question we should ask ourselves is whether </w:t>
      </w:r>
      <w:r w:rsidRPr="00BA5239">
        <w:rPr>
          <w:rFonts w:ascii="Baskerville" w:hAnsi="Baskerville"/>
        </w:rPr>
        <w:t xml:space="preserve">the precautionary principle is already accepted as a general principle of international law </w:t>
      </w:r>
      <w:r w:rsidRPr="003A51C6">
        <w:rPr>
          <w:rFonts w:ascii="Baskerville" w:hAnsi="Baskerville"/>
        </w:rPr>
        <w:t xml:space="preserve">(as described by Article 38 of the Statute of the International Court of Justice) </w:t>
      </w:r>
      <w:r>
        <w:rPr>
          <w:rFonts w:ascii="Baskerville" w:hAnsi="Baskerville"/>
        </w:rPr>
        <w:t>‘</w:t>
      </w:r>
      <w:r w:rsidRPr="00BA5239">
        <w:rPr>
          <w:rFonts w:ascii="Baskerville" w:hAnsi="Baskerville"/>
        </w:rPr>
        <w:t>or as customary international law</w:t>
      </w:r>
      <w:r>
        <w:rPr>
          <w:rFonts w:ascii="Baskerville" w:hAnsi="Baskerville"/>
        </w:rPr>
        <w:t>’.</w:t>
      </w:r>
      <w:r>
        <w:rPr>
          <w:rStyle w:val="FootnoteReference"/>
          <w:rFonts w:ascii="Baskerville" w:hAnsi="Baskerville"/>
        </w:rPr>
        <w:footnoteReference w:id="31"/>
      </w:r>
    </w:p>
    <w:p w14:paraId="49E3F446" w14:textId="62B25C0C" w:rsidR="005E2C5C" w:rsidRPr="00AE35EA" w:rsidRDefault="00243420" w:rsidP="00DC44FA">
      <w:pPr>
        <w:rPr>
          <w:rFonts w:ascii="Baskerville" w:hAnsi="Baskerville"/>
          <w:color w:val="FF0000"/>
          <w:lang w:val="en-US"/>
        </w:rPr>
      </w:pPr>
      <w:r w:rsidRPr="001E7CC5">
        <w:rPr>
          <w:rFonts w:ascii="Baskerville" w:hAnsi="Baskerville"/>
          <w:lang w:val="en-US"/>
        </w:rPr>
        <w:t xml:space="preserve">By its own nature, customary law is </w:t>
      </w:r>
      <w:r w:rsidR="00E62339" w:rsidRPr="001E7CC5">
        <w:rPr>
          <w:rFonts w:ascii="Baskerville" w:hAnsi="Baskerville"/>
          <w:lang w:val="en-US"/>
        </w:rPr>
        <w:t xml:space="preserve">dynamic, </w:t>
      </w:r>
      <w:r w:rsidRPr="001E7CC5">
        <w:rPr>
          <w:rFonts w:ascii="Baskerville" w:hAnsi="Baskerville"/>
          <w:lang w:val="en-US"/>
        </w:rPr>
        <w:t>due</w:t>
      </w:r>
      <w:r w:rsidR="002212BC" w:rsidRPr="001E7CC5">
        <w:rPr>
          <w:rFonts w:ascii="Baskerville" w:hAnsi="Baskerville"/>
          <w:lang w:val="en-US"/>
        </w:rPr>
        <w:t xml:space="preserve"> to the fact that</w:t>
      </w:r>
      <w:r w:rsidR="00E62339" w:rsidRPr="001E7CC5">
        <w:rPr>
          <w:rFonts w:ascii="Baskerville" w:hAnsi="Baskerville"/>
          <w:lang w:val="en-US"/>
        </w:rPr>
        <w:t xml:space="preserve"> it evolves </w:t>
      </w:r>
      <w:r w:rsidR="002212BC" w:rsidRPr="001E7CC5">
        <w:rPr>
          <w:rFonts w:ascii="Baskerville" w:hAnsi="Baskerville"/>
          <w:lang w:val="en-US"/>
        </w:rPr>
        <w:t>gradually</w:t>
      </w:r>
      <w:r w:rsidR="00E62339" w:rsidRPr="001E7CC5">
        <w:rPr>
          <w:rFonts w:ascii="Baskerville" w:hAnsi="Baskerville"/>
          <w:lang w:val="en-US"/>
        </w:rPr>
        <w:t xml:space="preserve"> or </w:t>
      </w:r>
      <w:r w:rsidR="002212BC" w:rsidRPr="001E7CC5">
        <w:rPr>
          <w:rFonts w:ascii="Baskerville" w:hAnsi="Baskerville"/>
          <w:lang w:val="en-US"/>
        </w:rPr>
        <w:t>speedily</w:t>
      </w:r>
      <w:r w:rsidR="00E62339" w:rsidRPr="001E7CC5">
        <w:rPr>
          <w:rFonts w:ascii="Baskerville" w:hAnsi="Baskerville"/>
          <w:lang w:val="en-US"/>
        </w:rPr>
        <w:t>, and eventually</w:t>
      </w:r>
      <w:r w:rsidR="002212BC" w:rsidRPr="001E7CC5">
        <w:rPr>
          <w:rFonts w:ascii="Baskerville" w:hAnsi="Baskerville"/>
          <w:lang w:val="en-US"/>
        </w:rPr>
        <w:t xml:space="preserve"> becomes </w:t>
      </w:r>
      <w:r w:rsidR="00E62339" w:rsidRPr="001E7CC5">
        <w:rPr>
          <w:rFonts w:ascii="Baskerville" w:hAnsi="Baskerville"/>
          <w:lang w:val="en-US"/>
        </w:rPr>
        <w:t>codified.</w:t>
      </w:r>
      <w:r w:rsidR="00E62339" w:rsidRPr="00AE35EA">
        <w:rPr>
          <w:rFonts w:ascii="Baskerville" w:hAnsi="Baskerville"/>
          <w:color w:val="FF0000"/>
          <w:lang w:val="en-US"/>
        </w:rPr>
        <w:t xml:space="preserve"> </w:t>
      </w:r>
      <w:r w:rsidR="00E62339" w:rsidRPr="001E7CC5">
        <w:rPr>
          <w:rFonts w:ascii="Baskerville" w:hAnsi="Baskerville"/>
          <w:lang w:val="en-US"/>
        </w:rPr>
        <w:t xml:space="preserve">In </w:t>
      </w:r>
      <w:r w:rsidR="002212BC" w:rsidRPr="001E7CC5">
        <w:rPr>
          <w:rFonts w:ascii="Baskerville" w:hAnsi="Baskerville"/>
          <w:lang w:val="en-US"/>
        </w:rPr>
        <w:t>emerging</w:t>
      </w:r>
      <w:r w:rsidR="00E62339" w:rsidRPr="001E7CC5">
        <w:rPr>
          <w:rFonts w:ascii="Baskerville" w:hAnsi="Baskerville"/>
          <w:lang w:val="en-US"/>
        </w:rPr>
        <w:t xml:space="preserve"> areas of law, state practice as evidence of </w:t>
      </w:r>
      <w:r w:rsidR="00E62339" w:rsidRPr="001E7CC5">
        <w:rPr>
          <w:rFonts w:ascii="Baskerville" w:hAnsi="Baskerville"/>
          <w:i/>
          <w:iCs/>
          <w:lang w:val="en-US"/>
        </w:rPr>
        <w:t xml:space="preserve">opinio juris </w:t>
      </w:r>
      <w:r w:rsidR="00E62339" w:rsidRPr="001E7CC5">
        <w:rPr>
          <w:rFonts w:ascii="Baskerville" w:hAnsi="Baskerville"/>
          <w:lang w:val="en-US"/>
        </w:rPr>
        <w:t>quickly establish</w:t>
      </w:r>
      <w:r w:rsidR="002212BC" w:rsidRPr="001E7CC5">
        <w:rPr>
          <w:rFonts w:ascii="Baskerville" w:hAnsi="Baskerville"/>
          <w:lang w:val="en-US"/>
        </w:rPr>
        <w:t>es</w:t>
      </w:r>
      <w:r w:rsidR="00E62339" w:rsidRPr="001E7CC5">
        <w:rPr>
          <w:rFonts w:ascii="Baskerville" w:hAnsi="Baskerville"/>
          <w:lang w:val="en-US"/>
        </w:rPr>
        <w:t xml:space="preserve"> customary </w:t>
      </w:r>
      <w:r w:rsidR="002212BC" w:rsidRPr="001E7CC5">
        <w:rPr>
          <w:rFonts w:ascii="Baskerville" w:hAnsi="Baskerville"/>
          <w:lang w:val="en-US"/>
        </w:rPr>
        <w:t xml:space="preserve">international </w:t>
      </w:r>
      <w:r w:rsidR="00E62339" w:rsidRPr="001E7CC5">
        <w:rPr>
          <w:rFonts w:ascii="Baskerville" w:hAnsi="Baskerville"/>
          <w:lang w:val="en-US"/>
        </w:rPr>
        <w:t xml:space="preserve">law. </w:t>
      </w:r>
      <w:r w:rsidR="00DC44FA" w:rsidRPr="001E7CC5">
        <w:rPr>
          <w:rFonts w:ascii="Baskerville" w:hAnsi="Baskerville"/>
          <w:lang w:val="en-US"/>
        </w:rPr>
        <w:t xml:space="preserve">In such </w:t>
      </w:r>
      <w:r w:rsidR="002212BC" w:rsidRPr="001E7CC5">
        <w:rPr>
          <w:rFonts w:ascii="Baskerville" w:hAnsi="Baskerville"/>
          <w:lang w:val="en-US"/>
        </w:rPr>
        <w:t>instances</w:t>
      </w:r>
      <w:r w:rsidR="00DC44FA" w:rsidRPr="001E7CC5">
        <w:rPr>
          <w:rFonts w:ascii="Baskerville" w:hAnsi="Baskerville"/>
          <w:lang w:val="en-US"/>
        </w:rPr>
        <w:t xml:space="preserve">, customary </w:t>
      </w:r>
      <w:r w:rsidR="002212BC" w:rsidRPr="001E7CC5">
        <w:rPr>
          <w:rFonts w:ascii="Baskerville" w:hAnsi="Baskerville"/>
          <w:lang w:val="en-US"/>
        </w:rPr>
        <w:t xml:space="preserve">international </w:t>
      </w:r>
      <w:r w:rsidR="00DC44FA" w:rsidRPr="001E7CC5">
        <w:rPr>
          <w:rFonts w:ascii="Baskerville" w:hAnsi="Baskerville"/>
          <w:lang w:val="en-US"/>
        </w:rPr>
        <w:t xml:space="preserve">law may </w:t>
      </w:r>
      <w:r w:rsidR="007D7882" w:rsidRPr="001E7CC5">
        <w:rPr>
          <w:rFonts w:ascii="Baskerville" w:hAnsi="Baskerville"/>
          <w:lang w:val="en-US"/>
        </w:rPr>
        <w:t>advance</w:t>
      </w:r>
      <w:r w:rsidR="00DC44FA" w:rsidRPr="001E7CC5">
        <w:rPr>
          <w:rFonts w:ascii="Baskerville" w:hAnsi="Baskerville"/>
          <w:lang w:val="en-US"/>
        </w:rPr>
        <w:t xml:space="preserve"> </w:t>
      </w:r>
      <w:r w:rsidR="00F5149F" w:rsidRPr="001E7CC5">
        <w:rPr>
          <w:rFonts w:ascii="Baskerville" w:hAnsi="Baskerville"/>
          <w:lang w:val="en-US"/>
        </w:rPr>
        <w:t>instantly</w:t>
      </w:r>
      <w:r w:rsidR="00DC44FA" w:rsidRPr="001E7CC5">
        <w:rPr>
          <w:rFonts w:ascii="Baskerville" w:hAnsi="Baskerville"/>
          <w:lang w:val="en-US"/>
        </w:rPr>
        <w:t xml:space="preserve"> </w:t>
      </w:r>
      <w:r w:rsidR="007D7882" w:rsidRPr="001E7CC5">
        <w:rPr>
          <w:rFonts w:ascii="Baskerville" w:hAnsi="Baskerville"/>
          <w:lang w:val="en-US"/>
        </w:rPr>
        <w:t>due to</w:t>
      </w:r>
      <w:r w:rsidR="00DC44FA" w:rsidRPr="001E7CC5">
        <w:rPr>
          <w:rFonts w:ascii="Baskerville" w:hAnsi="Baskerville"/>
          <w:lang w:val="en-US"/>
        </w:rPr>
        <w:t xml:space="preserve"> </w:t>
      </w:r>
      <w:r w:rsidR="007D7882" w:rsidRPr="001E7CC5">
        <w:rPr>
          <w:rFonts w:ascii="Baskerville" w:hAnsi="Baskerville"/>
          <w:lang w:val="en-US"/>
        </w:rPr>
        <w:t>‘</w:t>
      </w:r>
      <w:r w:rsidR="00DC44FA" w:rsidRPr="001E7CC5">
        <w:rPr>
          <w:rFonts w:ascii="Baskerville" w:hAnsi="Baskerville"/>
          <w:lang w:val="en-US"/>
        </w:rPr>
        <w:t>the necessity to preserve a</w:t>
      </w:r>
      <w:r w:rsidR="00C42C04" w:rsidRPr="001E7CC5">
        <w:rPr>
          <w:rFonts w:ascii="Baskerville" w:hAnsi="Baskerville"/>
          <w:lang w:val="en-US"/>
        </w:rPr>
        <w:t xml:space="preserve"> sense of order in the unchart</w:t>
      </w:r>
      <w:r w:rsidR="00DC44FA" w:rsidRPr="001E7CC5">
        <w:rPr>
          <w:rFonts w:ascii="Baskerville" w:hAnsi="Baskerville"/>
          <w:lang w:val="en-US"/>
        </w:rPr>
        <w:t>ed face of progress</w:t>
      </w:r>
      <w:r w:rsidR="007D7882" w:rsidRPr="001E7CC5">
        <w:rPr>
          <w:rFonts w:ascii="Baskerville" w:hAnsi="Baskerville"/>
          <w:lang w:val="en-US"/>
        </w:rPr>
        <w:t>’</w:t>
      </w:r>
      <w:r w:rsidR="00DC44FA" w:rsidRPr="001E7CC5">
        <w:rPr>
          <w:rFonts w:ascii="Baskerville" w:hAnsi="Baskerville"/>
          <w:lang w:val="en-US"/>
        </w:rPr>
        <w:t>.</w:t>
      </w:r>
      <w:r w:rsidR="00DD4A71" w:rsidRPr="001E7CC5">
        <w:rPr>
          <w:rStyle w:val="FootnoteReference"/>
          <w:rFonts w:ascii="Baskerville" w:hAnsi="Baskerville"/>
          <w:lang w:val="en-US"/>
        </w:rPr>
        <w:footnoteReference w:id="32"/>
      </w:r>
    </w:p>
    <w:p w14:paraId="4389042D" w14:textId="77777777" w:rsidR="00B47E30" w:rsidRDefault="00B47E30" w:rsidP="00DC44FA">
      <w:pPr>
        <w:rPr>
          <w:rFonts w:ascii="Baskerville" w:hAnsi="Baskerville"/>
          <w:color w:val="FF0000"/>
          <w:lang w:val="en-US"/>
        </w:rPr>
      </w:pPr>
    </w:p>
    <w:p w14:paraId="43F89EE3" w14:textId="5E97E695" w:rsidR="00127491" w:rsidRPr="00FE5D00" w:rsidRDefault="00751B14" w:rsidP="00DC44FA">
      <w:pPr>
        <w:rPr>
          <w:rFonts w:ascii="Baskerville" w:hAnsi="Baskerville"/>
          <w:color w:val="FF0000"/>
          <w:lang w:val="en-US"/>
        </w:rPr>
      </w:pPr>
      <w:r w:rsidRPr="00762D3B">
        <w:rPr>
          <w:rFonts w:ascii="Baskerville" w:hAnsi="Baskerville"/>
          <w:lang w:val="en-US"/>
        </w:rPr>
        <w:t>Distinct</w:t>
      </w:r>
      <w:r w:rsidR="0033198D" w:rsidRPr="00762D3B">
        <w:rPr>
          <w:rFonts w:ascii="Baskerville" w:hAnsi="Baskerville"/>
          <w:lang w:val="en-US"/>
        </w:rPr>
        <w:t xml:space="preserve"> similarities</w:t>
      </w:r>
      <w:r w:rsidR="00127491" w:rsidRPr="00762D3B">
        <w:rPr>
          <w:rFonts w:ascii="Baskerville" w:hAnsi="Baskerville"/>
          <w:lang w:val="en-US"/>
        </w:rPr>
        <w:t xml:space="preserve"> can be </w:t>
      </w:r>
      <w:r w:rsidRPr="00762D3B">
        <w:rPr>
          <w:rFonts w:ascii="Baskerville" w:hAnsi="Baskerville"/>
          <w:lang w:val="en-US"/>
        </w:rPr>
        <w:t>drawn</w:t>
      </w:r>
      <w:r w:rsidR="00127491" w:rsidRPr="00762D3B">
        <w:rPr>
          <w:rFonts w:ascii="Baskerville" w:hAnsi="Baskerville"/>
          <w:lang w:val="en-US"/>
        </w:rPr>
        <w:t xml:space="preserve"> between </w:t>
      </w:r>
      <w:r w:rsidR="0033198D" w:rsidRPr="00762D3B">
        <w:rPr>
          <w:rFonts w:ascii="Baskerville" w:hAnsi="Baskerville"/>
          <w:lang w:val="en-US"/>
        </w:rPr>
        <w:t>‘</w:t>
      </w:r>
      <w:r w:rsidR="00127491" w:rsidRPr="00762D3B">
        <w:rPr>
          <w:rFonts w:ascii="Baskerville" w:hAnsi="Baskerville"/>
          <w:lang w:val="en-US"/>
        </w:rPr>
        <w:t>the emergence of rules on space sovereignty and the present status of the precautionary principle</w:t>
      </w:r>
      <w:r w:rsidR="0033198D" w:rsidRPr="00762D3B">
        <w:rPr>
          <w:rFonts w:ascii="Baskerville" w:hAnsi="Baskerville"/>
          <w:lang w:val="en-US"/>
        </w:rPr>
        <w:t>’</w:t>
      </w:r>
      <w:r w:rsidR="00127491" w:rsidRPr="00762D3B">
        <w:rPr>
          <w:rFonts w:ascii="Baskerville" w:hAnsi="Baskerville"/>
          <w:lang w:val="en-US"/>
        </w:rPr>
        <w:t>.</w:t>
      </w:r>
      <w:r w:rsidR="009C1C0B" w:rsidRPr="00762D3B">
        <w:rPr>
          <w:rStyle w:val="FootnoteReference"/>
          <w:rFonts w:ascii="Baskerville" w:hAnsi="Baskerville"/>
          <w:lang w:val="en-US"/>
        </w:rPr>
        <w:footnoteReference w:id="33"/>
      </w:r>
      <w:r w:rsidR="00127491" w:rsidRPr="00762D3B">
        <w:rPr>
          <w:rFonts w:ascii="Baskerville" w:hAnsi="Baskerville"/>
          <w:lang w:val="en-US"/>
        </w:rPr>
        <w:t xml:space="preserve"> </w:t>
      </w:r>
      <w:r w:rsidR="007D7882" w:rsidRPr="00762D3B">
        <w:rPr>
          <w:rFonts w:ascii="Baskerville" w:hAnsi="Baskerville"/>
          <w:lang w:val="en-US"/>
        </w:rPr>
        <w:t>Once again, countries</w:t>
      </w:r>
      <w:r w:rsidR="00127491" w:rsidRPr="00762D3B">
        <w:rPr>
          <w:rFonts w:ascii="Baskerville" w:hAnsi="Baskerville"/>
          <w:lang w:val="en-US"/>
        </w:rPr>
        <w:t xml:space="preserve"> face a </w:t>
      </w:r>
      <w:r w:rsidR="007D7882" w:rsidRPr="00762D3B">
        <w:rPr>
          <w:rFonts w:ascii="Baskerville" w:hAnsi="Baskerville"/>
          <w:lang w:val="en-US"/>
        </w:rPr>
        <w:t>crucial</w:t>
      </w:r>
      <w:r w:rsidR="00127491" w:rsidRPr="00762D3B">
        <w:rPr>
          <w:rFonts w:ascii="Baskerville" w:hAnsi="Baskerville"/>
          <w:lang w:val="en-US"/>
        </w:rPr>
        <w:t xml:space="preserve"> challenge, affecting all and caused in some </w:t>
      </w:r>
      <w:r w:rsidR="00D51C67" w:rsidRPr="00762D3B">
        <w:rPr>
          <w:rFonts w:ascii="Baskerville" w:hAnsi="Baskerville"/>
          <w:lang w:val="en-US"/>
        </w:rPr>
        <w:t>ways</w:t>
      </w:r>
      <w:r w:rsidR="00127491" w:rsidRPr="00762D3B">
        <w:rPr>
          <w:rFonts w:ascii="Baskerville" w:hAnsi="Baskerville"/>
          <w:lang w:val="en-US"/>
        </w:rPr>
        <w:t xml:space="preserve"> by all.</w:t>
      </w:r>
      <w:r w:rsidR="00127491" w:rsidRPr="00FE5D00">
        <w:rPr>
          <w:rFonts w:ascii="Baskerville" w:hAnsi="Baskerville"/>
          <w:color w:val="FF0000"/>
          <w:lang w:val="en-US"/>
        </w:rPr>
        <w:t xml:space="preserve"> </w:t>
      </w:r>
      <w:r w:rsidR="00D51C67" w:rsidRPr="00762D3B">
        <w:rPr>
          <w:rFonts w:ascii="Baskerville" w:hAnsi="Baskerville"/>
          <w:lang w:val="en-US"/>
        </w:rPr>
        <w:t>During a</w:t>
      </w:r>
      <w:r w:rsidR="00127491" w:rsidRPr="00762D3B">
        <w:rPr>
          <w:rFonts w:ascii="Baskerville" w:hAnsi="Baskerville"/>
          <w:lang w:val="en-US"/>
        </w:rPr>
        <w:t xml:space="preserve"> case </w:t>
      </w:r>
      <w:r w:rsidR="00D51C67" w:rsidRPr="00762D3B">
        <w:rPr>
          <w:rFonts w:ascii="Baskerville" w:hAnsi="Baskerville"/>
          <w:lang w:val="en-US"/>
        </w:rPr>
        <w:t>concerning</w:t>
      </w:r>
      <w:r w:rsidR="00127491" w:rsidRPr="00762D3B">
        <w:rPr>
          <w:rFonts w:ascii="Baskerville" w:hAnsi="Baskerville"/>
          <w:lang w:val="en-US"/>
        </w:rPr>
        <w:t xml:space="preserve"> space sovereignty, the mutual recognition of some </w:t>
      </w:r>
      <w:r w:rsidR="00D51C67" w:rsidRPr="00762D3B">
        <w:rPr>
          <w:rFonts w:ascii="Baskerville" w:hAnsi="Baskerville"/>
          <w:lang w:val="en-US"/>
        </w:rPr>
        <w:t>66</w:t>
      </w:r>
      <w:r w:rsidR="00127491" w:rsidRPr="00762D3B">
        <w:rPr>
          <w:rFonts w:ascii="Baskerville" w:hAnsi="Baskerville"/>
          <w:lang w:val="en-US"/>
        </w:rPr>
        <w:t xml:space="preserve"> states </w:t>
      </w:r>
      <w:r w:rsidR="00D51C67" w:rsidRPr="00762D3B">
        <w:rPr>
          <w:rFonts w:ascii="Baskerville" w:hAnsi="Baskerville"/>
          <w:lang w:val="en-US"/>
        </w:rPr>
        <w:t>led to</w:t>
      </w:r>
      <w:r w:rsidR="00127491" w:rsidRPr="00762D3B">
        <w:rPr>
          <w:rFonts w:ascii="Baskerville" w:hAnsi="Baskerville"/>
          <w:lang w:val="en-US"/>
        </w:rPr>
        <w:t xml:space="preserve"> the acceptance of a customary rule. In another case, the twelve-mile territorial sea rule was </w:t>
      </w:r>
      <w:r w:rsidR="00A8250B" w:rsidRPr="00762D3B">
        <w:rPr>
          <w:rFonts w:ascii="Baskerville" w:hAnsi="Baskerville"/>
          <w:lang w:val="en-US"/>
        </w:rPr>
        <w:t>‘</w:t>
      </w:r>
      <w:r w:rsidR="00127491" w:rsidRPr="00762D3B">
        <w:rPr>
          <w:rFonts w:ascii="Baskerville" w:hAnsi="Baskerville"/>
          <w:lang w:val="en-US"/>
        </w:rPr>
        <w:t>recogni</w:t>
      </w:r>
      <w:r w:rsidR="00A8250B" w:rsidRPr="00762D3B">
        <w:rPr>
          <w:rFonts w:ascii="Baskerville" w:hAnsi="Baskerville"/>
          <w:lang w:val="en-US"/>
        </w:rPr>
        <w:t>s</w:t>
      </w:r>
      <w:r w:rsidR="00127491" w:rsidRPr="00762D3B">
        <w:rPr>
          <w:rFonts w:ascii="Baskerville" w:hAnsi="Baskerville"/>
          <w:lang w:val="en-US"/>
        </w:rPr>
        <w:t>ed as customary international law when accepted by 102 nations</w:t>
      </w:r>
      <w:r w:rsidR="00A8250B" w:rsidRPr="00762D3B">
        <w:rPr>
          <w:rFonts w:ascii="Baskerville" w:hAnsi="Baskerville"/>
          <w:lang w:val="en-US"/>
        </w:rPr>
        <w:t>’</w:t>
      </w:r>
      <w:r w:rsidR="00127491" w:rsidRPr="00762D3B">
        <w:rPr>
          <w:rFonts w:ascii="Baskerville" w:hAnsi="Baskerville"/>
          <w:lang w:val="en-US"/>
        </w:rPr>
        <w:t>.</w:t>
      </w:r>
      <w:r w:rsidR="0078602F" w:rsidRPr="00762D3B">
        <w:rPr>
          <w:rStyle w:val="FootnoteReference"/>
          <w:rFonts w:ascii="Baskerville" w:hAnsi="Baskerville"/>
          <w:lang w:val="en-US"/>
        </w:rPr>
        <w:footnoteReference w:id="34"/>
      </w:r>
      <w:r w:rsidR="00127491" w:rsidRPr="00FE5D00">
        <w:rPr>
          <w:rFonts w:ascii="Baskerville" w:hAnsi="Baskerville"/>
          <w:color w:val="FF0000"/>
          <w:lang w:val="en-US"/>
        </w:rPr>
        <w:t xml:space="preserve"> </w:t>
      </w:r>
      <w:r w:rsidR="00581C2F" w:rsidRPr="00762D3B">
        <w:rPr>
          <w:rFonts w:ascii="Baskerville" w:hAnsi="Baskerville"/>
          <w:lang w:val="en-US"/>
        </w:rPr>
        <w:t>Here,</w:t>
      </w:r>
      <w:r w:rsidR="00127491" w:rsidRPr="00762D3B">
        <w:rPr>
          <w:rFonts w:ascii="Baskerville" w:hAnsi="Baskerville"/>
          <w:lang w:val="en-US"/>
        </w:rPr>
        <w:t xml:space="preserve"> </w:t>
      </w:r>
      <w:r w:rsidR="00581C2F" w:rsidRPr="00762D3B">
        <w:rPr>
          <w:rFonts w:ascii="Baskerville" w:hAnsi="Baskerville"/>
          <w:lang w:val="en-US"/>
        </w:rPr>
        <w:t xml:space="preserve">the numbers </w:t>
      </w:r>
      <w:r w:rsidR="00486960" w:rsidRPr="00762D3B">
        <w:rPr>
          <w:rFonts w:ascii="Baskerville" w:hAnsi="Baskerville"/>
          <w:lang w:val="en-US"/>
        </w:rPr>
        <w:t>reflected</w:t>
      </w:r>
      <w:r w:rsidR="00581C2F" w:rsidRPr="00762D3B">
        <w:rPr>
          <w:rFonts w:ascii="Baskerville" w:hAnsi="Baskerville"/>
          <w:lang w:val="en-US"/>
        </w:rPr>
        <w:t xml:space="preserve"> the development of customary international law</w:t>
      </w:r>
      <w:r w:rsidR="00127491" w:rsidRPr="00762D3B">
        <w:rPr>
          <w:rFonts w:ascii="Baskerville" w:hAnsi="Baskerville"/>
          <w:lang w:val="en-US"/>
        </w:rPr>
        <w:t xml:space="preserve">. Today, the precautionary principle is recognised by </w:t>
      </w:r>
      <w:r w:rsidR="00342BF6" w:rsidRPr="00762D3B">
        <w:rPr>
          <w:rFonts w:ascii="Baskerville" w:hAnsi="Baskerville"/>
          <w:lang w:val="en-US"/>
        </w:rPr>
        <w:t xml:space="preserve">34 countries, </w:t>
      </w:r>
      <w:r w:rsidR="00C53C49" w:rsidRPr="00762D3B">
        <w:rPr>
          <w:rFonts w:ascii="Baskerville" w:hAnsi="Baskerville"/>
          <w:lang w:val="en-US"/>
        </w:rPr>
        <w:t>clearly indicating its emergence as customary international law.</w:t>
      </w:r>
      <w:r w:rsidR="00581C2F" w:rsidRPr="00762D3B">
        <w:rPr>
          <w:rStyle w:val="FootnoteReference"/>
          <w:rFonts w:ascii="Baskerville" w:hAnsi="Baskerville"/>
          <w:lang w:val="en-US"/>
        </w:rPr>
        <w:footnoteReference w:id="35"/>
      </w:r>
    </w:p>
    <w:p w14:paraId="672750D4" w14:textId="77777777" w:rsidR="008510E9" w:rsidRDefault="008510E9" w:rsidP="005E4F4C">
      <w:pPr>
        <w:rPr>
          <w:rFonts w:ascii="Baskerville" w:hAnsi="Baskerville"/>
          <w:lang w:val="en-US"/>
        </w:rPr>
      </w:pPr>
    </w:p>
    <w:p w14:paraId="057C96DD" w14:textId="6810F4E6" w:rsidR="006F6084" w:rsidRDefault="00262BDC" w:rsidP="005E4F4C">
      <w:pPr>
        <w:rPr>
          <w:rFonts w:ascii="Baskerville" w:hAnsi="Baskerville"/>
          <w:lang w:val="en-US"/>
        </w:rPr>
      </w:pPr>
      <w:r>
        <w:rPr>
          <w:rFonts w:ascii="Baskerville" w:hAnsi="Baskerville"/>
          <w:lang w:val="en-US"/>
        </w:rPr>
        <w:t>Nevertheless</w:t>
      </w:r>
      <w:r w:rsidR="00DE011E" w:rsidRPr="002F12D9">
        <w:rPr>
          <w:rFonts w:ascii="Baskerville" w:hAnsi="Baskerville"/>
          <w:lang w:val="en-US"/>
        </w:rPr>
        <w:t xml:space="preserve">, </w:t>
      </w:r>
      <w:r w:rsidR="002F12D9" w:rsidRPr="002F12D9">
        <w:rPr>
          <w:rFonts w:ascii="Baskerville" w:hAnsi="Baskerville"/>
          <w:lang w:val="en-US"/>
        </w:rPr>
        <w:t>the</w:t>
      </w:r>
      <w:r w:rsidR="00282BA3" w:rsidRPr="002F12D9">
        <w:rPr>
          <w:rFonts w:ascii="Baskerville" w:hAnsi="Baskerville"/>
          <w:lang w:val="en-US"/>
        </w:rPr>
        <w:t xml:space="preserve"> precautionary principle has received </w:t>
      </w:r>
      <w:r w:rsidR="002F12D9" w:rsidRPr="002F12D9">
        <w:rPr>
          <w:rFonts w:ascii="Baskerville" w:hAnsi="Baskerville"/>
          <w:lang w:val="en-US"/>
        </w:rPr>
        <w:t xml:space="preserve">no </w:t>
      </w:r>
      <w:r w:rsidR="002F12D9">
        <w:rPr>
          <w:rFonts w:ascii="Baskerville" w:hAnsi="Baskerville"/>
          <w:lang w:val="en-US"/>
        </w:rPr>
        <w:t>authoritative</w:t>
      </w:r>
      <w:r w:rsidR="00357408">
        <w:rPr>
          <w:rFonts w:ascii="Baskerville" w:hAnsi="Baskerville"/>
          <w:lang w:val="en-US"/>
        </w:rPr>
        <w:t>, workable</w:t>
      </w:r>
      <w:r w:rsidR="002F12D9">
        <w:rPr>
          <w:rFonts w:ascii="Baskerville" w:hAnsi="Baskerville"/>
          <w:lang w:val="en-US"/>
        </w:rPr>
        <w:t xml:space="preserve"> </w:t>
      </w:r>
      <w:r w:rsidR="002F12D9" w:rsidRPr="002F12D9">
        <w:rPr>
          <w:rFonts w:ascii="Baskerville" w:hAnsi="Baskerville"/>
          <w:lang w:val="en-US"/>
        </w:rPr>
        <w:t>definition</w:t>
      </w:r>
      <w:r w:rsidR="003A6964">
        <w:rPr>
          <w:rFonts w:ascii="Baskerville" w:hAnsi="Baskerville"/>
          <w:lang w:val="en-US"/>
        </w:rPr>
        <w:t xml:space="preserve"> in international law</w:t>
      </w:r>
      <w:r w:rsidR="00282BA3" w:rsidRPr="002F12D9">
        <w:rPr>
          <w:rFonts w:ascii="Baskerville" w:hAnsi="Baskerville"/>
          <w:lang w:val="en-US"/>
        </w:rPr>
        <w:t>.</w:t>
      </w:r>
      <w:r w:rsidR="001F17DB">
        <w:rPr>
          <w:rFonts w:ascii="Baskerville" w:hAnsi="Baskerville"/>
          <w:lang w:val="en-US"/>
        </w:rPr>
        <w:t xml:space="preserve"> </w:t>
      </w:r>
      <w:r w:rsidR="001441B4">
        <w:rPr>
          <w:rFonts w:ascii="Baskerville" w:hAnsi="Baskerville"/>
          <w:lang w:val="en-US"/>
        </w:rPr>
        <w:t xml:space="preserve">In international discourse, </w:t>
      </w:r>
      <w:r w:rsidR="00863BA0">
        <w:rPr>
          <w:rFonts w:ascii="Baskerville" w:hAnsi="Baskerville"/>
          <w:lang w:val="en-US"/>
        </w:rPr>
        <w:t>‘</w:t>
      </w:r>
      <w:r w:rsidR="001441B4">
        <w:rPr>
          <w:rFonts w:ascii="Baskerville" w:hAnsi="Baskerville"/>
          <w:lang w:val="en-US"/>
        </w:rPr>
        <w:t>Canada defends the precautionary principle</w:t>
      </w:r>
      <w:r w:rsidR="00863BA0">
        <w:rPr>
          <w:rFonts w:ascii="Baskerville" w:hAnsi="Baskerville"/>
          <w:lang w:val="en-US"/>
        </w:rPr>
        <w:t>’</w:t>
      </w:r>
      <w:r w:rsidR="001441B4">
        <w:rPr>
          <w:rFonts w:ascii="Baskerville" w:hAnsi="Baskerville"/>
          <w:lang w:val="en-US"/>
        </w:rPr>
        <w:t>.</w:t>
      </w:r>
      <w:r w:rsidR="00863BA0">
        <w:rPr>
          <w:rStyle w:val="FootnoteReference"/>
          <w:rFonts w:ascii="Baskerville" w:hAnsi="Baskerville"/>
          <w:lang w:val="en-US"/>
        </w:rPr>
        <w:footnoteReference w:id="36"/>
      </w:r>
      <w:r w:rsidR="001441B4">
        <w:rPr>
          <w:rFonts w:ascii="Baskerville" w:hAnsi="Baskerville"/>
          <w:lang w:val="en-US"/>
        </w:rPr>
        <w:t xml:space="preserve"> </w:t>
      </w:r>
      <w:r w:rsidR="0061782E" w:rsidRPr="00FB3F26">
        <w:rPr>
          <w:rFonts w:ascii="Baskerville" w:hAnsi="Baskerville"/>
          <w:lang w:val="en-US"/>
        </w:rPr>
        <w:t xml:space="preserve">Although the </w:t>
      </w:r>
      <w:r w:rsidR="006C6793" w:rsidRPr="00FB3F26">
        <w:rPr>
          <w:rFonts w:ascii="Baskerville" w:hAnsi="Baskerville"/>
          <w:lang w:val="en-US"/>
        </w:rPr>
        <w:t>Canadian Environmental Protection Act (CEPA)</w:t>
      </w:r>
      <w:r w:rsidR="0061782E" w:rsidRPr="00FB3F26">
        <w:rPr>
          <w:rFonts w:ascii="Baskerville" w:hAnsi="Baskerville"/>
          <w:lang w:val="en-US"/>
        </w:rPr>
        <w:t xml:space="preserve"> 1999 </w:t>
      </w:r>
      <w:r w:rsidR="00176B1F" w:rsidRPr="00FB3F26">
        <w:rPr>
          <w:rFonts w:ascii="Baskerville" w:hAnsi="Baskerville"/>
          <w:lang w:val="en-US"/>
        </w:rPr>
        <w:t xml:space="preserve">and the Rio Declaration </w:t>
      </w:r>
      <w:r w:rsidR="00FB3F26" w:rsidRPr="00FB3F26">
        <w:rPr>
          <w:rFonts w:ascii="Baskerville" w:hAnsi="Baskerville"/>
          <w:lang w:val="en-US"/>
        </w:rPr>
        <w:t xml:space="preserve">1992 </w:t>
      </w:r>
      <w:r w:rsidR="00A10B28">
        <w:rPr>
          <w:rFonts w:ascii="Baskerville" w:hAnsi="Baskerville"/>
          <w:lang w:val="en-US"/>
        </w:rPr>
        <w:t>feature</w:t>
      </w:r>
      <w:r w:rsidR="00176B1F" w:rsidRPr="00FB3F26">
        <w:rPr>
          <w:rFonts w:ascii="Baskerville" w:hAnsi="Baskerville"/>
          <w:lang w:val="en-US"/>
        </w:rPr>
        <w:t xml:space="preserve"> </w:t>
      </w:r>
      <w:r w:rsidR="0061782E" w:rsidRPr="00FB3F26">
        <w:rPr>
          <w:rFonts w:ascii="Baskerville" w:hAnsi="Baskerville"/>
          <w:lang w:val="en-US"/>
        </w:rPr>
        <w:t>definition</w:t>
      </w:r>
      <w:r w:rsidR="00176B1F" w:rsidRPr="00FB3F26">
        <w:rPr>
          <w:rFonts w:ascii="Baskerville" w:hAnsi="Baskerville"/>
          <w:lang w:val="en-US"/>
        </w:rPr>
        <w:t>s</w:t>
      </w:r>
      <w:r w:rsidR="008B036D" w:rsidRPr="00FB3F26">
        <w:rPr>
          <w:rFonts w:ascii="Baskerville" w:hAnsi="Baskerville"/>
          <w:lang w:val="en-US"/>
        </w:rPr>
        <w:t xml:space="preserve"> of the </w:t>
      </w:r>
      <w:r w:rsidR="001F17DB">
        <w:rPr>
          <w:rFonts w:ascii="Baskerville" w:hAnsi="Baskerville"/>
          <w:lang w:val="en-US"/>
        </w:rPr>
        <w:t>term ‘precaution’</w:t>
      </w:r>
      <w:r w:rsidR="008B036D" w:rsidRPr="00FB3F26">
        <w:rPr>
          <w:rFonts w:ascii="Baskerville" w:hAnsi="Baskerville"/>
          <w:lang w:val="en-US"/>
        </w:rPr>
        <w:t>,</w:t>
      </w:r>
      <w:r w:rsidR="006C6793" w:rsidRPr="00FB3F26">
        <w:rPr>
          <w:rStyle w:val="FootnoteReference"/>
          <w:rFonts w:ascii="Baskerville" w:hAnsi="Baskerville"/>
          <w:lang w:val="en-US"/>
        </w:rPr>
        <w:footnoteReference w:id="37"/>
      </w:r>
      <w:r w:rsidR="008B036D" w:rsidRPr="00FB3F26">
        <w:rPr>
          <w:rFonts w:ascii="Baskerville" w:hAnsi="Baskerville"/>
          <w:lang w:val="en-US"/>
        </w:rPr>
        <w:t xml:space="preserve"> </w:t>
      </w:r>
      <w:r w:rsidR="00290781">
        <w:rPr>
          <w:rFonts w:ascii="Baskerville" w:hAnsi="Baskerville"/>
          <w:lang w:val="en-US"/>
        </w:rPr>
        <w:t xml:space="preserve">many </w:t>
      </w:r>
      <w:r w:rsidR="008B036D" w:rsidRPr="002F12D9">
        <w:rPr>
          <w:rFonts w:ascii="Baskerville" w:hAnsi="Baskerville"/>
          <w:lang w:val="en-US"/>
        </w:rPr>
        <w:t xml:space="preserve">other </w:t>
      </w:r>
      <w:r w:rsidR="00290781">
        <w:rPr>
          <w:rFonts w:ascii="Baskerville" w:hAnsi="Baskerville"/>
          <w:lang w:val="en-US"/>
        </w:rPr>
        <w:t xml:space="preserve">similar </w:t>
      </w:r>
      <w:r w:rsidR="00D57AC8">
        <w:rPr>
          <w:rFonts w:ascii="Baskerville" w:hAnsi="Baskerville"/>
          <w:lang w:val="en-US"/>
        </w:rPr>
        <w:t xml:space="preserve">international </w:t>
      </w:r>
      <w:r w:rsidR="008B036D" w:rsidRPr="002F12D9">
        <w:rPr>
          <w:rFonts w:ascii="Baskerville" w:hAnsi="Baskerville"/>
          <w:lang w:val="en-US"/>
        </w:rPr>
        <w:t>statutory definitions</w:t>
      </w:r>
      <w:r w:rsidR="00290781">
        <w:rPr>
          <w:rFonts w:ascii="Baskerville" w:hAnsi="Baskerville"/>
          <w:lang w:val="en-US"/>
        </w:rPr>
        <w:t xml:space="preserve"> </w:t>
      </w:r>
      <w:r w:rsidR="008B036D" w:rsidRPr="002F12D9">
        <w:rPr>
          <w:rFonts w:ascii="Baskerville" w:hAnsi="Baskerville"/>
          <w:lang w:val="en-US"/>
        </w:rPr>
        <w:t>contain conspicuous gaps.</w:t>
      </w:r>
      <w:r w:rsidR="003E6444">
        <w:rPr>
          <w:rStyle w:val="FootnoteReference"/>
          <w:rFonts w:ascii="Baskerville" w:hAnsi="Baskerville"/>
          <w:lang w:val="en-US"/>
        </w:rPr>
        <w:footnoteReference w:id="38"/>
      </w:r>
      <w:r w:rsidR="008B036D">
        <w:rPr>
          <w:rFonts w:ascii="Baskerville" w:hAnsi="Baskerville"/>
          <w:color w:val="FF0000"/>
          <w:lang w:val="en-US"/>
        </w:rPr>
        <w:t xml:space="preserve"> </w:t>
      </w:r>
      <w:r w:rsidR="008B036D" w:rsidRPr="00AC18B1">
        <w:rPr>
          <w:rFonts w:ascii="Baskerville" w:hAnsi="Baskerville"/>
          <w:lang w:val="en-US"/>
        </w:rPr>
        <w:t>The Pest Control Products Act</w:t>
      </w:r>
      <w:r w:rsidR="00176B1F" w:rsidRPr="00AC18B1">
        <w:rPr>
          <w:rFonts w:ascii="Baskerville" w:hAnsi="Baskerville"/>
          <w:lang w:val="en-US"/>
        </w:rPr>
        <w:t xml:space="preserve"> </w:t>
      </w:r>
      <w:r w:rsidR="00B94F59">
        <w:rPr>
          <w:rFonts w:ascii="Baskerville" w:hAnsi="Baskerville"/>
          <w:lang w:val="en-US"/>
        </w:rPr>
        <w:t xml:space="preserve">(PCPA) 2002 </w:t>
      </w:r>
      <w:r w:rsidR="006F04B1">
        <w:rPr>
          <w:rFonts w:ascii="Baskerville" w:hAnsi="Baskerville"/>
          <w:lang w:val="en-US"/>
        </w:rPr>
        <w:t>omits</w:t>
      </w:r>
      <w:r w:rsidR="00176B1F" w:rsidRPr="00AC18B1">
        <w:rPr>
          <w:rFonts w:ascii="Baskerville" w:hAnsi="Baskerville"/>
          <w:lang w:val="en-US"/>
        </w:rPr>
        <w:t xml:space="preserve"> </w:t>
      </w:r>
      <w:r w:rsidR="00AC18B1" w:rsidRPr="00AC18B1">
        <w:rPr>
          <w:rFonts w:ascii="Baskerville" w:hAnsi="Baskerville"/>
          <w:lang w:val="en-US"/>
        </w:rPr>
        <w:t>particular</w:t>
      </w:r>
      <w:r w:rsidR="00176B1F" w:rsidRPr="00AC18B1">
        <w:rPr>
          <w:rFonts w:ascii="Baskerville" w:hAnsi="Baskerville"/>
          <w:lang w:val="en-US"/>
        </w:rPr>
        <w:t xml:space="preserve"> </w:t>
      </w:r>
      <w:r w:rsidR="00B94F59">
        <w:rPr>
          <w:rFonts w:ascii="Baskerville" w:hAnsi="Baskerville"/>
          <w:lang w:val="en-US"/>
        </w:rPr>
        <w:t xml:space="preserve">definitional </w:t>
      </w:r>
      <w:r w:rsidR="00176B1F" w:rsidRPr="00AC18B1">
        <w:rPr>
          <w:rFonts w:ascii="Baskerville" w:hAnsi="Baskerville"/>
          <w:lang w:val="en-US"/>
        </w:rPr>
        <w:t xml:space="preserve">elements </w:t>
      </w:r>
      <w:r w:rsidR="006F04B1">
        <w:rPr>
          <w:rFonts w:ascii="Baskerville" w:hAnsi="Baskerville"/>
          <w:lang w:val="en-US"/>
        </w:rPr>
        <w:t>of the precautionary principle</w:t>
      </w:r>
      <w:r w:rsidR="00176B1F" w:rsidRPr="00AC18B1">
        <w:rPr>
          <w:rFonts w:ascii="Baskerville" w:hAnsi="Baskerville"/>
          <w:lang w:val="en-US"/>
        </w:rPr>
        <w:t>, as does the Canada Marine Conservation Areas Act 2002, which lacks certain key principles that are contained in the CEPA/Rio definition.</w:t>
      </w:r>
      <w:r w:rsidR="00B94F59">
        <w:rPr>
          <w:rStyle w:val="FootnoteReference"/>
          <w:rFonts w:ascii="Baskerville" w:hAnsi="Baskerville"/>
          <w:lang w:val="en-US"/>
        </w:rPr>
        <w:footnoteReference w:id="39"/>
      </w:r>
      <w:r w:rsidR="00176B1F" w:rsidRPr="00AC18B1">
        <w:rPr>
          <w:rFonts w:ascii="Baskerville" w:hAnsi="Baskerville"/>
          <w:lang w:val="en-US"/>
        </w:rPr>
        <w:t xml:space="preserve"> </w:t>
      </w:r>
      <w:r w:rsidR="00DB5662" w:rsidRPr="00B94F59">
        <w:rPr>
          <w:rFonts w:ascii="Baskerville" w:hAnsi="Baskerville"/>
          <w:lang w:val="en-US"/>
        </w:rPr>
        <w:t>Furthermore</w:t>
      </w:r>
      <w:r w:rsidR="008B036D" w:rsidRPr="00B94F59">
        <w:rPr>
          <w:rFonts w:ascii="Baskerville" w:hAnsi="Baskerville"/>
          <w:lang w:val="en-US"/>
        </w:rPr>
        <w:t>, in the Cana</w:t>
      </w:r>
      <w:r w:rsidR="00593732" w:rsidRPr="00B94F59">
        <w:rPr>
          <w:rFonts w:ascii="Baskerville" w:hAnsi="Baskerville"/>
          <w:lang w:val="en-US"/>
        </w:rPr>
        <w:t>da Consumer Product Safety Act 2010</w:t>
      </w:r>
      <w:r w:rsidR="008B036D" w:rsidRPr="00B94F59">
        <w:rPr>
          <w:rFonts w:ascii="Baskerville" w:hAnsi="Baskerville"/>
          <w:lang w:val="en-US"/>
        </w:rPr>
        <w:t xml:space="preserve">, the </w:t>
      </w:r>
      <w:r w:rsidR="00B94F59" w:rsidRPr="00B94F59">
        <w:rPr>
          <w:rFonts w:ascii="Baskerville" w:hAnsi="Baskerville"/>
          <w:lang w:val="en-US"/>
        </w:rPr>
        <w:t>phrase</w:t>
      </w:r>
      <w:r w:rsidR="008B036D" w:rsidRPr="00B94F59">
        <w:rPr>
          <w:rFonts w:ascii="Baskerville" w:hAnsi="Baskerville"/>
          <w:lang w:val="en-US"/>
        </w:rPr>
        <w:t xml:space="preserve"> ‘cost-effective’ </w:t>
      </w:r>
      <w:r w:rsidR="00B94F59" w:rsidRPr="00B94F59">
        <w:rPr>
          <w:rFonts w:ascii="Baskerville" w:hAnsi="Baskerville"/>
          <w:lang w:val="en-US"/>
        </w:rPr>
        <w:t>is</w:t>
      </w:r>
      <w:r w:rsidR="008B036D" w:rsidRPr="00B94F59">
        <w:rPr>
          <w:rFonts w:ascii="Baskerville" w:hAnsi="Baskerville"/>
          <w:lang w:val="en-US"/>
        </w:rPr>
        <w:t xml:space="preserve"> also </w:t>
      </w:r>
      <w:r w:rsidR="00B94F59" w:rsidRPr="00B94F59">
        <w:rPr>
          <w:rFonts w:ascii="Baskerville" w:hAnsi="Baskerville"/>
          <w:lang w:val="en-US"/>
        </w:rPr>
        <w:t>absent</w:t>
      </w:r>
      <w:r w:rsidR="008B036D" w:rsidRPr="00B94F59">
        <w:rPr>
          <w:rFonts w:ascii="Baskerville" w:hAnsi="Baskerville"/>
          <w:lang w:val="en-US"/>
        </w:rPr>
        <w:t>.</w:t>
      </w:r>
      <w:r w:rsidR="00B94F59" w:rsidRPr="00B94F59">
        <w:rPr>
          <w:rStyle w:val="FootnoteReference"/>
          <w:rFonts w:ascii="Baskerville" w:hAnsi="Baskerville"/>
          <w:lang w:val="en-US"/>
        </w:rPr>
        <w:footnoteReference w:id="40"/>
      </w:r>
      <w:r w:rsidR="008B036D" w:rsidRPr="008B036D">
        <w:rPr>
          <w:rFonts w:ascii="Baskerville" w:hAnsi="Baskerville"/>
          <w:color w:val="FF0000"/>
          <w:lang w:val="en-US"/>
        </w:rPr>
        <w:t xml:space="preserve"> </w:t>
      </w:r>
      <w:r w:rsidR="00A571F3" w:rsidRPr="002923CB">
        <w:rPr>
          <w:rFonts w:ascii="Baskerville" w:hAnsi="Baskerville"/>
          <w:lang w:val="en-US"/>
        </w:rPr>
        <w:t>In 2001, the Canadian government released a discussion paper on the precautionary approach.</w:t>
      </w:r>
      <w:r w:rsidR="00A571F3" w:rsidRPr="002923CB">
        <w:rPr>
          <w:rStyle w:val="FootnoteReference"/>
          <w:rFonts w:ascii="Baskerville" w:hAnsi="Baskerville"/>
          <w:lang w:val="en-US"/>
        </w:rPr>
        <w:footnoteReference w:id="41"/>
      </w:r>
      <w:r w:rsidR="00A571F3" w:rsidRPr="00A571F3">
        <w:rPr>
          <w:rFonts w:ascii="Baskerville" w:hAnsi="Baskerville"/>
          <w:color w:val="FF0000"/>
          <w:lang w:val="en-US"/>
        </w:rPr>
        <w:t xml:space="preserve"> </w:t>
      </w:r>
      <w:r w:rsidR="00A571F3" w:rsidRPr="00AA59F7">
        <w:rPr>
          <w:rFonts w:ascii="Baskerville" w:hAnsi="Baskerville"/>
          <w:lang w:val="en-US"/>
        </w:rPr>
        <w:t>In this document, the federal government affirm</w:t>
      </w:r>
      <w:r w:rsidR="002923CB" w:rsidRPr="00AA59F7">
        <w:rPr>
          <w:rFonts w:ascii="Baskerville" w:hAnsi="Baskerville"/>
          <w:lang w:val="en-US"/>
        </w:rPr>
        <w:t>ed</w:t>
      </w:r>
      <w:r w:rsidR="00A571F3" w:rsidRPr="00AA59F7">
        <w:rPr>
          <w:rFonts w:ascii="Baskerville" w:hAnsi="Baskerville"/>
          <w:lang w:val="en-US"/>
        </w:rPr>
        <w:t xml:space="preserve"> its support for the Rio definition of the precautionary principle.</w:t>
      </w:r>
      <w:r w:rsidR="002923CB" w:rsidRPr="00AA59F7">
        <w:rPr>
          <w:rStyle w:val="FootnoteReference"/>
          <w:rFonts w:ascii="Baskerville" w:hAnsi="Baskerville"/>
          <w:lang w:val="en-US"/>
        </w:rPr>
        <w:footnoteReference w:id="42"/>
      </w:r>
      <w:r w:rsidR="00A571F3" w:rsidRPr="00A571F3">
        <w:rPr>
          <w:rFonts w:ascii="Baskerville" w:hAnsi="Baskerville"/>
          <w:color w:val="FF0000"/>
          <w:lang w:val="en-US"/>
        </w:rPr>
        <w:t xml:space="preserve"> </w:t>
      </w:r>
      <w:r w:rsidR="00A571F3" w:rsidRPr="00977219">
        <w:rPr>
          <w:rFonts w:ascii="Baskerville" w:hAnsi="Baskerville"/>
          <w:lang w:val="en-US"/>
        </w:rPr>
        <w:t>The Canadian Chamber hopes that this support will lead to consistency across all legislation</w:t>
      </w:r>
      <w:r w:rsidR="00420688">
        <w:rPr>
          <w:rFonts w:ascii="Baskerville" w:hAnsi="Baskerville"/>
          <w:lang w:val="en-US"/>
        </w:rPr>
        <w:t xml:space="preserve"> and this can only be seen as a step forward</w:t>
      </w:r>
      <w:r w:rsidR="00A571F3" w:rsidRPr="00977219">
        <w:rPr>
          <w:rFonts w:ascii="Baskerville" w:hAnsi="Baskerville"/>
          <w:lang w:val="en-US"/>
        </w:rPr>
        <w:t xml:space="preserve">. </w:t>
      </w:r>
      <w:r w:rsidR="00420688">
        <w:rPr>
          <w:rFonts w:ascii="Baskerville" w:hAnsi="Baskerville"/>
          <w:lang w:val="en-US"/>
        </w:rPr>
        <w:t>The</w:t>
      </w:r>
      <w:r w:rsidR="00A640C7">
        <w:rPr>
          <w:rFonts w:ascii="Baskerville" w:hAnsi="Baskerville"/>
          <w:lang w:val="en-US"/>
        </w:rPr>
        <w:t xml:space="preserve"> </w:t>
      </w:r>
      <w:r w:rsidR="00420688">
        <w:rPr>
          <w:rFonts w:ascii="Baskerville" w:hAnsi="Baskerville"/>
          <w:lang w:val="en-US"/>
        </w:rPr>
        <w:t>indeterminacy of the precautionary principle</w:t>
      </w:r>
      <w:r w:rsidR="000F7F86">
        <w:rPr>
          <w:rFonts w:ascii="Baskerville" w:hAnsi="Baskerville"/>
          <w:lang w:val="en-US"/>
        </w:rPr>
        <w:t xml:space="preserve"> (which </w:t>
      </w:r>
      <w:r w:rsidR="00B22AE3">
        <w:rPr>
          <w:rFonts w:ascii="Baskerville" w:hAnsi="Baskerville"/>
          <w:lang w:val="en-US"/>
        </w:rPr>
        <w:t xml:space="preserve">is </w:t>
      </w:r>
      <w:r w:rsidR="000F7F86">
        <w:rPr>
          <w:rFonts w:ascii="Baskerville" w:hAnsi="Baskerville"/>
          <w:lang w:val="en-US"/>
        </w:rPr>
        <w:t>also applicable to the polluter pays principle)</w:t>
      </w:r>
      <w:r w:rsidR="008C3B2F">
        <w:rPr>
          <w:rStyle w:val="FootnoteReference"/>
          <w:rFonts w:ascii="Baskerville" w:hAnsi="Baskerville"/>
          <w:lang w:val="en-US"/>
        </w:rPr>
        <w:footnoteReference w:id="43"/>
      </w:r>
      <w:r w:rsidR="000F7F86">
        <w:rPr>
          <w:rFonts w:ascii="Baskerville" w:hAnsi="Baskerville"/>
          <w:lang w:val="en-US"/>
        </w:rPr>
        <w:t xml:space="preserve"> </w:t>
      </w:r>
      <w:r w:rsidR="00420688">
        <w:rPr>
          <w:rFonts w:ascii="Baskerville" w:hAnsi="Baskerville"/>
          <w:lang w:val="en-US"/>
        </w:rPr>
        <w:t>consigns it to being ‘an inappropriate and ineffective regulatory decision-making tool’.</w:t>
      </w:r>
      <w:r w:rsidR="002A25C7">
        <w:rPr>
          <w:rStyle w:val="FootnoteReference"/>
          <w:rFonts w:ascii="Baskerville" w:hAnsi="Baskerville"/>
          <w:lang w:val="en-US"/>
        </w:rPr>
        <w:footnoteReference w:id="44"/>
      </w:r>
    </w:p>
    <w:p w14:paraId="039FDFB0" w14:textId="77777777" w:rsidR="00785138" w:rsidRPr="00785138" w:rsidRDefault="00785138" w:rsidP="005E4F4C">
      <w:pPr>
        <w:rPr>
          <w:rFonts w:ascii="Baskerville" w:hAnsi="Baskerville"/>
          <w:color w:val="FF0000"/>
          <w:lang w:val="en-US"/>
        </w:rPr>
      </w:pPr>
    </w:p>
    <w:p w14:paraId="6FA5D418" w14:textId="26F258C4" w:rsidR="00EC674A" w:rsidRPr="003F17F3" w:rsidRDefault="00EC674A" w:rsidP="00EC674A">
      <w:pPr>
        <w:rPr>
          <w:rFonts w:ascii="Baskerville" w:hAnsi="Baskerville"/>
          <w:b/>
          <w:u w:val="single"/>
          <w:lang w:val="en-US"/>
        </w:rPr>
      </w:pPr>
      <w:r w:rsidRPr="003F17F3">
        <w:rPr>
          <w:rFonts w:ascii="Baskerville" w:hAnsi="Baskerville"/>
          <w:b/>
          <w:u w:val="single"/>
          <w:lang w:val="en-US"/>
        </w:rPr>
        <w:t>The United Kingdom</w:t>
      </w:r>
    </w:p>
    <w:p w14:paraId="2B1F6D03" w14:textId="77777777" w:rsidR="00EC674A" w:rsidRDefault="00EC674A" w:rsidP="005E4F4C">
      <w:pPr>
        <w:rPr>
          <w:rFonts w:ascii="Baskerville" w:hAnsi="Baskerville"/>
          <w:lang w:val="en-US"/>
        </w:rPr>
      </w:pPr>
    </w:p>
    <w:p w14:paraId="020B7271" w14:textId="173B9B61" w:rsidR="00C70E9C" w:rsidRDefault="00843786" w:rsidP="00495E7F">
      <w:pPr>
        <w:rPr>
          <w:rFonts w:ascii="Baskerville" w:hAnsi="Baskerville"/>
          <w:color w:val="FF0000"/>
          <w:lang w:val="en-US"/>
        </w:rPr>
      </w:pPr>
      <w:r w:rsidRPr="00843786">
        <w:rPr>
          <w:rFonts w:ascii="Baskerville" w:hAnsi="Baskerville"/>
          <w:lang w:val="en-US"/>
        </w:rPr>
        <w:t>With regard to</w:t>
      </w:r>
      <w:r w:rsidR="00E0699F" w:rsidRPr="00843786">
        <w:rPr>
          <w:rFonts w:ascii="Baskerville" w:hAnsi="Baskerville"/>
          <w:lang w:val="en-US"/>
        </w:rPr>
        <w:t xml:space="preserve"> domestic law,</w:t>
      </w:r>
      <w:r w:rsidR="00E0699F" w:rsidRPr="002E5DB9">
        <w:rPr>
          <w:rFonts w:ascii="Baskerville" w:hAnsi="Baskerville"/>
          <w:color w:val="FF0000"/>
          <w:lang w:val="en-US"/>
        </w:rPr>
        <w:t xml:space="preserve"> </w:t>
      </w:r>
      <w:r w:rsidR="00E0699F" w:rsidRPr="003F17F3">
        <w:rPr>
          <w:rFonts w:ascii="Baskerville" w:hAnsi="Baskerville"/>
          <w:lang w:val="en-US"/>
        </w:rPr>
        <w:t xml:space="preserve">the </w:t>
      </w:r>
      <w:r w:rsidR="003F17F3" w:rsidRPr="003F17F3">
        <w:rPr>
          <w:rFonts w:ascii="Baskerville" w:hAnsi="Baskerville"/>
          <w:lang w:val="en-US"/>
        </w:rPr>
        <w:t>UK</w:t>
      </w:r>
      <w:r w:rsidR="00E0699F" w:rsidRPr="003F17F3">
        <w:rPr>
          <w:rFonts w:ascii="Baskerville" w:hAnsi="Baskerville"/>
          <w:lang w:val="en-US"/>
        </w:rPr>
        <w:t xml:space="preserve"> </w:t>
      </w:r>
      <w:r w:rsidR="003F17F3">
        <w:rPr>
          <w:rFonts w:ascii="Baskerville" w:hAnsi="Baskerville"/>
          <w:lang w:val="en-US"/>
        </w:rPr>
        <w:t>g</w:t>
      </w:r>
      <w:r w:rsidR="00E0699F" w:rsidRPr="003F17F3">
        <w:rPr>
          <w:rFonts w:ascii="Baskerville" w:hAnsi="Baskerville"/>
          <w:lang w:val="en-US"/>
        </w:rPr>
        <w:t xml:space="preserve">overnment has acknowledged the existence of the precautionary principle but </w:t>
      </w:r>
      <w:r w:rsidR="003F17F3" w:rsidRPr="003F17F3">
        <w:rPr>
          <w:rFonts w:ascii="Baskerville" w:hAnsi="Baskerville"/>
          <w:lang w:val="en-US"/>
        </w:rPr>
        <w:t>instead</w:t>
      </w:r>
      <w:r w:rsidR="00E0699F" w:rsidRPr="003F17F3">
        <w:rPr>
          <w:rFonts w:ascii="Baskerville" w:hAnsi="Baskerville"/>
          <w:lang w:val="en-US"/>
        </w:rPr>
        <w:t xml:space="preserve"> applies a </w:t>
      </w:r>
      <w:r w:rsidR="003F17F3">
        <w:rPr>
          <w:rFonts w:ascii="Baskerville" w:hAnsi="Baskerville"/>
          <w:lang w:val="en-US"/>
        </w:rPr>
        <w:t>‘</w:t>
      </w:r>
      <w:r w:rsidR="00E0699F" w:rsidRPr="003F17F3">
        <w:rPr>
          <w:rFonts w:ascii="Baskerville" w:hAnsi="Baskerville"/>
          <w:lang w:val="en-US"/>
        </w:rPr>
        <w:t>preventive principle</w:t>
      </w:r>
      <w:r w:rsidR="003F17F3">
        <w:rPr>
          <w:rFonts w:ascii="Baskerville" w:hAnsi="Baskerville"/>
          <w:lang w:val="en-US"/>
        </w:rPr>
        <w:t>’</w:t>
      </w:r>
      <w:r w:rsidR="00E0699F" w:rsidRPr="003F17F3">
        <w:rPr>
          <w:rFonts w:ascii="Baskerville" w:hAnsi="Baskerville"/>
          <w:lang w:val="en-US"/>
        </w:rPr>
        <w:t>.</w:t>
      </w:r>
      <w:r w:rsidR="00D97B21" w:rsidRPr="003F17F3">
        <w:rPr>
          <w:rStyle w:val="FootnoteReference"/>
          <w:rFonts w:ascii="Baskerville" w:hAnsi="Baskerville"/>
          <w:lang w:val="en-US"/>
        </w:rPr>
        <w:footnoteReference w:id="45"/>
      </w:r>
      <w:r w:rsidR="00E0699F" w:rsidRPr="002E5DB9">
        <w:rPr>
          <w:rFonts w:ascii="Baskerville" w:hAnsi="Baskerville"/>
          <w:color w:val="FF0000"/>
          <w:lang w:val="en-US"/>
        </w:rPr>
        <w:t xml:space="preserve"> </w:t>
      </w:r>
      <w:r w:rsidR="003F17F3" w:rsidRPr="003F17F3">
        <w:rPr>
          <w:rFonts w:ascii="Baskerville" w:hAnsi="Baskerville"/>
          <w:lang w:val="en-US"/>
        </w:rPr>
        <w:t>The</w:t>
      </w:r>
      <w:r w:rsidR="00E0699F" w:rsidRPr="003F17F3">
        <w:rPr>
          <w:rFonts w:ascii="Baskerville" w:hAnsi="Baskerville"/>
          <w:lang w:val="en-US"/>
        </w:rPr>
        <w:t xml:space="preserve"> aim of the preventive principle is to prevent </w:t>
      </w:r>
      <w:r w:rsidR="001D1443">
        <w:rPr>
          <w:rFonts w:ascii="Baskerville" w:hAnsi="Baskerville"/>
          <w:lang w:val="en-US"/>
        </w:rPr>
        <w:t>harm</w:t>
      </w:r>
      <w:r w:rsidR="00E0699F" w:rsidRPr="003F17F3">
        <w:rPr>
          <w:rFonts w:ascii="Baskerville" w:hAnsi="Baskerville"/>
          <w:lang w:val="en-US"/>
        </w:rPr>
        <w:t xml:space="preserve"> to the environment</w:t>
      </w:r>
      <w:r w:rsidR="003F17F3" w:rsidRPr="003F17F3">
        <w:rPr>
          <w:rFonts w:ascii="Baskerville" w:hAnsi="Baskerville"/>
          <w:lang w:val="en-US"/>
        </w:rPr>
        <w:t>, but only</w:t>
      </w:r>
      <w:r w:rsidR="00E0699F" w:rsidRPr="003F17F3">
        <w:rPr>
          <w:rFonts w:ascii="Baskerville" w:hAnsi="Baskerville"/>
          <w:lang w:val="en-US"/>
        </w:rPr>
        <w:t xml:space="preserve"> </w:t>
      </w:r>
      <w:r w:rsidR="003F17F3">
        <w:rPr>
          <w:rFonts w:ascii="Baskerville" w:hAnsi="Baskerville"/>
          <w:lang w:val="en-US"/>
        </w:rPr>
        <w:t>‘</w:t>
      </w:r>
      <w:r w:rsidR="00E0699F" w:rsidRPr="003F17F3">
        <w:rPr>
          <w:rFonts w:ascii="Baskerville" w:hAnsi="Baskerville"/>
          <w:lang w:val="en-US"/>
        </w:rPr>
        <w:t xml:space="preserve">once the </w:t>
      </w:r>
      <w:r w:rsidR="001D1443">
        <w:rPr>
          <w:rFonts w:ascii="Baskerville" w:hAnsi="Baskerville"/>
          <w:lang w:val="en-US"/>
        </w:rPr>
        <w:t>damage</w:t>
      </w:r>
      <w:r w:rsidR="00E0699F" w:rsidRPr="003F17F3">
        <w:rPr>
          <w:rFonts w:ascii="Baskerville" w:hAnsi="Baskerville"/>
          <w:lang w:val="en-US"/>
        </w:rPr>
        <w:t xml:space="preserve"> is known or proved</w:t>
      </w:r>
      <w:r w:rsidR="003F17F3">
        <w:rPr>
          <w:rFonts w:ascii="Baskerville" w:hAnsi="Baskerville"/>
          <w:lang w:val="en-US"/>
        </w:rPr>
        <w:t>’</w:t>
      </w:r>
      <w:r w:rsidR="00E0699F" w:rsidRPr="003F17F3">
        <w:rPr>
          <w:rFonts w:ascii="Baskerville" w:hAnsi="Baskerville"/>
          <w:lang w:val="en-US"/>
        </w:rPr>
        <w:t>.</w:t>
      </w:r>
      <w:r w:rsidR="003F17F3">
        <w:rPr>
          <w:rStyle w:val="FootnoteReference"/>
          <w:rFonts w:ascii="Baskerville" w:hAnsi="Baskerville"/>
          <w:lang w:val="en-US"/>
        </w:rPr>
        <w:footnoteReference w:id="46"/>
      </w:r>
      <w:r w:rsidR="00E0699F" w:rsidRPr="002E5DB9">
        <w:rPr>
          <w:rFonts w:ascii="Baskerville" w:hAnsi="Baskerville"/>
          <w:color w:val="FF0000"/>
          <w:lang w:val="en-US"/>
        </w:rPr>
        <w:t xml:space="preserve"> </w:t>
      </w:r>
      <w:r w:rsidR="003F17F3" w:rsidRPr="003F17F3">
        <w:rPr>
          <w:rFonts w:ascii="Baskerville" w:hAnsi="Baskerville"/>
          <w:lang w:val="en-US"/>
        </w:rPr>
        <w:t>Rather than</w:t>
      </w:r>
      <w:r w:rsidR="00E0699F" w:rsidRPr="003F17F3">
        <w:rPr>
          <w:rFonts w:ascii="Baskerville" w:hAnsi="Baskerville"/>
          <w:lang w:val="en-US"/>
        </w:rPr>
        <w:t xml:space="preserve"> adopting a precautionary approach, the </w:t>
      </w:r>
      <w:r w:rsidR="003F17F3" w:rsidRPr="003F17F3">
        <w:rPr>
          <w:rFonts w:ascii="Baskerville" w:hAnsi="Baskerville"/>
          <w:lang w:val="en-US"/>
        </w:rPr>
        <w:t>UK</w:t>
      </w:r>
      <w:r w:rsidR="00E0699F" w:rsidRPr="003F17F3">
        <w:rPr>
          <w:rFonts w:ascii="Baskerville" w:hAnsi="Baskerville"/>
          <w:lang w:val="en-US"/>
        </w:rPr>
        <w:t xml:space="preserve"> </w:t>
      </w:r>
      <w:r w:rsidR="003F17F3" w:rsidRPr="003F17F3">
        <w:rPr>
          <w:rFonts w:ascii="Baskerville" w:hAnsi="Baskerville"/>
          <w:lang w:val="en-US"/>
        </w:rPr>
        <w:t>g</w:t>
      </w:r>
      <w:r w:rsidR="00E0699F" w:rsidRPr="003F17F3">
        <w:rPr>
          <w:rFonts w:ascii="Baskerville" w:hAnsi="Baskerville"/>
          <w:lang w:val="en-US"/>
        </w:rPr>
        <w:t xml:space="preserve">overnment has adopted emission standards for </w:t>
      </w:r>
      <w:r w:rsidR="003F17F3" w:rsidRPr="003F17F3">
        <w:rPr>
          <w:rFonts w:ascii="Baskerville" w:hAnsi="Baskerville"/>
          <w:lang w:val="en-US"/>
        </w:rPr>
        <w:t>‘</w:t>
      </w:r>
      <w:r w:rsidR="00E0699F" w:rsidRPr="003F17F3">
        <w:rPr>
          <w:rFonts w:ascii="Baskerville" w:hAnsi="Baskerville"/>
          <w:lang w:val="en-US"/>
        </w:rPr>
        <w:t>only the most dangerous substances</w:t>
      </w:r>
      <w:r w:rsidR="003F17F3" w:rsidRPr="003F17F3">
        <w:rPr>
          <w:rFonts w:ascii="Baskerville" w:hAnsi="Baskerville"/>
          <w:lang w:val="en-US"/>
        </w:rPr>
        <w:t>’</w:t>
      </w:r>
      <w:r w:rsidR="00E0699F" w:rsidRPr="003F17F3">
        <w:rPr>
          <w:rFonts w:ascii="Baskerville" w:hAnsi="Baskerville"/>
          <w:lang w:val="en-US"/>
        </w:rPr>
        <w:t>.</w:t>
      </w:r>
      <w:r w:rsidR="003F17F3" w:rsidRPr="003F17F3">
        <w:rPr>
          <w:rStyle w:val="FootnoteReference"/>
          <w:rFonts w:ascii="Baskerville" w:hAnsi="Baskerville"/>
          <w:lang w:val="en-US"/>
        </w:rPr>
        <w:footnoteReference w:id="47"/>
      </w:r>
      <w:r w:rsidR="00E0699F" w:rsidRPr="003F17F3">
        <w:rPr>
          <w:rFonts w:ascii="Baskerville" w:hAnsi="Baskerville"/>
          <w:lang w:val="en-US"/>
        </w:rPr>
        <w:t xml:space="preserve"> </w:t>
      </w:r>
      <w:r w:rsidR="003F17F3" w:rsidRPr="003F17F3">
        <w:rPr>
          <w:rFonts w:ascii="Baskerville" w:hAnsi="Baskerville"/>
          <w:lang w:val="en-US"/>
        </w:rPr>
        <w:t>‘</w:t>
      </w:r>
      <w:r w:rsidR="00E0699F" w:rsidRPr="003F17F3">
        <w:rPr>
          <w:rFonts w:ascii="Baskerville" w:hAnsi="Baskerville"/>
          <w:lang w:val="en-US"/>
        </w:rPr>
        <w:t xml:space="preserve">The </w:t>
      </w:r>
      <w:r w:rsidR="003F17F3" w:rsidRPr="003F17F3">
        <w:rPr>
          <w:rFonts w:ascii="Baskerville" w:hAnsi="Baskerville"/>
          <w:lang w:val="en-US"/>
        </w:rPr>
        <w:t xml:space="preserve">Red List’ forms the </w:t>
      </w:r>
      <w:r w:rsidR="00E0699F" w:rsidRPr="003F17F3">
        <w:rPr>
          <w:rFonts w:ascii="Baskerville" w:hAnsi="Baskerville"/>
          <w:lang w:val="en-US"/>
        </w:rPr>
        <w:t xml:space="preserve">cornerstone of the British approach </w:t>
      </w:r>
      <w:r w:rsidR="003F17F3" w:rsidRPr="003F17F3">
        <w:rPr>
          <w:rFonts w:ascii="Baskerville" w:hAnsi="Baskerville"/>
          <w:lang w:val="en-US"/>
        </w:rPr>
        <w:t>towards</w:t>
      </w:r>
      <w:r w:rsidR="00E0699F" w:rsidRPr="003F17F3">
        <w:rPr>
          <w:rFonts w:ascii="Baskerville" w:hAnsi="Baskerville"/>
          <w:lang w:val="en-US"/>
        </w:rPr>
        <w:t xml:space="preserve"> these </w:t>
      </w:r>
      <w:r w:rsidR="008E73DA" w:rsidRPr="003F17F3">
        <w:rPr>
          <w:rFonts w:ascii="Baskerville" w:hAnsi="Baskerville"/>
          <w:lang w:val="en-US"/>
        </w:rPr>
        <w:t>substances.</w:t>
      </w:r>
      <w:r w:rsidR="008E73DA" w:rsidRPr="003F17F3">
        <w:rPr>
          <w:rStyle w:val="FootnoteReference"/>
          <w:rFonts w:ascii="Baskerville" w:hAnsi="Baskerville"/>
          <w:lang w:val="en-US"/>
        </w:rPr>
        <w:footnoteReference w:id="48"/>
      </w:r>
      <w:r w:rsidR="00E0699F" w:rsidRPr="003F17F3">
        <w:rPr>
          <w:rFonts w:ascii="Baskerville" w:hAnsi="Baskerville"/>
          <w:lang w:val="en-US"/>
        </w:rPr>
        <w:t xml:space="preserve"> </w:t>
      </w:r>
      <w:r w:rsidR="00D1533F" w:rsidRPr="00D1533F">
        <w:rPr>
          <w:rFonts w:ascii="Baskerville" w:hAnsi="Baskerville"/>
          <w:lang w:val="en-US"/>
        </w:rPr>
        <w:t>However, t</w:t>
      </w:r>
      <w:r w:rsidR="00E0699F" w:rsidRPr="00D1533F">
        <w:rPr>
          <w:rFonts w:ascii="Baskerville" w:hAnsi="Baskerville"/>
          <w:lang w:val="en-US"/>
        </w:rPr>
        <w:t>he Red List</w:t>
      </w:r>
      <w:r w:rsidR="00D1533F" w:rsidRPr="00D1533F">
        <w:rPr>
          <w:rFonts w:ascii="Baskerville" w:hAnsi="Baskerville"/>
          <w:lang w:val="en-US"/>
        </w:rPr>
        <w:t xml:space="preserve"> omits</w:t>
      </w:r>
      <w:r w:rsidR="00E0699F" w:rsidRPr="00D1533F">
        <w:rPr>
          <w:rFonts w:ascii="Baskerville" w:hAnsi="Baskerville"/>
          <w:lang w:val="en-US"/>
        </w:rPr>
        <w:t xml:space="preserve"> two substances with </w:t>
      </w:r>
      <w:r w:rsidR="00D1533F" w:rsidRPr="00D1533F">
        <w:rPr>
          <w:rFonts w:ascii="Baskerville" w:hAnsi="Baskerville"/>
          <w:lang w:val="en-US"/>
        </w:rPr>
        <w:t xml:space="preserve">higher </w:t>
      </w:r>
      <w:r w:rsidR="00E0699F" w:rsidRPr="00D1533F">
        <w:rPr>
          <w:rFonts w:ascii="Baskerville" w:hAnsi="Baskerville"/>
          <w:lang w:val="en-US"/>
        </w:rPr>
        <w:t xml:space="preserve">levels of toxicity than most of the listed substances: </w:t>
      </w:r>
      <w:r w:rsidR="00D1533F" w:rsidRPr="00D1533F">
        <w:rPr>
          <w:rFonts w:ascii="Baskerville" w:hAnsi="Baskerville"/>
          <w:lang w:val="en-US"/>
        </w:rPr>
        <w:t>‘</w:t>
      </w:r>
      <w:r w:rsidR="00E0699F" w:rsidRPr="00D1533F">
        <w:rPr>
          <w:rFonts w:ascii="Baskerville" w:hAnsi="Baskerville"/>
          <w:lang w:val="en-US"/>
        </w:rPr>
        <w:t>carbo</w:t>
      </w:r>
      <w:r w:rsidR="007566BB" w:rsidRPr="00D1533F">
        <w:rPr>
          <w:rFonts w:ascii="Baskerville" w:hAnsi="Baskerville"/>
          <w:lang w:val="en-US"/>
        </w:rPr>
        <w:t>n tetrachloride and chloroform</w:t>
      </w:r>
      <w:r w:rsidR="00D1533F" w:rsidRPr="00D1533F">
        <w:rPr>
          <w:rFonts w:ascii="Baskerville" w:hAnsi="Baskerville"/>
          <w:lang w:val="en-US"/>
        </w:rPr>
        <w:t>’</w:t>
      </w:r>
      <w:r w:rsidR="007566BB" w:rsidRPr="00D1533F">
        <w:rPr>
          <w:rFonts w:ascii="Baskerville" w:hAnsi="Baskerville"/>
          <w:lang w:val="en-US"/>
        </w:rPr>
        <w:t>.</w:t>
      </w:r>
      <w:r w:rsidR="008C6FD0" w:rsidRPr="00D1533F">
        <w:rPr>
          <w:rStyle w:val="FootnoteReference"/>
          <w:rFonts w:ascii="Baskerville" w:hAnsi="Baskerville"/>
          <w:lang w:val="en-US"/>
        </w:rPr>
        <w:footnoteReference w:id="49"/>
      </w:r>
      <w:r w:rsidR="00E0699F" w:rsidRPr="002E5DB9">
        <w:rPr>
          <w:rFonts w:ascii="Baskerville" w:hAnsi="Baskerville"/>
          <w:color w:val="FF0000"/>
          <w:lang w:val="en-US"/>
        </w:rPr>
        <w:t xml:space="preserve"> </w:t>
      </w:r>
      <w:r w:rsidR="00E0699F" w:rsidRPr="00C70E9C">
        <w:rPr>
          <w:rFonts w:ascii="Baskerville" w:hAnsi="Baskerville"/>
          <w:lang w:val="en-US"/>
        </w:rPr>
        <w:t xml:space="preserve">The </w:t>
      </w:r>
      <w:r w:rsidR="003F17F3" w:rsidRPr="00C70E9C">
        <w:rPr>
          <w:rFonts w:ascii="Baskerville" w:hAnsi="Baskerville"/>
          <w:lang w:val="en-US"/>
        </w:rPr>
        <w:t>limited controls</w:t>
      </w:r>
      <w:r w:rsidR="00E0699F" w:rsidRPr="00C70E9C">
        <w:rPr>
          <w:rFonts w:ascii="Baskerville" w:hAnsi="Baskerville"/>
          <w:lang w:val="en-US"/>
        </w:rPr>
        <w:t xml:space="preserve"> on these substances and the </w:t>
      </w:r>
      <w:r w:rsidR="003F17F3" w:rsidRPr="00C70E9C">
        <w:rPr>
          <w:rFonts w:ascii="Baskerville" w:hAnsi="Baskerville"/>
          <w:lang w:val="en-US"/>
        </w:rPr>
        <w:t>foundations</w:t>
      </w:r>
      <w:r w:rsidR="00E0699F" w:rsidRPr="00C70E9C">
        <w:rPr>
          <w:rFonts w:ascii="Baskerville" w:hAnsi="Baskerville"/>
          <w:lang w:val="en-US"/>
        </w:rPr>
        <w:t xml:space="preserve"> of the Red List itself are </w:t>
      </w:r>
      <w:r w:rsidR="003F17F3" w:rsidRPr="00C70E9C">
        <w:rPr>
          <w:rFonts w:ascii="Baskerville" w:hAnsi="Baskerville"/>
          <w:lang w:val="en-US"/>
        </w:rPr>
        <w:t xml:space="preserve">‘both </w:t>
      </w:r>
      <w:r w:rsidR="00E0699F" w:rsidRPr="00C70E9C">
        <w:rPr>
          <w:rFonts w:ascii="Baskerville" w:hAnsi="Baskerville"/>
          <w:lang w:val="en-US"/>
        </w:rPr>
        <w:t>entirely inconsistent with a precautionary approach</w:t>
      </w:r>
      <w:r w:rsidR="003F17F3" w:rsidRPr="00C70E9C">
        <w:rPr>
          <w:rFonts w:ascii="Baskerville" w:hAnsi="Baskerville"/>
          <w:lang w:val="en-US"/>
        </w:rPr>
        <w:t>’</w:t>
      </w:r>
      <w:r w:rsidR="00E0699F" w:rsidRPr="00C70E9C">
        <w:rPr>
          <w:rFonts w:ascii="Baskerville" w:hAnsi="Baskerville"/>
          <w:lang w:val="en-US"/>
        </w:rPr>
        <w:t>.</w:t>
      </w:r>
      <w:r w:rsidR="003F17F3" w:rsidRPr="00C70E9C">
        <w:rPr>
          <w:rStyle w:val="FootnoteReference"/>
          <w:rFonts w:ascii="Baskerville" w:hAnsi="Baskerville"/>
          <w:lang w:val="en-US"/>
        </w:rPr>
        <w:footnoteReference w:id="50"/>
      </w:r>
      <w:r w:rsidR="00E0699F" w:rsidRPr="002E5DB9">
        <w:rPr>
          <w:rFonts w:ascii="Baskerville" w:hAnsi="Baskerville"/>
          <w:color w:val="FF0000"/>
          <w:lang w:val="en-US"/>
        </w:rPr>
        <w:t xml:space="preserve"> </w:t>
      </w:r>
    </w:p>
    <w:p w14:paraId="0C32002B" w14:textId="77777777" w:rsidR="00C70E9C" w:rsidRDefault="00C70E9C" w:rsidP="00495E7F">
      <w:pPr>
        <w:rPr>
          <w:rFonts w:ascii="Baskerville" w:hAnsi="Baskerville"/>
          <w:color w:val="FF0000"/>
          <w:lang w:val="en-US"/>
        </w:rPr>
      </w:pPr>
    </w:p>
    <w:p w14:paraId="2D5CB578" w14:textId="77777777" w:rsidR="007D0000" w:rsidRPr="009A1D56" w:rsidRDefault="007D0000" w:rsidP="00495E7F">
      <w:pPr>
        <w:rPr>
          <w:rFonts w:ascii="Baskerville" w:hAnsi="Baskerville"/>
          <w:b/>
          <w:u w:val="single"/>
          <w:lang w:val="en-US"/>
        </w:rPr>
      </w:pPr>
      <w:r w:rsidRPr="009A1D56">
        <w:rPr>
          <w:rFonts w:ascii="Baskerville" w:hAnsi="Baskerville"/>
          <w:b/>
          <w:u w:val="single"/>
          <w:lang w:val="en-US"/>
        </w:rPr>
        <w:t>The United States</w:t>
      </w:r>
    </w:p>
    <w:p w14:paraId="20ED1BB8" w14:textId="77777777" w:rsidR="007D0000" w:rsidRPr="009A1D56" w:rsidRDefault="007D0000" w:rsidP="00495E7F">
      <w:pPr>
        <w:rPr>
          <w:rFonts w:ascii="Baskerville" w:hAnsi="Baskerville"/>
          <w:b/>
          <w:u w:val="single"/>
          <w:lang w:val="en-US"/>
        </w:rPr>
      </w:pPr>
    </w:p>
    <w:p w14:paraId="5AA3B5EC" w14:textId="4DE4BDE6" w:rsidR="007D0000" w:rsidRPr="007D0000" w:rsidRDefault="009A1D56" w:rsidP="007D0000">
      <w:pPr>
        <w:rPr>
          <w:rFonts w:ascii="Baskerville" w:hAnsi="Baskerville"/>
          <w:color w:val="FF0000"/>
          <w:lang w:val="en-US"/>
        </w:rPr>
      </w:pPr>
      <w:r w:rsidRPr="009A1D56">
        <w:rPr>
          <w:rFonts w:ascii="Baskerville" w:hAnsi="Baskerville"/>
          <w:lang w:val="en-US"/>
        </w:rPr>
        <w:t xml:space="preserve">The United States has </w:t>
      </w:r>
      <w:r w:rsidR="007D0000" w:rsidRPr="009A1D56">
        <w:rPr>
          <w:rFonts w:ascii="Baskerville" w:hAnsi="Baskerville"/>
          <w:lang w:val="en-US"/>
        </w:rPr>
        <w:t xml:space="preserve">demonstrated </w:t>
      </w:r>
      <w:r w:rsidRPr="009A1D56">
        <w:rPr>
          <w:rFonts w:ascii="Baskerville" w:hAnsi="Baskerville"/>
          <w:lang w:val="en-US"/>
        </w:rPr>
        <w:t>through</w:t>
      </w:r>
      <w:r w:rsidR="007D0000" w:rsidRPr="009A1D56">
        <w:rPr>
          <w:rFonts w:ascii="Baskerville" w:hAnsi="Baskerville"/>
          <w:lang w:val="en-US"/>
        </w:rPr>
        <w:t xml:space="preserve"> its strong opposition to the precautionary principle at the Bergen Conference</w:t>
      </w:r>
      <w:r w:rsidR="00760DCB" w:rsidRPr="009A1D56">
        <w:rPr>
          <w:rStyle w:val="FootnoteReference"/>
          <w:rFonts w:ascii="Baskerville" w:hAnsi="Baskerville"/>
          <w:lang w:val="en-US"/>
        </w:rPr>
        <w:footnoteReference w:id="51"/>
      </w:r>
      <w:r w:rsidR="007D0000" w:rsidRPr="009A1D56">
        <w:rPr>
          <w:rFonts w:ascii="Baskerville" w:hAnsi="Baskerville"/>
          <w:lang w:val="en-US"/>
        </w:rPr>
        <w:t xml:space="preserve"> and again at the Second World Climate Conference</w:t>
      </w:r>
      <w:r w:rsidR="0051339F" w:rsidRPr="009A1D56">
        <w:rPr>
          <w:rStyle w:val="FootnoteReference"/>
          <w:rFonts w:ascii="Baskerville" w:hAnsi="Baskerville"/>
          <w:lang w:val="en-US"/>
        </w:rPr>
        <w:footnoteReference w:id="52"/>
      </w:r>
      <w:r w:rsidR="007D0000" w:rsidRPr="009A1D56">
        <w:rPr>
          <w:rFonts w:ascii="Baskerville" w:hAnsi="Baskerville"/>
          <w:lang w:val="en-US"/>
        </w:rPr>
        <w:t xml:space="preserve"> </w:t>
      </w:r>
      <w:r w:rsidRPr="009A1D56">
        <w:rPr>
          <w:rFonts w:ascii="Baskerville" w:hAnsi="Baskerville"/>
          <w:lang w:val="en-US"/>
        </w:rPr>
        <w:t>that it resists</w:t>
      </w:r>
      <w:r w:rsidR="007D0000" w:rsidRPr="009A1D56">
        <w:rPr>
          <w:rFonts w:ascii="Baskerville" w:hAnsi="Baskerville"/>
          <w:lang w:val="en-US"/>
        </w:rPr>
        <w:t xml:space="preserve"> </w:t>
      </w:r>
      <w:r w:rsidRPr="009A1D56">
        <w:rPr>
          <w:rFonts w:ascii="Baskerville" w:hAnsi="Baskerville"/>
          <w:lang w:val="en-US"/>
        </w:rPr>
        <w:t>accepting</w:t>
      </w:r>
      <w:r w:rsidR="007D0000" w:rsidRPr="009A1D56">
        <w:rPr>
          <w:rFonts w:ascii="Baskerville" w:hAnsi="Baskerville"/>
          <w:lang w:val="en-US"/>
        </w:rPr>
        <w:t xml:space="preserve"> the principle. </w:t>
      </w:r>
      <w:r w:rsidRPr="009A1D56">
        <w:rPr>
          <w:rFonts w:ascii="Baskerville" w:hAnsi="Baskerville"/>
          <w:lang w:val="en-US"/>
        </w:rPr>
        <w:t>In its place</w:t>
      </w:r>
      <w:r w:rsidR="007D0000" w:rsidRPr="009A1D56">
        <w:rPr>
          <w:rFonts w:ascii="Baskerville" w:hAnsi="Baskerville"/>
          <w:lang w:val="en-US"/>
        </w:rPr>
        <w:t>, U.S. policy toward</w:t>
      </w:r>
      <w:r w:rsidRPr="009A1D56">
        <w:rPr>
          <w:rFonts w:ascii="Baskerville" w:hAnsi="Baskerville"/>
          <w:lang w:val="en-US"/>
        </w:rPr>
        <w:t>s</w:t>
      </w:r>
      <w:r w:rsidR="007D0000" w:rsidRPr="009A1D56">
        <w:rPr>
          <w:rFonts w:ascii="Baskerville" w:hAnsi="Baskerville"/>
          <w:lang w:val="en-US"/>
        </w:rPr>
        <w:t xml:space="preserve"> climate change</w:t>
      </w:r>
      <w:r w:rsidRPr="009A1D56">
        <w:rPr>
          <w:rFonts w:ascii="Baskerville" w:hAnsi="Baskerville"/>
          <w:lang w:val="en-US"/>
        </w:rPr>
        <w:t xml:space="preserve">, </w:t>
      </w:r>
      <w:r w:rsidR="007D0000" w:rsidRPr="009A1D56">
        <w:rPr>
          <w:rFonts w:ascii="Baskerville" w:hAnsi="Baskerville"/>
          <w:lang w:val="en-US"/>
        </w:rPr>
        <w:t xml:space="preserve">and other environmental problems </w:t>
      </w:r>
      <w:r w:rsidRPr="009A1D56">
        <w:rPr>
          <w:rFonts w:ascii="Baskerville" w:hAnsi="Baskerville"/>
          <w:lang w:val="en-US"/>
        </w:rPr>
        <w:t>with an</w:t>
      </w:r>
      <w:r w:rsidR="007D0000" w:rsidRPr="009A1D56">
        <w:rPr>
          <w:rFonts w:ascii="Baskerville" w:hAnsi="Baskerville"/>
          <w:lang w:val="en-US"/>
        </w:rPr>
        <w:t xml:space="preserve"> uncertain</w:t>
      </w:r>
      <w:r w:rsidRPr="009A1D56">
        <w:rPr>
          <w:rFonts w:ascii="Baskerville" w:hAnsi="Baskerville"/>
          <w:lang w:val="en-US"/>
        </w:rPr>
        <w:t xml:space="preserve"> future,</w:t>
      </w:r>
      <w:r w:rsidR="00021897" w:rsidRPr="009A1D56">
        <w:rPr>
          <w:rFonts w:ascii="Baskerville" w:hAnsi="Baskerville"/>
          <w:lang w:val="en-US"/>
        </w:rPr>
        <w:t xml:space="preserve"> </w:t>
      </w:r>
      <w:r w:rsidR="007D0000" w:rsidRPr="009A1D56">
        <w:rPr>
          <w:rFonts w:ascii="Baskerville" w:hAnsi="Baskerville"/>
          <w:lang w:val="en-US"/>
        </w:rPr>
        <w:t xml:space="preserve">has </w:t>
      </w:r>
      <w:r w:rsidRPr="009A1D56">
        <w:rPr>
          <w:rFonts w:ascii="Baskerville" w:hAnsi="Baskerville"/>
          <w:lang w:val="en-US"/>
        </w:rPr>
        <w:t>become</w:t>
      </w:r>
      <w:r w:rsidR="007D0000" w:rsidRPr="009A1D56">
        <w:rPr>
          <w:rFonts w:ascii="Baskerville" w:hAnsi="Baskerville"/>
          <w:lang w:val="en-US"/>
        </w:rPr>
        <w:t xml:space="preserve"> known as the “no regrets” policy.</w:t>
      </w:r>
      <w:r w:rsidR="007D0000" w:rsidRPr="007D0000">
        <w:rPr>
          <w:rFonts w:ascii="Baskerville" w:hAnsi="Baskerville"/>
          <w:color w:val="FF0000"/>
          <w:lang w:val="en-US"/>
        </w:rPr>
        <w:t xml:space="preserve"> </w:t>
      </w:r>
      <w:r w:rsidRPr="009A1D56">
        <w:rPr>
          <w:rFonts w:ascii="Baskerville" w:hAnsi="Baskerville"/>
          <w:lang w:val="en-US"/>
        </w:rPr>
        <w:t xml:space="preserve">The former US </w:t>
      </w:r>
      <w:r w:rsidR="007D0000" w:rsidRPr="009A1D56">
        <w:rPr>
          <w:rFonts w:ascii="Baskerville" w:hAnsi="Baskerville"/>
          <w:lang w:val="en-US"/>
        </w:rPr>
        <w:t>Secretary of State James Baker</w:t>
      </w:r>
      <w:r w:rsidRPr="009A1D56">
        <w:rPr>
          <w:rFonts w:ascii="Baskerville" w:hAnsi="Baskerville"/>
          <w:lang w:val="en-US"/>
        </w:rPr>
        <w:t xml:space="preserve"> asserted that </w:t>
      </w:r>
      <w:r w:rsidR="007D0000" w:rsidRPr="009A1D56">
        <w:rPr>
          <w:rFonts w:ascii="Baskerville" w:hAnsi="Baskerville"/>
          <w:lang w:val="en-US"/>
        </w:rPr>
        <w:t xml:space="preserve">the “no regrets” policy </w:t>
      </w:r>
      <w:r w:rsidRPr="009A1D56">
        <w:rPr>
          <w:rFonts w:ascii="Baskerville" w:hAnsi="Baskerville"/>
          <w:lang w:val="en-US"/>
        </w:rPr>
        <w:t>enables</w:t>
      </w:r>
      <w:r w:rsidR="007D0000" w:rsidRPr="009A1D56">
        <w:rPr>
          <w:rFonts w:ascii="Baskerville" w:hAnsi="Baskerville"/>
          <w:lang w:val="en-US"/>
        </w:rPr>
        <w:t xml:space="preserve"> the United States </w:t>
      </w:r>
      <w:r w:rsidRPr="009A1D56">
        <w:rPr>
          <w:rFonts w:ascii="Baskerville" w:hAnsi="Baskerville"/>
          <w:lang w:val="en-US"/>
        </w:rPr>
        <w:t>“</w:t>
      </w:r>
      <w:r w:rsidR="007D0000" w:rsidRPr="009A1D56">
        <w:rPr>
          <w:rFonts w:ascii="Baskerville" w:hAnsi="Baskerville"/>
          <w:lang w:val="en-US"/>
        </w:rPr>
        <w:t>to take actions that are fully justified in their own right [that is, make economic sense] and which have the added advantage of coping with greenhouse gases. They</w:t>
      </w:r>
      <w:r w:rsidR="0017352B" w:rsidRPr="009A1D56">
        <w:rPr>
          <w:rFonts w:ascii="Baskerville" w:hAnsi="Baskerville"/>
          <w:lang w:val="en-US"/>
        </w:rPr>
        <w:t>’</w:t>
      </w:r>
      <w:r w:rsidR="007D0000" w:rsidRPr="009A1D56">
        <w:rPr>
          <w:rFonts w:ascii="Baskerville" w:hAnsi="Baskerville"/>
          <w:lang w:val="en-US"/>
        </w:rPr>
        <w:t>re precisely the policies we will never have cause to regret”.</w:t>
      </w:r>
      <w:r w:rsidR="0051339F" w:rsidRPr="009A1D56">
        <w:rPr>
          <w:rStyle w:val="FootnoteReference"/>
          <w:rFonts w:ascii="Baskerville" w:hAnsi="Baskerville"/>
          <w:lang w:val="en-US"/>
        </w:rPr>
        <w:footnoteReference w:id="53"/>
      </w:r>
    </w:p>
    <w:p w14:paraId="434D2CD9" w14:textId="77777777" w:rsidR="007D0000" w:rsidRPr="007D0000" w:rsidRDefault="007D0000" w:rsidP="00495E7F">
      <w:pPr>
        <w:rPr>
          <w:rFonts w:ascii="Baskerville" w:hAnsi="Baskerville"/>
          <w:color w:val="FF0000"/>
          <w:lang w:val="en-US"/>
        </w:rPr>
      </w:pPr>
    </w:p>
    <w:p w14:paraId="591229DD" w14:textId="58AA8640" w:rsidR="00495E7F" w:rsidRPr="00F210B8" w:rsidRDefault="00495E7F" w:rsidP="00495E7F">
      <w:pPr>
        <w:rPr>
          <w:rFonts w:ascii="Baskerville" w:hAnsi="Baskerville"/>
          <w:b/>
          <w:u w:val="single"/>
          <w:lang w:val="en-US"/>
        </w:rPr>
      </w:pPr>
      <w:r w:rsidRPr="00F210B8">
        <w:rPr>
          <w:rFonts w:ascii="Baskerville" w:hAnsi="Baskerville"/>
          <w:b/>
          <w:u w:val="single"/>
          <w:lang w:val="en-US"/>
        </w:rPr>
        <w:t>Developments in EU Law</w:t>
      </w:r>
    </w:p>
    <w:p w14:paraId="6DDD2CF2" w14:textId="77777777" w:rsidR="00495E7F" w:rsidRDefault="00495E7F" w:rsidP="00E0699F">
      <w:pPr>
        <w:rPr>
          <w:rFonts w:ascii="Baskerville" w:hAnsi="Baskerville"/>
          <w:color w:val="FF0000"/>
          <w:lang w:val="en-US"/>
        </w:rPr>
      </w:pPr>
    </w:p>
    <w:p w14:paraId="37DAA607" w14:textId="55124ED5" w:rsidR="00920A91" w:rsidRDefault="00920A91" w:rsidP="00920A91">
      <w:pPr>
        <w:rPr>
          <w:rFonts w:ascii="Baskerville" w:hAnsi="Baskerville"/>
          <w:color w:val="FF0000"/>
          <w:lang w:val="en-US"/>
        </w:rPr>
      </w:pPr>
      <w:r w:rsidRPr="004006FD">
        <w:rPr>
          <w:rFonts w:ascii="Baskerville" w:hAnsi="Baskerville"/>
          <w:lang w:val="en-US"/>
        </w:rPr>
        <w:t>The Treaty of Rome</w:t>
      </w:r>
      <w:r w:rsidR="005A5701" w:rsidRPr="004006FD">
        <w:rPr>
          <w:rFonts w:ascii="Baskerville" w:hAnsi="Baskerville"/>
          <w:lang w:val="en-US"/>
        </w:rPr>
        <w:t>,</w:t>
      </w:r>
      <w:r w:rsidR="00495E7F" w:rsidRPr="004006FD">
        <w:rPr>
          <w:rFonts w:ascii="Baskerville" w:hAnsi="Baskerville"/>
          <w:lang w:val="en-US"/>
        </w:rPr>
        <w:t xml:space="preserve"> </w:t>
      </w:r>
      <w:r w:rsidR="005A5701" w:rsidRPr="004006FD">
        <w:rPr>
          <w:rFonts w:ascii="Baskerville" w:hAnsi="Baskerville"/>
          <w:lang w:val="en-US"/>
        </w:rPr>
        <w:t>which established</w:t>
      </w:r>
      <w:r w:rsidRPr="004006FD">
        <w:rPr>
          <w:rFonts w:ascii="Baskerville" w:hAnsi="Baskerville"/>
          <w:lang w:val="en-US"/>
        </w:rPr>
        <w:t xml:space="preserve"> the </w:t>
      </w:r>
      <w:r w:rsidR="00495E7F" w:rsidRPr="004006FD">
        <w:rPr>
          <w:rFonts w:ascii="Baskerville" w:hAnsi="Baskerville"/>
          <w:lang w:val="en-US"/>
        </w:rPr>
        <w:t>EU</w:t>
      </w:r>
      <w:r w:rsidR="005A5701" w:rsidRPr="004006FD">
        <w:rPr>
          <w:rFonts w:ascii="Baskerville" w:hAnsi="Baskerville"/>
          <w:lang w:val="en-US"/>
        </w:rPr>
        <w:t xml:space="preserve"> (then EEC) in 1957</w:t>
      </w:r>
      <w:r w:rsidRPr="004006FD">
        <w:rPr>
          <w:rFonts w:ascii="Baskerville" w:hAnsi="Baskerville"/>
          <w:lang w:val="en-US"/>
        </w:rPr>
        <w:t>, provide</w:t>
      </w:r>
      <w:r w:rsidR="005A5701" w:rsidRPr="004006FD">
        <w:rPr>
          <w:rFonts w:ascii="Baskerville" w:hAnsi="Baskerville"/>
          <w:lang w:val="en-US"/>
        </w:rPr>
        <w:t>d</w:t>
      </w:r>
      <w:r w:rsidRPr="004006FD">
        <w:rPr>
          <w:rFonts w:ascii="Baskerville" w:hAnsi="Baskerville"/>
          <w:lang w:val="en-US"/>
        </w:rPr>
        <w:t xml:space="preserve"> for preventative action by the Community for environmental protection. </w:t>
      </w:r>
      <w:r w:rsidRPr="00130AB3">
        <w:rPr>
          <w:rFonts w:ascii="Baskerville" w:hAnsi="Baskerville"/>
          <w:lang w:val="en-US"/>
        </w:rPr>
        <w:t xml:space="preserve">Article 130r, introduced by the Single European Act (SEA), </w:t>
      </w:r>
      <w:r w:rsidR="00130AB3" w:rsidRPr="00130AB3">
        <w:rPr>
          <w:rFonts w:ascii="Baskerville" w:hAnsi="Baskerville"/>
          <w:lang w:val="en-US"/>
        </w:rPr>
        <w:t>demands</w:t>
      </w:r>
      <w:r w:rsidRPr="00130AB3">
        <w:rPr>
          <w:rFonts w:ascii="Baskerville" w:hAnsi="Baskerville"/>
          <w:lang w:val="en-US"/>
        </w:rPr>
        <w:t xml:space="preserve"> that actions </w:t>
      </w:r>
      <w:r w:rsidR="00130AB3" w:rsidRPr="00130AB3">
        <w:rPr>
          <w:rFonts w:ascii="Baskerville" w:hAnsi="Baskerville"/>
          <w:lang w:val="en-US"/>
        </w:rPr>
        <w:t xml:space="preserve">taken </w:t>
      </w:r>
      <w:r w:rsidRPr="00130AB3">
        <w:rPr>
          <w:rFonts w:ascii="Baskerville" w:hAnsi="Baskerville"/>
          <w:lang w:val="en-US"/>
        </w:rPr>
        <w:t xml:space="preserve">by the </w:t>
      </w:r>
      <w:r w:rsidR="00130AB3" w:rsidRPr="00130AB3">
        <w:rPr>
          <w:rFonts w:ascii="Baskerville" w:hAnsi="Baskerville"/>
          <w:lang w:val="en-US"/>
        </w:rPr>
        <w:t>EU</w:t>
      </w:r>
      <w:r w:rsidRPr="00130AB3">
        <w:rPr>
          <w:rFonts w:ascii="Baskerville" w:hAnsi="Baskerville"/>
          <w:lang w:val="en-US"/>
        </w:rPr>
        <w:t xml:space="preserve"> </w:t>
      </w:r>
      <w:r w:rsidR="00130AB3" w:rsidRPr="00130AB3">
        <w:rPr>
          <w:rFonts w:ascii="Baskerville" w:hAnsi="Baskerville"/>
          <w:lang w:val="en-US"/>
        </w:rPr>
        <w:t>regarding</w:t>
      </w:r>
      <w:r w:rsidRPr="00130AB3">
        <w:rPr>
          <w:rFonts w:ascii="Baskerville" w:hAnsi="Baskerville"/>
          <w:lang w:val="en-US"/>
        </w:rPr>
        <w:t xml:space="preserve"> the environment </w:t>
      </w:r>
      <w:r w:rsidR="00130AB3" w:rsidRPr="00130AB3">
        <w:rPr>
          <w:rFonts w:ascii="Baskerville" w:hAnsi="Baskerville"/>
          <w:lang w:val="en-US"/>
        </w:rPr>
        <w:t xml:space="preserve">ought to </w:t>
      </w:r>
      <w:r w:rsidRPr="00130AB3">
        <w:rPr>
          <w:rFonts w:ascii="Baskerville" w:hAnsi="Baskerville"/>
          <w:lang w:val="en-US"/>
        </w:rPr>
        <w:t xml:space="preserve">be based on the principle that preventative action should be taken, that environmental damage should be </w:t>
      </w:r>
      <w:r w:rsidR="00130AB3" w:rsidRPr="00130AB3">
        <w:rPr>
          <w:rFonts w:ascii="Baskerville" w:hAnsi="Baskerville"/>
          <w:lang w:val="en-US"/>
        </w:rPr>
        <w:t>corrected</w:t>
      </w:r>
      <w:r w:rsidRPr="00130AB3">
        <w:rPr>
          <w:rFonts w:ascii="Baskerville" w:hAnsi="Baskerville"/>
          <w:lang w:val="en-US"/>
        </w:rPr>
        <w:t xml:space="preserve"> at </w:t>
      </w:r>
      <w:r w:rsidR="00130AB3" w:rsidRPr="00130AB3">
        <w:rPr>
          <w:rFonts w:ascii="Baskerville" w:hAnsi="Baskerville"/>
          <w:lang w:val="en-US"/>
        </w:rPr>
        <w:t xml:space="preserve">its </w:t>
      </w:r>
      <w:r w:rsidRPr="00130AB3">
        <w:rPr>
          <w:rFonts w:ascii="Baskerville" w:hAnsi="Baskerville"/>
          <w:lang w:val="en-US"/>
        </w:rPr>
        <w:t xml:space="preserve">source, and that polluters should pay for </w:t>
      </w:r>
      <w:r w:rsidR="00130AB3" w:rsidRPr="00130AB3">
        <w:rPr>
          <w:rFonts w:ascii="Baskerville" w:hAnsi="Baskerville"/>
          <w:lang w:val="en-US"/>
        </w:rPr>
        <w:t xml:space="preserve">the </w:t>
      </w:r>
      <w:r w:rsidRPr="00130AB3">
        <w:rPr>
          <w:rFonts w:ascii="Baskerville" w:hAnsi="Baskerville"/>
          <w:lang w:val="en-US"/>
        </w:rPr>
        <w:t xml:space="preserve">environmental </w:t>
      </w:r>
      <w:r w:rsidR="00130AB3" w:rsidRPr="00130AB3">
        <w:rPr>
          <w:rFonts w:ascii="Baskerville" w:hAnsi="Baskerville"/>
          <w:lang w:val="en-US"/>
        </w:rPr>
        <w:t>harm they caused</w:t>
      </w:r>
      <w:r w:rsidRPr="00130AB3">
        <w:rPr>
          <w:rFonts w:ascii="Baskerville" w:hAnsi="Baskerville"/>
          <w:lang w:val="en-US"/>
        </w:rPr>
        <w:t>.</w:t>
      </w:r>
      <w:r w:rsidR="0093547B" w:rsidRPr="00130AB3">
        <w:rPr>
          <w:rStyle w:val="FootnoteReference"/>
          <w:rFonts w:ascii="Baskerville" w:hAnsi="Baskerville"/>
          <w:lang w:val="en-US"/>
        </w:rPr>
        <w:footnoteReference w:id="54"/>
      </w:r>
      <w:r w:rsidRPr="00130AB3">
        <w:rPr>
          <w:rFonts w:ascii="Baskerville" w:hAnsi="Baskerville"/>
          <w:lang w:val="en-US"/>
        </w:rPr>
        <w:t xml:space="preserve"> </w:t>
      </w:r>
      <w:r w:rsidR="00130AB3" w:rsidRPr="00130AB3">
        <w:rPr>
          <w:rFonts w:ascii="Baskerville" w:hAnsi="Baskerville"/>
          <w:lang w:val="en-US"/>
        </w:rPr>
        <w:t>The European</w:t>
      </w:r>
      <w:r w:rsidRPr="00130AB3">
        <w:rPr>
          <w:rFonts w:ascii="Baskerville" w:hAnsi="Baskerville"/>
          <w:lang w:val="en-US"/>
        </w:rPr>
        <w:t xml:space="preserve"> Commission </w:t>
      </w:r>
      <w:r w:rsidR="00130AB3" w:rsidRPr="00130AB3">
        <w:rPr>
          <w:rFonts w:ascii="Baskerville" w:hAnsi="Baskerville"/>
          <w:lang w:val="en-US"/>
        </w:rPr>
        <w:t>distinguishes</w:t>
      </w:r>
      <w:r w:rsidRPr="00130AB3">
        <w:rPr>
          <w:rFonts w:ascii="Baskerville" w:hAnsi="Baskerville"/>
          <w:lang w:val="en-US"/>
        </w:rPr>
        <w:t xml:space="preserve"> “preventative action” from “precautionary action”.</w:t>
      </w:r>
      <w:r w:rsidR="00D75DBD" w:rsidRPr="00130AB3">
        <w:rPr>
          <w:rStyle w:val="FootnoteReference"/>
          <w:rFonts w:ascii="Baskerville" w:hAnsi="Baskerville"/>
          <w:lang w:val="en-US"/>
        </w:rPr>
        <w:footnoteReference w:id="55"/>
      </w:r>
      <w:r w:rsidRPr="00920A91">
        <w:rPr>
          <w:rFonts w:ascii="Baskerville" w:hAnsi="Baskerville"/>
          <w:color w:val="FF0000"/>
          <w:lang w:val="en-US"/>
        </w:rPr>
        <w:t xml:space="preserve"> </w:t>
      </w:r>
      <w:r w:rsidRPr="00130AB3">
        <w:rPr>
          <w:rFonts w:ascii="Baskerville" w:hAnsi="Baskerville"/>
          <w:lang w:val="en-US"/>
        </w:rPr>
        <w:t>This is because precautionary action</w:t>
      </w:r>
      <w:r w:rsidR="00130AB3" w:rsidRPr="00130AB3">
        <w:rPr>
          <w:rFonts w:ascii="Baskerville" w:hAnsi="Baskerville"/>
          <w:lang w:val="en-US"/>
        </w:rPr>
        <w:t xml:space="preserve"> entails</w:t>
      </w:r>
      <w:r w:rsidRPr="00130AB3">
        <w:rPr>
          <w:rFonts w:ascii="Baskerville" w:hAnsi="Baskerville"/>
          <w:lang w:val="en-US"/>
        </w:rPr>
        <w:t xml:space="preserve"> some shift in the burden of proof,</w:t>
      </w:r>
      <w:r w:rsidRPr="00920A91">
        <w:rPr>
          <w:rFonts w:ascii="Baskerville" w:hAnsi="Baskerville"/>
          <w:color w:val="FF0000"/>
          <w:lang w:val="en-US"/>
        </w:rPr>
        <w:t xml:space="preserve"> </w:t>
      </w:r>
      <w:r w:rsidRPr="00130AB3">
        <w:rPr>
          <w:rFonts w:ascii="Baskerville" w:hAnsi="Baskerville"/>
          <w:lang w:val="en-US"/>
        </w:rPr>
        <w:t xml:space="preserve">towards </w:t>
      </w:r>
      <w:r w:rsidR="00130AB3" w:rsidRPr="00130AB3">
        <w:rPr>
          <w:rFonts w:ascii="Baskerville" w:hAnsi="Baskerville"/>
          <w:lang w:val="en-US"/>
        </w:rPr>
        <w:t>potential polluters</w:t>
      </w:r>
      <w:r w:rsidRPr="00130AB3">
        <w:rPr>
          <w:rFonts w:ascii="Baskerville" w:hAnsi="Baskerville"/>
          <w:lang w:val="en-US"/>
        </w:rPr>
        <w:t>,</w:t>
      </w:r>
      <w:r w:rsidRPr="00920A91">
        <w:rPr>
          <w:rFonts w:ascii="Baskerville" w:hAnsi="Baskerville"/>
          <w:color w:val="FF0000"/>
          <w:lang w:val="en-US"/>
        </w:rPr>
        <w:t xml:space="preserve"> </w:t>
      </w:r>
      <w:r w:rsidRPr="00130AB3">
        <w:rPr>
          <w:rFonts w:ascii="Baskerville" w:hAnsi="Baskerville"/>
          <w:lang w:val="en-US"/>
        </w:rPr>
        <w:t xml:space="preserve">of </w:t>
      </w:r>
      <w:r w:rsidR="00130AB3" w:rsidRPr="00130AB3">
        <w:rPr>
          <w:rFonts w:ascii="Baskerville" w:hAnsi="Baskerville"/>
          <w:lang w:val="en-US"/>
        </w:rPr>
        <w:t>signifying</w:t>
      </w:r>
      <w:r w:rsidRPr="00130AB3">
        <w:rPr>
          <w:rFonts w:ascii="Baskerville" w:hAnsi="Baskerville"/>
          <w:lang w:val="en-US"/>
        </w:rPr>
        <w:t xml:space="preserve"> that pollution is not serious </w:t>
      </w:r>
      <w:r w:rsidR="00130AB3" w:rsidRPr="00130AB3">
        <w:rPr>
          <w:rFonts w:ascii="Baskerville" w:hAnsi="Baskerville"/>
          <w:lang w:val="en-US"/>
        </w:rPr>
        <w:t xml:space="preserve">enough </w:t>
      </w:r>
      <w:r w:rsidRPr="00130AB3">
        <w:rPr>
          <w:rFonts w:ascii="Baskerville" w:hAnsi="Baskerville"/>
          <w:lang w:val="en-US"/>
        </w:rPr>
        <w:t xml:space="preserve">or likely to cause </w:t>
      </w:r>
      <w:r w:rsidR="00130AB3" w:rsidRPr="00130AB3">
        <w:rPr>
          <w:rFonts w:ascii="Baskerville" w:hAnsi="Baskerville"/>
          <w:lang w:val="en-US"/>
        </w:rPr>
        <w:t>irreparable</w:t>
      </w:r>
      <w:r w:rsidRPr="00130AB3">
        <w:rPr>
          <w:rFonts w:ascii="Baskerville" w:hAnsi="Baskerville"/>
          <w:lang w:val="en-US"/>
        </w:rPr>
        <w:t xml:space="preserve"> harm.</w:t>
      </w:r>
      <w:r w:rsidR="00A445DB">
        <w:rPr>
          <w:rStyle w:val="FootnoteReference"/>
          <w:rFonts w:ascii="Baskerville" w:hAnsi="Baskerville"/>
          <w:lang w:val="en-US"/>
        </w:rPr>
        <w:footnoteReference w:id="56"/>
      </w:r>
      <w:r w:rsidRPr="00920A91">
        <w:rPr>
          <w:rFonts w:ascii="Baskerville" w:hAnsi="Baskerville"/>
          <w:color w:val="FF0000"/>
          <w:lang w:val="en-US"/>
        </w:rPr>
        <w:t xml:space="preserve"> </w:t>
      </w:r>
      <w:r w:rsidR="00D75DBD" w:rsidRPr="005A5701">
        <w:rPr>
          <w:rFonts w:ascii="Baskerville" w:hAnsi="Baskerville"/>
          <w:lang w:val="en-US"/>
        </w:rPr>
        <w:t>“</w:t>
      </w:r>
      <w:r w:rsidRPr="005A5701">
        <w:rPr>
          <w:rFonts w:ascii="Baskerville" w:hAnsi="Baskerville"/>
          <w:lang w:val="en-US"/>
        </w:rPr>
        <w:t>Preventative</w:t>
      </w:r>
      <w:r w:rsidR="00D75DBD" w:rsidRPr="005A5701">
        <w:rPr>
          <w:rFonts w:ascii="Baskerville" w:hAnsi="Baskerville"/>
          <w:lang w:val="en-US"/>
        </w:rPr>
        <w:t>”</w:t>
      </w:r>
      <w:r w:rsidRPr="005A5701">
        <w:rPr>
          <w:rFonts w:ascii="Baskerville" w:hAnsi="Baskerville"/>
          <w:lang w:val="en-US"/>
        </w:rPr>
        <w:t xml:space="preserve"> is a </w:t>
      </w:r>
      <w:r w:rsidR="005A5701" w:rsidRPr="005A5701">
        <w:rPr>
          <w:rFonts w:ascii="Baskerville" w:hAnsi="Baskerville"/>
          <w:lang w:val="en-US"/>
        </w:rPr>
        <w:t xml:space="preserve">slightly </w:t>
      </w:r>
      <w:r w:rsidRPr="005A5701">
        <w:rPr>
          <w:rFonts w:ascii="Baskerville" w:hAnsi="Baskerville"/>
          <w:lang w:val="en-US"/>
        </w:rPr>
        <w:t>less radical</w:t>
      </w:r>
      <w:r w:rsidR="005A5701" w:rsidRPr="005A5701">
        <w:rPr>
          <w:rFonts w:ascii="Baskerville" w:hAnsi="Baskerville"/>
          <w:lang w:val="en-US"/>
        </w:rPr>
        <w:t xml:space="preserve"> term</w:t>
      </w:r>
      <w:r w:rsidRPr="005A5701">
        <w:rPr>
          <w:rFonts w:ascii="Baskerville" w:hAnsi="Baskerville"/>
          <w:lang w:val="en-US"/>
        </w:rPr>
        <w:t>.</w:t>
      </w:r>
    </w:p>
    <w:p w14:paraId="65E0FF41" w14:textId="77777777" w:rsidR="00920A91" w:rsidRDefault="00920A91" w:rsidP="00920A91">
      <w:pPr>
        <w:rPr>
          <w:rFonts w:ascii="Baskerville" w:hAnsi="Baskerville"/>
          <w:color w:val="FF0000"/>
          <w:lang w:val="en-US"/>
        </w:rPr>
      </w:pPr>
    </w:p>
    <w:p w14:paraId="080C107E" w14:textId="176AE6ED" w:rsidR="00495E7F" w:rsidRPr="00B54164" w:rsidRDefault="00495E7F" w:rsidP="00920A91">
      <w:pPr>
        <w:rPr>
          <w:rFonts w:ascii="Baskerville" w:hAnsi="Baskerville"/>
          <w:b/>
          <w:u w:val="single"/>
          <w:lang w:val="en-US"/>
        </w:rPr>
      </w:pPr>
      <w:r w:rsidRPr="00B54164">
        <w:rPr>
          <w:rFonts w:ascii="Baskerville" w:hAnsi="Baskerville"/>
          <w:b/>
          <w:u w:val="single"/>
          <w:lang w:val="en-US"/>
        </w:rPr>
        <w:t>International Declarations</w:t>
      </w:r>
    </w:p>
    <w:p w14:paraId="51E167DF" w14:textId="77777777" w:rsidR="00495E7F" w:rsidRPr="00495E7F" w:rsidRDefault="00495E7F" w:rsidP="00920A91">
      <w:pPr>
        <w:rPr>
          <w:rFonts w:ascii="Baskerville" w:hAnsi="Baskerville"/>
          <w:b/>
          <w:color w:val="FF0000"/>
          <w:lang w:val="en-US"/>
        </w:rPr>
      </w:pPr>
    </w:p>
    <w:p w14:paraId="2E32AE55" w14:textId="77777777" w:rsidR="00537C5C" w:rsidRPr="00537C5C" w:rsidRDefault="00747095" w:rsidP="00920A91">
      <w:pPr>
        <w:rPr>
          <w:rFonts w:ascii="Baskerville" w:hAnsi="Baskerville"/>
          <w:lang w:val="en-US"/>
        </w:rPr>
      </w:pPr>
      <w:r w:rsidRPr="00537C5C">
        <w:rPr>
          <w:rFonts w:ascii="Baskerville" w:hAnsi="Baskerville"/>
          <w:lang w:val="en-US"/>
        </w:rPr>
        <w:t>The United Nations Environment Program (UNEP) Governing Council has explicitly adopted t</w:t>
      </w:r>
      <w:r w:rsidR="00920A91" w:rsidRPr="00537C5C">
        <w:rPr>
          <w:rFonts w:ascii="Baskerville" w:hAnsi="Baskerville"/>
          <w:lang w:val="en-US"/>
        </w:rPr>
        <w:t>he p</w:t>
      </w:r>
      <w:r w:rsidR="00495E7F" w:rsidRPr="00537C5C">
        <w:rPr>
          <w:rFonts w:ascii="Baskerville" w:hAnsi="Baskerville"/>
          <w:lang w:val="en-US"/>
        </w:rPr>
        <w:t>recautionary principle</w:t>
      </w:r>
      <w:r w:rsidR="00920A91" w:rsidRPr="00537C5C">
        <w:rPr>
          <w:rFonts w:ascii="Baskerville" w:hAnsi="Baskerville"/>
          <w:lang w:val="en-US"/>
        </w:rPr>
        <w:t xml:space="preserve">, </w:t>
      </w:r>
      <w:r w:rsidR="00537C5C" w:rsidRPr="00537C5C">
        <w:rPr>
          <w:rFonts w:ascii="Baskerville" w:hAnsi="Baskerville"/>
          <w:lang w:val="en-US"/>
        </w:rPr>
        <w:t>which is also:</w:t>
      </w:r>
    </w:p>
    <w:p w14:paraId="1264BB46" w14:textId="77777777" w:rsidR="00537C5C" w:rsidRPr="00537C5C" w:rsidRDefault="00537C5C" w:rsidP="00537C5C">
      <w:pPr>
        <w:pStyle w:val="ListParagraph"/>
        <w:numPr>
          <w:ilvl w:val="0"/>
          <w:numId w:val="6"/>
        </w:numPr>
        <w:rPr>
          <w:rFonts w:ascii="Baskerville" w:hAnsi="Baskerville"/>
          <w:lang w:val="en-US"/>
        </w:rPr>
      </w:pPr>
      <w:r w:rsidRPr="00537C5C">
        <w:rPr>
          <w:rFonts w:ascii="Baskerville" w:hAnsi="Baskerville"/>
          <w:lang w:val="en-US"/>
        </w:rPr>
        <w:t>‘</w:t>
      </w:r>
      <w:r w:rsidR="00920A91" w:rsidRPr="00537C5C">
        <w:rPr>
          <w:rFonts w:ascii="Baskerville" w:hAnsi="Baskerville"/>
          <w:lang w:val="en-US"/>
        </w:rPr>
        <w:t xml:space="preserve">accepted implicitly or explicitly by four international declarations on the dumping of waste at sea, </w:t>
      </w:r>
    </w:p>
    <w:p w14:paraId="39E741AD" w14:textId="77777777" w:rsidR="00537C5C" w:rsidRPr="00537C5C" w:rsidRDefault="00920A91" w:rsidP="00537C5C">
      <w:pPr>
        <w:pStyle w:val="ListParagraph"/>
        <w:numPr>
          <w:ilvl w:val="0"/>
          <w:numId w:val="6"/>
        </w:numPr>
        <w:rPr>
          <w:rFonts w:ascii="Baskerville" w:hAnsi="Baskerville"/>
          <w:lang w:val="en-US"/>
        </w:rPr>
      </w:pPr>
      <w:r w:rsidRPr="00537C5C">
        <w:rPr>
          <w:rFonts w:ascii="Baskerville" w:hAnsi="Baskerville"/>
          <w:lang w:val="en-US"/>
        </w:rPr>
        <w:t xml:space="preserve">reaffirmed by the North Sea Conference, and </w:t>
      </w:r>
    </w:p>
    <w:p w14:paraId="68307FA1" w14:textId="754F13F9" w:rsidR="00537C5C" w:rsidRPr="00537C5C" w:rsidRDefault="00920A91" w:rsidP="00537C5C">
      <w:pPr>
        <w:pStyle w:val="ListParagraph"/>
        <w:numPr>
          <w:ilvl w:val="0"/>
          <w:numId w:val="6"/>
        </w:numPr>
        <w:rPr>
          <w:rFonts w:ascii="Baskerville" w:hAnsi="Baskerville"/>
          <w:lang w:val="en-US"/>
        </w:rPr>
      </w:pPr>
      <w:r w:rsidRPr="00537C5C">
        <w:rPr>
          <w:rFonts w:ascii="Baskerville" w:hAnsi="Baskerville"/>
          <w:lang w:val="en-US"/>
        </w:rPr>
        <w:t>referred to in the preamble of the Montreal Protocol</w:t>
      </w:r>
      <w:r w:rsidR="00537C5C" w:rsidRPr="00537C5C">
        <w:rPr>
          <w:rFonts w:ascii="Baskerville" w:hAnsi="Baskerville"/>
          <w:lang w:val="en-US"/>
        </w:rPr>
        <w:t>.’</w:t>
      </w:r>
      <w:r w:rsidR="00537C5C" w:rsidRPr="00537C5C">
        <w:rPr>
          <w:rStyle w:val="FootnoteReference"/>
          <w:rFonts w:ascii="Baskerville" w:hAnsi="Baskerville"/>
          <w:lang w:val="en-US"/>
        </w:rPr>
        <w:footnoteReference w:id="57"/>
      </w:r>
      <w:r w:rsidRPr="00537C5C">
        <w:rPr>
          <w:rFonts w:ascii="Baskerville" w:hAnsi="Baskerville"/>
          <w:lang w:val="en-US"/>
        </w:rPr>
        <w:t xml:space="preserve"> </w:t>
      </w:r>
    </w:p>
    <w:p w14:paraId="02F9228F" w14:textId="6AA601EB" w:rsidR="00C15480" w:rsidRPr="00537C5C" w:rsidRDefault="00537C5C" w:rsidP="00537C5C">
      <w:pPr>
        <w:rPr>
          <w:rFonts w:ascii="Baskerville" w:hAnsi="Baskerville"/>
          <w:lang w:val="en-US"/>
        </w:rPr>
      </w:pPr>
      <w:r w:rsidRPr="00537C5C">
        <w:rPr>
          <w:rFonts w:ascii="Baskerville" w:hAnsi="Baskerville"/>
          <w:lang w:val="en-US"/>
        </w:rPr>
        <w:t>Crucially</w:t>
      </w:r>
      <w:r w:rsidR="00920A91" w:rsidRPr="00537C5C">
        <w:rPr>
          <w:rFonts w:ascii="Baskerville" w:hAnsi="Baskerville"/>
          <w:lang w:val="en-US"/>
        </w:rPr>
        <w:t xml:space="preserve">, the precautionary principle is </w:t>
      </w:r>
      <w:r w:rsidR="002754B0" w:rsidRPr="00537C5C">
        <w:rPr>
          <w:rFonts w:ascii="Baskerville" w:hAnsi="Baskerville"/>
          <w:lang w:val="en-US"/>
        </w:rPr>
        <w:t>evolving</w:t>
      </w:r>
      <w:r w:rsidR="00920A91" w:rsidRPr="00537C5C">
        <w:rPr>
          <w:rFonts w:ascii="Baskerville" w:hAnsi="Baskerville"/>
          <w:lang w:val="en-US"/>
        </w:rPr>
        <w:t xml:space="preserve"> at the ministerial level as </w:t>
      </w:r>
      <w:r w:rsidRPr="00537C5C">
        <w:rPr>
          <w:rFonts w:ascii="Baskerville" w:hAnsi="Baskerville"/>
          <w:lang w:val="en-US"/>
        </w:rPr>
        <w:t>‘</w:t>
      </w:r>
      <w:r w:rsidR="00920A91" w:rsidRPr="00537C5C">
        <w:rPr>
          <w:rFonts w:ascii="Baskerville" w:hAnsi="Baskerville"/>
          <w:lang w:val="en-US"/>
        </w:rPr>
        <w:t>a principle upon which to base policies such as sustainable development.</w:t>
      </w:r>
      <w:r w:rsidRPr="00537C5C">
        <w:rPr>
          <w:rFonts w:ascii="Baskerville" w:hAnsi="Baskerville"/>
          <w:lang w:val="en-US"/>
        </w:rPr>
        <w:t>’</w:t>
      </w:r>
      <w:r w:rsidRPr="00537C5C">
        <w:rPr>
          <w:rStyle w:val="FootnoteReference"/>
          <w:rFonts w:ascii="Baskerville" w:hAnsi="Baskerville"/>
          <w:lang w:val="en-US"/>
        </w:rPr>
        <w:footnoteReference w:id="58"/>
      </w:r>
      <w:r w:rsidR="00920A91" w:rsidRPr="00537C5C">
        <w:rPr>
          <w:rFonts w:ascii="Baskerville" w:hAnsi="Baskerville"/>
          <w:color w:val="FF0000"/>
          <w:lang w:val="en-US"/>
        </w:rPr>
        <w:t xml:space="preserve"> </w:t>
      </w:r>
      <w:r w:rsidR="00920A91" w:rsidRPr="00537C5C">
        <w:rPr>
          <w:rFonts w:ascii="Baskerville" w:hAnsi="Baskerville"/>
          <w:lang w:val="en-US"/>
        </w:rPr>
        <w:t xml:space="preserve">As argued </w:t>
      </w:r>
      <w:r w:rsidR="00BC10E9" w:rsidRPr="00537C5C">
        <w:rPr>
          <w:rFonts w:ascii="Baskerville" w:hAnsi="Baskerville"/>
          <w:lang w:val="en-US"/>
        </w:rPr>
        <w:t>earlier</w:t>
      </w:r>
      <w:r w:rsidR="00920A91" w:rsidRPr="00537C5C">
        <w:rPr>
          <w:rFonts w:ascii="Baskerville" w:hAnsi="Baskerville"/>
          <w:lang w:val="en-US"/>
        </w:rPr>
        <w:t xml:space="preserve">, </w:t>
      </w:r>
      <w:r w:rsidR="00BC10E9" w:rsidRPr="00537C5C">
        <w:rPr>
          <w:rFonts w:ascii="Baskerville" w:hAnsi="Baskerville"/>
          <w:lang w:val="en-US"/>
        </w:rPr>
        <w:t xml:space="preserve">the </w:t>
      </w:r>
      <w:r w:rsidR="00920A91" w:rsidRPr="00537C5C">
        <w:rPr>
          <w:rFonts w:ascii="Baskerville" w:hAnsi="Baskerville"/>
          <w:lang w:val="en-US"/>
        </w:rPr>
        <w:t xml:space="preserve">incorporation of the </w:t>
      </w:r>
      <w:r w:rsidR="008F465A" w:rsidRPr="00537C5C">
        <w:rPr>
          <w:rFonts w:ascii="Baskerville" w:hAnsi="Baskerville"/>
          <w:lang w:val="en-US"/>
        </w:rPr>
        <w:t xml:space="preserve">precautionary </w:t>
      </w:r>
      <w:r w:rsidR="00920A91" w:rsidRPr="00537C5C">
        <w:rPr>
          <w:rFonts w:ascii="Baskerville" w:hAnsi="Baskerville"/>
          <w:lang w:val="en-US"/>
        </w:rPr>
        <w:t xml:space="preserve">principle into the Bergen Conference Ministerial Declaration </w:t>
      </w:r>
      <w:r w:rsidR="00281FC6" w:rsidRPr="00537C5C">
        <w:rPr>
          <w:rFonts w:ascii="Baskerville" w:hAnsi="Baskerville"/>
          <w:lang w:val="en-US"/>
        </w:rPr>
        <w:t xml:space="preserve">is a strong </w:t>
      </w:r>
      <w:r w:rsidR="00920A91" w:rsidRPr="00537C5C">
        <w:rPr>
          <w:rFonts w:ascii="Baskerville" w:hAnsi="Baskerville"/>
          <w:lang w:val="en-US"/>
        </w:rPr>
        <w:t>indicat</w:t>
      </w:r>
      <w:r w:rsidR="00281FC6" w:rsidRPr="00537C5C">
        <w:rPr>
          <w:rFonts w:ascii="Baskerville" w:hAnsi="Baskerville"/>
          <w:lang w:val="en-US"/>
        </w:rPr>
        <w:t>or of</w:t>
      </w:r>
      <w:r w:rsidR="00920A91" w:rsidRPr="00537C5C">
        <w:rPr>
          <w:rFonts w:ascii="Baskerville" w:hAnsi="Baskerville"/>
          <w:lang w:val="en-US"/>
        </w:rPr>
        <w:t xml:space="preserve"> it</w:t>
      </w:r>
      <w:r w:rsidR="00495E7F" w:rsidRPr="00537C5C">
        <w:rPr>
          <w:rFonts w:ascii="Baskerville" w:hAnsi="Baskerville"/>
          <w:lang w:val="en-US"/>
        </w:rPr>
        <w:t xml:space="preserve">s </w:t>
      </w:r>
      <w:r w:rsidR="008F465A" w:rsidRPr="00537C5C">
        <w:rPr>
          <w:rFonts w:ascii="Baskerville" w:hAnsi="Baskerville"/>
          <w:lang w:val="en-US"/>
        </w:rPr>
        <w:t>integration</w:t>
      </w:r>
      <w:r w:rsidR="00495E7F" w:rsidRPr="00537C5C">
        <w:rPr>
          <w:rFonts w:ascii="Baskerville" w:hAnsi="Baskerville"/>
          <w:lang w:val="en-US"/>
        </w:rPr>
        <w:t xml:space="preserve"> </w:t>
      </w:r>
      <w:r w:rsidR="008F465A" w:rsidRPr="00537C5C">
        <w:rPr>
          <w:rFonts w:ascii="Baskerville" w:hAnsi="Baskerville"/>
          <w:lang w:val="en-US"/>
        </w:rPr>
        <w:t>into</w:t>
      </w:r>
      <w:r w:rsidR="00495E7F" w:rsidRPr="00537C5C">
        <w:rPr>
          <w:rFonts w:ascii="Baskerville" w:hAnsi="Baskerville"/>
          <w:lang w:val="en-US"/>
        </w:rPr>
        <w:t xml:space="preserve"> customary inter</w:t>
      </w:r>
      <w:r w:rsidR="00920A91" w:rsidRPr="00537C5C">
        <w:rPr>
          <w:rFonts w:ascii="Baskerville" w:hAnsi="Baskerville"/>
          <w:lang w:val="en-US"/>
        </w:rPr>
        <w:t>national law.</w:t>
      </w:r>
      <w:r>
        <w:rPr>
          <w:rStyle w:val="FootnoteReference"/>
          <w:rFonts w:ascii="Baskerville" w:hAnsi="Baskerville"/>
          <w:lang w:val="en-US"/>
        </w:rPr>
        <w:footnoteReference w:id="59"/>
      </w:r>
    </w:p>
    <w:p w14:paraId="59DBBC29" w14:textId="77777777" w:rsidR="00395568" w:rsidRDefault="00395568" w:rsidP="00920A91">
      <w:pPr>
        <w:rPr>
          <w:rFonts w:ascii="Baskerville" w:hAnsi="Baskerville"/>
          <w:lang w:val="en-US"/>
        </w:rPr>
      </w:pPr>
    </w:p>
    <w:p w14:paraId="26EEDBAA" w14:textId="593AC68D" w:rsidR="00B4702D" w:rsidRPr="00B4702D" w:rsidRDefault="00134553" w:rsidP="00B4702D">
      <w:pPr>
        <w:rPr>
          <w:rFonts w:ascii="Baskerville" w:hAnsi="Baskerville"/>
          <w:color w:val="FF0000"/>
          <w:lang w:val="en-US"/>
        </w:rPr>
      </w:pPr>
      <w:r w:rsidRPr="006B2C09">
        <w:rPr>
          <w:rFonts w:ascii="Baskerville" w:hAnsi="Baskerville"/>
          <w:lang w:val="en-US"/>
        </w:rPr>
        <w:t xml:space="preserve">The precautionary principle </w:t>
      </w:r>
      <w:r w:rsidR="007C628B" w:rsidRPr="006B2C09">
        <w:rPr>
          <w:rFonts w:ascii="Baskerville" w:hAnsi="Baskerville"/>
          <w:lang w:val="en-US"/>
        </w:rPr>
        <w:t>is a</w:t>
      </w:r>
      <w:r w:rsidR="006B2C09">
        <w:rPr>
          <w:rFonts w:ascii="Baskerville" w:hAnsi="Baskerville"/>
          <w:lang w:val="en-US"/>
        </w:rPr>
        <w:t>n</w:t>
      </w:r>
      <w:r w:rsidR="007C628B" w:rsidRPr="006B2C09">
        <w:rPr>
          <w:rFonts w:ascii="Baskerville" w:hAnsi="Baskerville"/>
          <w:lang w:val="en-US"/>
        </w:rPr>
        <w:t xml:space="preserve"> </w:t>
      </w:r>
      <w:r w:rsidR="006B2C09" w:rsidRPr="006B2C09">
        <w:rPr>
          <w:rFonts w:ascii="Baskerville" w:hAnsi="Baskerville"/>
          <w:lang w:val="en-US"/>
        </w:rPr>
        <w:t>emerg</w:t>
      </w:r>
      <w:r w:rsidR="002754B0">
        <w:rPr>
          <w:rFonts w:ascii="Baskerville" w:hAnsi="Baskerville"/>
          <w:lang w:val="en-US"/>
        </w:rPr>
        <w:t>ing</w:t>
      </w:r>
      <w:r w:rsidRPr="006B2C09">
        <w:rPr>
          <w:rFonts w:ascii="Baskerville" w:hAnsi="Baskerville"/>
          <w:lang w:val="en-US"/>
        </w:rPr>
        <w:t xml:space="preserve"> </w:t>
      </w:r>
      <w:r w:rsidR="007C628B" w:rsidRPr="006B2C09">
        <w:rPr>
          <w:rFonts w:ascii="Baskerville" w:hAnsi="Baskerville"/>
          <w:lang w:val="en-US"/>
        </w:rPr>
        <w:t xml:space="preserve">international </w:t>
      </w:r>
      <w:r w:rsidRPr="006B2C09">
        <w:rPr>
          <w:rFonts w:ascii="Baskerville" w:hAnsi="Baskerville"/>
          <w:lang w:val="en-US"/>
        </w:rPr>
        <w:t>concept “that takes its cue from changing conceptions about the appropriate roles of science, economics, ethics, politics and the law in pro-active environmental protection and management.”</w:t>
      </w:r>
      <w:r w:rsidR="009A6F32" w:rsidRPr="006B2C09">
        <w:rPr>
          <w:rStyle w:val="FootnoteReference"/>
          <w:rFonts w:ascii="Baskerville" w:hAnsi="Baskerville"/>
          <w:lang w:val="en-US"/>
        </w:rPr>
        <w:footnoteReference w:id="60"/>
      </w:r>
      <w:r w:rsidRPr="00134553">
        <w:rPr>
          <w:rFonts w:ascii="Baskerville" w:hAnsi="Baskerville"/>
          <w:color w:val="FF0000"/>
          <w:lang w:val="en-US"/>
        </w:rPr>
        <w:t xml:space="preserve"> </w:t>
      </w:r>
      <w:r w:rsidRPr="00134553">
        <w:rPr>
          <w:rFonts w:ascii="Baskerville" w:hAnsi="Baskerville"/>
          <w:lang w:val="en-US"/>
        </w:rPr>
        <w:t>But, i</w:t>
      </w:r>
      <w:r w:rsidR="00B4702D" w:rsidRPr="00134553">
        <w:rPr>
          <w:rFonts w:ascii="Baskerville" w:hAnsi="Baskerville"/>
          <w:lang w:val="en-US"/>
        </w:rPr>
        <w:t xml:space="preserve">n many </w:t>
      </w:r>
      <w:r w:rsidRPr="00134553">
        <w:rPr>
          <w:rFonts w:ascii="Baskerville" w:hAnsi="Baskerville"/>
          <w:lang w:val="en-US"/>
        </w:rPr>
        <w:t>respects</w:t>
      </w:r>
      <w:r w:rsidR="00B4702D" w:rsidRPr="00134553">
        <w:rPr>
          <w:rFonts w:ascii="Baskerville" w:hAnsi="Baskerville"/>
          <w:lang w:val="en-US"/>
        </w:rPr>
        <w:t>, the precautionary principle represents legal concepts that are not new.</w:t>
      </w:r>
      <w:r w:rsidR="00B4702D" w:rsidRPr="00B4702D">
        <w:rPr>
          <w:rFonts w:ascii="Baskerville" w:hAnsi="Baskerville"/>
          <w:color w:val="FF0000"/>
          <w:lang w:val="en-US"/>
        </w:rPr>
        <w:t xml:space="preserve"> </w:t>
      </w:r>
      <w:r w:rsidR="00B4702D" w:rsidRPr="006E40C9">
        <w:rPr>
          <w:rFonts w:ascii="Baskerville" w:hAnsi="Baskerville"/>
          <w:lang w:val="en-US"/>
        </w:rPr>
        <w:t xml:space="preserve">Commentator James Cameron, a proponent of the principle, </w:t>
      </w:r>
      <w:r w:rsidR="006E40C9" w:rsidRPr="006E40C9">
        <w:rPr>
          <w:rFonts w:ascii="Baskerville" w:hAnsi="Baskerville"/>
          <w:lang w:val="en-US"/>
        </w:rPr>
        <w:t>lists</w:t>
      </w:r>
      <w:r w:rsidR="00B4702D" w:rsidRPr="006E40C9">
        <w:rPr>
          <w:rFonts w:ascii="Baskerville" w:hAnsi="Baskerville"/>
          <w:lang w:val="en-US"/>
        </w:rPr>
        <w:t xml:space="preserve"> several different existing legal principles that </w:t>
      </w:r>
      <w:r w:rsidR="007C628B">
        <w:rPr>
          <w:rFonts w:ascii="Baskerville" w:hAnsi="Baskerville"/>
          <w:lang w:val="en-US"/>
        </w:rPr>
        <w:t>‘</w:t>
      </w:r>
      <w:r w:rsidR="00B4702D" w:rsidRPr="006E40C9">
        <w:rPr>
          <w:rFonts w:ascii="Baskerville" w:hAnsi="Baskerville"/>
          <w:lang w:val="en-US"/>
        </w:rPr>
        <w:t xml:space="preserve">he </w:t>
      </w:r>
      <w:r w:rsidR="006E40C9" w:rsidRPr="006E40C9">
        <w:rPr>
          <w:rFonts w:ascii="Baskerville" w:hAnsi="Baskerville"/>
          <w:lang w:val="en-US"/>
        </w:rPr>
        <w:t>considers</w:t>
      </w:r>
      <w:r w:rsidR="00B4702D" w:rsidRPr="006E40C9">
        <w:rPr>
          <w:rFonts w:ascii="Baskerville" w:hAnsi="Baskerville"/>
          <w:lang w:val="en-US"/>
        </w:rPr>
        <w:t xml:space="preserve"> </w:t>
      </w:r>
      <w:r w:rsidR="006E40C9" w:rsidRPr="006E40C9">
        <w:rPr>
          <w:rFonts w:ascii="Baskerville" w:hAnsi="Baskerville"/>
          <w:lang w:val="en-US"/>
        </w:rPr>
        <w:t>to be</w:t>
      </w:r>
      <w:r w:rsidR="00B4702D" w:rsidRPr="006E40C9">
        <w:rPr>
          <w:rFonts w:ascii="Baskerville" w:hAnsi="Baskerville"/>
          <w:lang w:val="en-US"/>
        </w:rPr>
        <w:t xml:space="preserve"> “indirect” precautionary measures</w:t>
      </w:r>
      <w:r w:rsidR="007C628B">
        <w:rPr>
          <w:rFonts w:ascii="Baskerville" w:hAnsi="Baskerville"/>
          <w:lang w:val="en-US"/>
        </w:rPr>
        <w:t>’</w:t>
      </w:r>
      <w:r w:rsidR="00B4702D" w:rsidRPr="006E40C9">
        <w:rPr>
          <w:rFonts w:ascii="Baskerville" w:hAnsi="Baskerville"/>
          <w:lang w:val="en-US"/>
        </w:rPr>
        <w:t>.</w:t>
      </w:r>
      <w:r w:rsidR="007C628B">
        <w:rPr>
          <w:rStyle w:val="FootnoteReference"/>
          <w:rFonts w:ascii="Baskerville" w:hAnsi="Baskerville"/>
          <w:lang w:val="en-US"/>
        </w:rPr>
        <w:footnoteReference w:id="61"/>
      </w:r>
      <w:r w:rsidR="00B4702D" w:rsidRPr="00B4702D">
        <w:rPr>
          <w:rFonts w:ascii="Baskerville" w:hAnsi="Baskerville"/>
          <w:color w:val="FF0000"/>
          <w:lang w:val="en-US"/>
        </w:rPr>
        <w:t xml:space="preserve"> </w:t>
      </w:r>
      <w:r w:rsidR="00DB2541" w:rsidRPr="00DB2541">
        <w:rPr>
          <w:rFonts w:ascii="Baskerville" w:hAnsi="Baskerville"/>
          <w:lang w:val="en-US"/>
        </w:rPr>
        <w:t>The tort concept of strict liability is t</w:t>
      </w:r>
      <w:r w:rsidR="006E40C9" w:rsidRPr="00DB2541">
        <w:rPr>
          <w:rFonts w:ascii="Baskerville" w:hAnsi="Baskerville"/>
          <w:lang w:val="en-US"/>
        </w:rPr>
        <w:t>he m</w:t>
      </w:r>
      <w:r w:rsidR="00B4702D" w:rsidRPr="00DB2541">
        <w:rPr>
          <w:rFonts w:ascii="Baskerville" w:hAnsi="Baskerville"/>
          <w:lang w:val="en-US"/>
        </w:rPr>
        <w:t xml:space="preserve">ost significant </w:t>
      </w:r>
      <w:r w:rsidR="00DB2541" w:rsidRPr="00DB2541">
        <w:rPr>
          <w:rFonts w:ascii="Baskerville" w:hAnsi="Baskerville"/>
          <w:lang w:val="en-US"/>
        </w:rPr>
        <w:t>of these</w:t>
      </w:r>
      <w:r w:rsidR="00B4702D" w:rsidRPr="00DB2541">
        <w:rPr>
          <w:rFonts w:ascii="Baskerville" w:hAnsi="Baskerville"/>
          <w:lang w:val="en-US"/>
        </w:rPr>
        <w:t xml:space="preserve">, </w:t>
      </w:r>
      <w:r w:rsidR="00DB2541" w:rsidRPr="00DB2541">
        <w:rPr>
          <w:rFonts w:ascii="Baskerville" w:hAnsi="Baskerville"/>
          <w:lang w:val="en-US"/>
        </w:rPr>
        <w:t>as it</w:t>
      </w:r>
      <w:r w:rsidR="00B4702D" w:rsidRPr="00DB2541">
        <w:rPr>
          <w:rFonts w:ascii="Baskerville" w:hAnsi="Baskerville"/>
          <w:lang w:val="en-US"/>
        </w:rPr>
        <w:t xml:space="preserve"> provides for absolute liability in activities, </w:t>
      </w:r>
      <w:r w:rsidR="00DB2541">
        <w:rPr>
          <w:rFonts w:ascii="Baskerville" w:hAnsi="Baskerville"/>
          <w:lang w:val="en-US"/>
        </w:rPr>
        <w:t>such as</w:t>
      </w:r>
      <w:r w:rsidR="00B4702D" w:rsidRPr="00DB2541">
        <w:rPr>
          <w:rFonts w:ascii="Baskerville" w:hAnsi="Baskerville"/>
          <w:lang w:val="en-US"/>
        </w:rPr>
        <w:t xml:space="preserve"> the burial of environmental waste, </w:t>
      </w:r>
      <w:r w:rsidR="00DB2541" w:rsidRPr="00DB2541">
        <w:rPr>
          <w:rFonts w:ascii="Baskerville" w:hAnsi="Baskerville"/>
          <w:lang w:val="en-US"/>
        </w:rPr>
        <w:t xml:space="preserve">which is </w:t>
      </w:r>
      <w:r w:rsidR="00B4702D" w:rsidRPr="00DB2541">
        <w:rPr>
          <w:rFonts w:ascii="Baskerville" w:hAnsi="Baskerville"/>
          <w:lang w:val="en-US"/>
        </w:rPr>
        <w:t>considered to be “abnormally dangerous.”</w:t>
      </w:r>
      <w:r w:rsidR="00DB2541" w:rsidRPr="00DB2541">
        <w:rPr>
          <w:rStyle w:val="FootnoteReference"/>
          <w:rFonts w:ascii="Baskerville" w:hAnsi="Baskerville"/>
          <w:lang w:val="en-US"/>
        </w:rPr>
        <w:footnoteReference w:id="62"/>
      </w:r>
      <w:r w:rsidR="00B4702D" w:rsidRPr="00DB2541">
        <w:rPr>
          <w:rFonts w:ascii="Baskerville" w:hAnsi="Baskerville"/>
          <w:lang w:val="en-US"/>
        </w:rPr>
        <w:t xml:space="preserve"> Cameron </w:t>
      </w:r>
      <w:r w:rsidR="00DB2541" w:rsidRPr="00DB2541">
        <w:rPr>
          <w:rFonts w:ascii="Baskerville" w:hAnsi="Baskerville"/>
          <w:lang w:val="en-US"/>
        </w:rPr>
        <w:t>clarifies</w:t>
      </w:r>
      <w:r w:rsidR="00B4702D" w:rsidRPr="00DB2541">
        <w:rPr>
          <w:rFonts w:ascii="Baskerville" w:hAnsi="Baskerville"/>
          <w:lang w:val="en-US"/>
        </w:rPr>
        <w:t xml:space="preserve"> that the </w:t>
      </w:r>
      <w:r w:rsidR="00DB2541" w:rsidRPr="00DB2541">
        <w:rPr>
          <w:rFonts w:ascii="Baskerville" w:hAnsi="Baskerville"/>
          <w:lang w:val="en-US"/>
        </w:rPr>
        <w:t>prospect of being held strictly liable (</w:t>
      </w:r>
      <w:r w:rsidR="00B4702D" w:rsidRPr="00DB2541">
        <w:rPr>
          <w:rFonts w:ascii="Baskerville" w:hAnsi="Baskerville"/>
          <w:lang w:val="en-US"/>
        </w:rPr>
        <w:t xml:space="preserve">where acting with reasonable care </w:t>
      </w:r>
      <w:r w:rsidR="00DB2541" w:rsidRPr="00DB2541">
        <w:rPr>
          <w:rFonts w:ascii="Baskerville" w:hAnsi="Baskerville"/>
          <w:lang w:val="en-US"/>
        </w:rPr>
        <w:t>is immaterial)</w:t>
      </w:r>
      <w:r w:rsidR="00B4702D" w:rsidRPr="00B4702D">
        <w:rPr>
          <w:rFonts w:ascii="Baskerville" w:hAnsi="Baskerville"/>
          <w:color w:val="FF0000"/>
          <w:lang w:val="en-US"/>
        </w:rPr>
        <w:t xml:space="preserve"> </w:t>
      </w:r>
      <w:r w:rsidR="00DB2541" w:rsidRPr="00DB2541">
        <w:rPr>
          <w:rFonts w:ascii="Baskerville" w:hAnsi="Baskerville"/>
          <w:lang w:val="en-US"/>
        </w:rPr>
        <w:t>forces</w:t>
      </w:r>
      <w:r w:rsidR="00B4702D" w:rsidRPr="00DB2541">
        <w:rPr>
          <w:rFonts w:ascii="Baskerville" w:hAnsi="Baskerville"/>
          <w:lang w:val="en-US"/>
        </w:rPr>
        <w:t xml:space="preserve"> </w:t>
      </w:r>
      <w:r w:rsidR="00DB2541" w:rsidRPr="00DB2541">
        <w:rPr>
          <w:rFonts w:ascii="Baskerville" w:hAnsi="Baskerville"/>
          <w:lang w:val="en-US"/>
        </w:rPr>
        <w:t xml:space="preserve">state </w:t>
      </w:r>
      <w:r w:rsidR="00B4702D" w:rsidRPr="00DB2541">
        <w:rPr>
          <w:rFonts w:ascii="Baskerville" w:hAnsi="Baskerville"/>
          <w:lang w:val="en-US"/>
        </w:rPr>
        <w:t xml:space="preserve">actors to </w:t>
      </w:r>
      <w:r w:rsidR="00DB2541" w:rsidRPr="00DB2541">
        <w:rPr>
          <w:rFonts w:ascii="Baskerville" w:hAnsi="Baskerville"/>
          <w:lang w:val="en-US"/>
        </w:rPr>
        <w:t xml:space="preserve">exercise caution </w:t>
      </w:r>
      <w:r w:rsidR="00B4702D" w:rsidRPr="00DB2541">
        <w:rPr>
          <w:rFonts w:ascii="Baskerville" w:hAnsi="Baskerville"/>
          <w:lang w:val="en-US"/>
        </w:rPr>
        <w:t xml:space="preserve">and </w:t>
      </w:r>
      <w:r w:rsidR="00DB2541" w:rsidRPr="00DB2541">
        <w:rPr>
          <w:rFonts w:ascii="Baskerville" w:hAnsi="Baskerville"/>
          <w:lang w:val="en-US"/>
        </w:rPr>
        <w:t>‘</w:t>
      </w:r>
      <w:r w:rsidR="00B4702D" w:rsidRPr="00DB2541">
        <w:rPr>
          <w:rFonts w:ascii="Baskerville" w:hAnsi="Baskerville"/>
          <w:lang w:val="en-US"/>
        </w:rPr>
        <w:t>consider the costs of potential liability before acting</w:t>
      </w:r>
      <w:r w:rsidR="00DB2541" w:rsidRPr="00DB2541">
        <w:rPr>
          <w:rFonts w:ascii="Baskerville" w:hAnsi="Baskerville"/>
          <w:lang w:val="en-US"/>
        </w:rPr>
        <w:t>’</w:t>
      </w:r>
      <w:r w:rsidR="00B4702D" w:rsidRPr="00DB2541">
        <w:rPr>
          <w:rFonts w:ascii="Baskerville" w:hAnsi="Baskerville"/>
          <w:lang w:val="en-US"/>
        </w:rPr>
        <w:t>.</w:t>
      </w:r>
      <w:r w:rsidR="00B41F30" w:rsidRPr="00DB2541">
        <w:rPr>
          <w:rStyle w:val="FootnoteReference"/>
          <w:rFonts w:ascii="Baskerville" w:hAnsi="Baskerville"/>
          <w:lang w:val="en-US"/>
        </w:rPr>
        <w:footnoteReference w:id="63"/>
      </w:r>
      <w:r w:rsidR="00B4702D" w:rsidRPr="00B4702D">
        <w:rPr>
          <w:rFonts w:ascii="Baskerville" w:hAnsi="Baskerville"/>
          <w:color w:val="FF0000"/>
          <w:lang w:val="en-US"/>
        </w:rPr>
        <w:t xml:space="preserve"> </w:t>
      </w:r>
    </w:p>
    <w:p w14:paraId="03AD3CDB" w14:textId="77777777" w:rsidR="00920A91" w:rsidRDefault="00920A91" w:rsidP="00920A91">
      <w:pPr>
        <w:rPr>
          <w:rFonts w:ascii="Baskerville" w:hAnsi="Baskerville"/>
          <w:color w:val="FF0000"/>
          <w:lang w:val="en-US"/>
        </w:rPr>
      </w:pPr>
    </w:p>
    <w:p w14:paraId="7DC5F2DA" w14:textId="13135461" w:rsidR="00A53E17" w:rsidRPr="00FC59AE" w:rsidRDefault="001478CC" w:rsidP="00920A91">
      <w:pPr>
        <w:rPr>
          <w:rFonts w:ascii="Baskerville" w:hAnsi="Baskerville"/>
          <w:b/>
          <w:u w:val="single"/>
          <w:lang w:val="en-US"/>
        </w:rPr>
      </w:pPr>
      <w:r w:rsidRPr="00FC59AE">
        <w:rPr>
          <w:rFonts w:ascii="Baskerville" w:hAnsi="Baskerville"/>
          <w:b/>
          <w:u w:val="single"/>
          <w:lang w:val="en-US"/>
        </w:rPr>
        <w:t xml:space="preserve">A Proposed </w:t>
      </w:r>
      <w:r w:rsidR="00BF3A87" w:rsidRPr="00FC59AE">
        <w:rPr>
          <w:rFonts w:ascii="Baskerville" w:hAnsi="Baskerville"/>
          <w:b/>
          <w:u w:val="single"/>
          <w:lang w:val="en-US"/>
        </w:rPr>
        <w:t xml:space="preserve">Legal </w:t>
      </w:r>
      <w:r w:rsidRPr="00FC59AE">
        <w:rPr>
          <w:rFonts w:ascii="Baskerville" w:hAnsi="Baskerville"/>
          <w:b/>
          <w:u w:val="single"/>
          <w:lang w:val="en-US"/>
        </w:rPr>
        <w:t>Definition for the Precautionary Principle</w:t>
      </w:r>
    </w:p>
    <w:p w14:paraId="0A6CE761" w14:textId="77777777" w:rsidR="00A53E17" w:rsidRPr="001478CC" w:rsidRDefault="00A53E17" w:rsidP="00920A91">
      <w:pPr>
        <w:rPr>
          <w:rFonts w:ascii="Baskerville" w:hAnsi="Baskerville"/>
          <w:b/>
          <w:color w:val="FF0000"/>
          <w:lang w:val="en-US"/>
        </w:rPr>
      </w:pPr>
    </w:p>
    <w:p w14:paraId="399A0762" w14:textId="038BC875" w:rsidR="00A53E17" w:rsidRDefault="001478CC" w:rsidP="001478CC">
      <w:pPr>
        <w:rPr>
          <w:rFonts w:ascii="Baskerville" w:hAnsi="Baskerville"/>
          <w:color w:val="FF0000"/>
          <w:lang w:val="en-US"/>
        </w:rPr>
      </w:pPr>
      <w:r w:rsidRPr="009E3E4E">
        <w:rPr>
          <w:rFonts w:ascii="Baskerville" w:hAnsi="Baskerville"/>
          <w:lang w:val="en-US"/>
        </w:rPr>
        <w:t xml:space="preserve">An ideal </w:t>
      </w:r>
      <w:r w:rsidR="00361A20" w:rsidRPr="009E3E4E">
        <w:rPr>
          <w:rFonts w:ascii="Baskerville" w:hAnsi="Baskerville"/>
          <w:lang w:val="en-US"/>
        </w:rPr>
        <w:t xml:space="preserve">legal </w:t>
      </w:r>
      <w:r w:rsidRPr="009E3E4E">
        <w:rPr>
          <w:rFonts w:ascii="Baskerville" w:hAnsi="Baskerville"/>
          <w:lang w:val="en-US"/>
        </w:rPr>
        <w:t>definition for the pre</w:t>
      </w:r>
      <w:r w:rsidR="007629E7" w:rsidRPr="009E3E4E">
        <w:rPr>
          <w:rFonts w:ascii="Baskerville" w:hAnsi="Baskerville"/>
          <w:lang w:val="en-US"/>
        </w:rPr>
        <w:t xml:space="preserve">cautionary principle </w:t>
      </w:r>
      <w:r w:rsidR="009E3E4E" w:rsidRPr="009E3E4E">
        <w:rPr>
          <w:rFonts w:ascii="Baskerville" w:hAnsi="Baskerville"/>
          <w:lang w:val="en-US"/>
        </w:rPr>
        <w:t>might</w:t>
      </w:r>
      <w:r w:rsidR="007629E7" w:rsidRPr="009E3E4E">
        <w:rPr>
          <w:rFonts w:ascii="Baskerville" w:hAnsi="Baskerville"/>
          <w:lang w:val="en-US"/>
        </w:rPr>
        <w:t xml:space="preserve"> </w:t>
      </w:r>
      <w:r w:rsidR="009E3E4E" w:rsidRPr="009E3E4E">
        <w:rPr>
          <w:rFonts w:ascii="Baskerville" w:hAnsi="Baskerville"/>
          <w:lang w:val="en-US"/>
        </w:rPr>
        <w:t xml:space="preserve">contain the </w:t>
      </w:r>
      <w:r w:rsidR="007629E7" w:rsidRPr="009E3E4E">
        <w:rPr>
          <w:rFonts w:ascii="Baskerville" w:hAnsi="Baskerville"/>
          <w:lang w:val="en-US"/>
        </w:rPr>
        <w:t>com</w:t>
      </w:r>
      <w:r w:rsidRPr="009E3E4E">
        <w:rPr>
          <w:rFonts w:ascii="Baskerville" w:hAnsi="Baskerville"/>
          <w:lang w:val="en-US"/>
        </w:rPr>
        <w:t>bin</w:t>
      </w:r>
      <w:r w:rsidR="009E3E4E" w:rsidRPr="009E3E4E">
        <w:rPr>
          <w:rFonts w:ascii="Baskerville" w:hAnsi="Baskerville"/>
          <w:lang w:val="en-US"/>
        </w:rPr>
        <w:t>ation of</w:t>
      </w:r>
      <w:r w:rsidRPr="009E3E4E">
        <w:rPr>
          <w:rFonts w:ascii="Baskerville" w:hAnsi="Baskerville"/>
          <w:lang w:val="en-US"/>
        </w:rPr>
        <w:t xml:space="preserve"> two statements taken from the Bergen Declaration, which have survived to the draft Ministerial Declaration for the Se</w:t>
      </w:r>
      <w:r w:rsidR="00EE6092" w:rsidRPr="009E3E4E">
        <w:rPr>
          <w:rFonts w:ascii="Baskerville" w:hAnsi="Baskerville"/>
          <w:lang w:val="en-US"/>
        </w:rPr>
        <w:t>cond World Climate Conference.</w:t>
      </w:r>
      <w:r w:rsidR="009E3E4E" w:rsidRPr="00537C5C">
        <w:rPr>
          <w:rStyle w:val="FootnoteReference"/>
          <w:rFonts w:ascii="Baskerville" w:hAnsi="Baskerville"/>
          <w:lang w:val="en-US"/>
        </w:rPr>
        <w:footnoteReference w:id="64"/>
      </w:r>
      <w:r w:rsidR="009E3E4E" w:rsidRPr="00537C5C">
        <w:rPr>
          <w:rFonts w:ascii="Baskerville" w:hAnsi="Baskerville"/>
          <w:lang w:val="en-US"/>
        </w:rPr>
        <w:t xml:space="preserve"> </w:t>
      </w:r>
      <w:r w:rsidRPr="001478CC">
        <w:rPr>
          <w:rFonts w:ascii="Baskerville" w:hAnsi="Baskerville"/>
          <w:color w:val="FF0000"/>
          <w:lang w:val="en-US"/>
        </w:rPr>
        <w:t xml:space="preserve"> </w:t>
      </w:r>
      <w:r w:rsidRPr="009E3E4E">
        <w:rPr>
          <w:rFonts w:ascii="Baskerville" w:hAnsi="Baskerville"/>
          <w:lang w:val="en-US"/>
        </w:rPr>
        <w:t xml:space="preserve">The language of </w:t>
      </w:r>
      <w:r w:rsidR="00A8719B" w:rsidRPr="009E3E4E">
        <w:rPr>
          <w:rFonts w:ascii="Baskerville" w:hAnsi="Baskerville"/>
          <w:lang w:val="en-US"/>
        </w:rPr>
        <w:t>the Bergen Dec</w:t>
      </w:r>
      <w:r w:rsidRPr="009E3E4E">
        <w:rPr>
          <w:rFonts w:ascii="Baskerville" w:hAnsi="Baskerville"/>
          <w:lang w:val="en-US"/>
        </w:rPr>
        <w:t>laration</w:t>
      </w:r>
      <w:r w:rsidR="007038BA" w:rsidRPr="009E3E4E">
        <w:rPr>
          <w:rFonts w:ascii="Baskerville" w:hAnsi="Baskerville"/>
          <w:lang w:val="en-US"/>
        </w:rPr>
        <w:t xml:space="preserve"> </w:t>
      </w:r>
      <w:r w:rsidRPr="009E3E4E">
        <w:rPr>
          <w:rFonts w:ascii="Baskerville" w:hAnsi="Baskerville"/>
          <w:lang w:val="en-US"/>
        </w:rPr>
        <w:t>and the draft Ministerial Declaration</w:t>
      </w:r>
      <w:r w:rsidR="009E3E4E">
        <w:rPr>
          <w:rFonts w:ascii="Baskerville" w:hAnsi="Baskerville"/>
          <w:lang w:val="en-US"/>
        </w:rPr>
        <w:t xml:space="preserve"> </w:t>
      </w:r>
      <w:r w:rsidRPr="009E3E4E">
        <w:rPr>
          <w:rFonts w:ascii="Baskerville" w:hAnsi="Baskerville"/>
          <w:lang w:val="en-US"/>
        </w:rPr>
        <w:t xml:space="preserve">commits the </w:t>
      </w:r>
      <w:r w:rsidR="009E3E4E" w:rsidRPr="009E3E4E">
        <w:rPr>
          <w:rFonts w:ascii="Baskerville" w:hAnsi="Baskerville"/>
          <w:lang w:val="en-US"/>
        </w:rPr>
        <w:t>participant</w:t>
      </w:r>
      <w:r w:rsidR="00616455">
        <w:rPr>
          <w:rFonts w:ascii="Baskerville" w:hAnsi="Baskerville"/>
          <w:lang w:val="en-US"/>
        </w:rPr>
        <w:t xml:space="preserve"> states</w:t>
      </w:r>
      <w:r w:rsidRPr="009E3E4E">
        <w:rPr>
          <w:rFonts w:ascii="Baskerville" w:hAnsi="Baskerville"/>
          <w:lang w:val="en-US"/>
        </w:rPr>
        <w:t xml:space="preserve"> to </w:t>
      </w:r>
      <w:r w:rsidR="00C83338" w:rsidRPr="009E3E4E">
        <w:rPr>
          <w:rFonts w:ascii="Baskerville" w:hAnsi="Baskerville"/>
          <w:lang w:val="en-US"/>
        </w:rPr>
        <w:t>‘</w:t>
      </w:r>
      <w:r w:rsidRPr="009E3E4E">
        <w:rPr>
          <w:rFonts w:ascii="Baskerville" w:hAnsi="Baskerville"/>
          <w:lang w:val="en-US"/>
        </w:rPr>
        <w:t>anticipate, prevent and attack the causes of environmental degradation,</w:t>
      </w:r>
      <w:r w:rsidR="00C83338" w:rsidRPr="009E3E4E">
        <w:rPr>
          <w:rFonts w:ascii="Baskerville" w:hAnsi="Baskerville"/>
          <w:lang w:val="en-US"/>
        </w:rPr>
        <w:t>’</w:t>
      </w:r>
      <w:r w:rsidRPr="009E3E4E">
        <w:rPr>
          <w:rFonts w:ascii="Baskerville" w:hAnsi="Baskerville"/>
          <w:lang w:val="en-US"/>
        </w:rPr>
        <w:t xml:space="preserve"> and the parties have </w:t>
      </w:r>
      <w:r w:rsidR="009E3E4E" w:rsidRPr="009E3E4E">
        <w:rPr>
          <w:rFonts w:ascii="Baskerville" w:hAnsi="Baskerville"/>
          <w:lang w:val="en-US"/>
        </w:rPr>
        <w:t>promised</w:t>
      </w:r>
      <w:r w:rsidRPr="009E3E4E">
        <w:rPr>
          <w:rFonts w:ascii="Baskerville" w:hAnsi="Baskerville"/>
          <w:lang w:val="en-US"/>
        </w:rPr>
        <w:t xml:space="preserve"> that </w:t>
      </w:r>
      <w:r w:rsidR="00C83338" w:rsidRPr="009E3E4E">
        <w:rPr>
          <w:rFonts w:ascii="Baskerville" w:hAnsi="Baskerville"/>
          <w:lang w:val="en-US"/>
        </w:rPr>
        <w:t>‘</w:t>
      </w:r>
      <w:r w:rsidRPr="009E3E4E">
        <w:rPr>
          <w:rFonts w:ascii="Baskerville" w:hAnsi="Baskerville"/>
          <w:lang w:val="en-US"/>
        </w:rPr>
        <w:t xml:space="preserve">where there are threats of serious or </w:t>
      </w:r>
      <w:r w:rsidR="00A8719B" w:rsidRPr="009E3E4E">
        <w:rPr>
          <w:rFonts w:ascii="Baskerville" w:hAnsi="Baskerville"/>
          <w:lang w:val="en-US"/>
        </w:rPr>
        <w:t>irre</w:t>
      </w:r>
      <w:r w:rsidRPr="009E3E4E">
        <w:rPr>
          <w:rFonts w:ascii="Baskerville" w:hAnsi="Baskerville"/>
          <w:lang w:val="en-US"/>
        </w:rPr>
        <w:t>versible damage, lack of full scientific certainty should not be used as a reason for postponi</w:t>
      </w:r>
      <w:r w:rsidR="00A8719B" w:rsidRPr="009E3E4E">
        <w:rPr>
          <w:rFonts w:ascii="Baskerville" w:hAnsi="Baskerville"/>
          <w:lang w:val="en-US"/>
        </w:rPr>
        <w:t>ng measures to prevent environ</w:t>
      </w:r>
      <w:r w:rsidR="00EE6092" w:rsidRPr="009E3E4E">
        <w:rPr>
          <w:rFonts w:ascii="Baskerville" w:hAnsi="Baskerville"/>
          <w:lang w:val="en-US"/>
        </w:rPr>
        <w:t>mental degradation</w:t>
      </w:r>
      <w:r w:rsidR="00C83338" w:rsidRPr="009E3E4E">
        <w:rPr>
          <w:rFonts w:ascii="Baskerville" w:hAnsi="Baskerville"/>
          <w:lang w:val="en-US"/>
        </w:rPr>
        <w:t>’</w:t>
      </w:r>
      <w:r w:rsidR="00EE6092" w:rsidRPr="009E3E4E">
        <w:rPr>
          <w:rFonts w:ascii="Baskerville" w:hAnsi="Baskerville"/>
          <w:lang w:val="en-US"/>
        </w:rPr>
        <w:t>.</w:t>
      </w:r>
      <w:r w:rsidR="00EE6092" w:rsidRPr="009E3E4E">
        <w:rPr>
          <w:rStyle w:val="FootnoteReference"/>
          <w:rFonts w:ascii="Baskerville" w:hAnsi="Baskerville"/>
          <w:lang w:val="en-US"/>
        </w:rPr>
        <w:footnoteReference w:id="65"/>
      </w:r>
      <w:r w:rsidRPr="001478CC">
        <w:rPr>
          <w:rFonts w:ascii="Baskerville" w:hAnsi="Baskerville"/>
          <w:color w:val="FF0000"/>
          <w:lang w:val="en-US"/>
        </w:rPr>
        <w:t xml:space="preserve"> </w:t>
      </w:r>
      <w:r w:rsidRPr="00E26BB6">
        <w:rPr>
          <w:rFonts w:ascii="Baskerville" w:hAnsi="Baskerville"/>
          <w:lang w:val="en-US"/>
        </w:rPr>
        <w:t xml:space="preserve">A </w:t>
      </w:r>
      <w:r w:rsidR="00E26BB6" w:rsidRPr="00E26BB6">
        <w:rPr>
          <w:rFonts w:ascii="Baskerville" w:hAnsi="Baskerville"/>
          <w:lang w:val="en-US"/>
        </w:rPr>
        <w:t xml:space="preserve">proposed </w:t>
      </w:r>
      <w:r w:rsidRPr="00E26BB6">
        <w:rPr>
          <w:rFonts w:ascii="Baskerville" w:hAnsi="Baskerville"/>
          <w:lang w:val="en-US"/>
        </w:rPr>
        <w:t>definition</w:t>
      </w:r>
      <w:r w:rsidR="00E26BB6" w:rsidRPr="00E26BB6">
        <w:rPr>
          <w:rFonts w:ascii="Baskerville" w:hAnsi="Baskerville"/>
          <w:lang w:val="en-US"/>
        </w:rPr>
        <w:t xml:space="preserve"> should </w:t>
      </w:r>
      <w:r w:rsidRPr="00E26BB6">
        <w:rPr>
          <w:rFonts w:ascii="Baskerville" w:hAnsi="Baskerville"/>
          <w:lang w:val="en-US"/>
        </w:rPr>
        <w:t>ther</w:t>
      </w:r>
      <w:r w:rsidR="00E26BB6" w:rsidRPr="00E26BB6">
        <w:rPr>
          <w:rFonts w:ascii="Baskerville" w:hAnsi="Baskerville"/>
          <w:lang w:val="en-US"/>
        </w:rPr>
        <w:t xml:space="preserve">efore </w:t>
      </w:r>
      <w:r w:rsidRPr="00E26BB6">
        <w:rPr>
          <w:rFonts w:ascii="Baskerville" w:hAnsi="Baskerville"/>
          <w:lang w:val="en-US"/>
        </w:rPr>
        <w:t xml:space="preserve">include the following </w:t>
      </w:r>
      <w:r w:rsidR="00EC2BDD" w:rsidRPr="00E26BB6">
        <w:rPr>
          <w:rFonts w:ascii="Baskerville" w:hAnsi="Baskerville"/>
          <w:lang w:val="en-US"/>
        </w:rPr>
        <w:t xml:space="preserve">four </w:t>
      </w:r>
      <w:r w:rsidRPr="00E26BB6">
        <w:rPr>
          <w:rFonts w:ascii="Baskerville" w:hAnsi="Baskerville"/>
          <w:lang w:val="en-US"/>
        </w:rPr>
        <w:t>key elements</w:t>
      </w:r>
      <w:r w:rsidR="00A8719B" w:rsidRPr="00E26BB6">
        <w:rPr>
          <w:rFonts w:ascii="Baskerville" w:hAnsi="Baskerville"/>
          <w:lang w:val="en-US"/>
        </w:rPr>
        <w:t>:</w:t>
      </w:r>
    </w:p>
    <w:p w14:paraId="348BF768" w14:textId="77777777" w:rsidR="00A53E17" w:rsidRDefault="00A53E17" w:rsidP="001478CC">
      <w:pPr>
        <w:rPr>
          <w:rFonts w:ascii="Baskerville" w:hAnsi="Baskerville"/>
          <w:color w:val="FF0000"/>
          <w:lang w:val="en-US"/>
        </w:rPr>
      </w:pPr>
    </w:p>
    <w:p w14:paraId="7A22B7BC" w14:textId="465EA79A" w:rsidR="001478CC" w:rsidRPr="00616455" w:rsidRDefault="00A8719B" w:rsidP="00A8719B">
      <w:pPr>
        <w:pStyle w:val="ListParagraph"/>
        <w:numPr>
          <w:ilvl w:val="0"/>
          <w:numId w:val="4"/>
        </w:numPr>
        <w:rPr>
          <w:rFonts w:ascii="Baskerville" w:hAnsi="Baskerville"/>
          <w:b/>
          <w:lang w:val="en-US"/>
        </w:rPr>
      </w:pPr>
      <w:r w:rsidRPr="00616455">
        <w:rPr>
          <w:rFonts w:ascii="Baskerville" w:hAnsi="Baskerville"/>
          <w:b/>
          <w:lang w:val="en-US"/>
        </w:rPr>
        <w:t>The Evidentiary Threshold</w:t>
      </w:r>
    </w:p>
    <w:p w14:paraId="0AB3A762" w14:textId="77777777" w:rsidR="00C41B4A" w:rsidRDefault="00C41B4A" w:rsidP="00C41B4A">
      <w:pPr>
        <w:rPr>
          <w:rFonts w:ascii="Baskerville" w:hAnsi="Baskerville"/>
          <w:color w:val="FF0000"/>
          <w:lang w:val="en-US"/>
        </w:rPr>
      </w:pPr>
    </w:p>
    <w:p w14:paraId="17662ACF" w14:textId="32236F8B" w:rsidR="00C41B4A" w:rsidRPr="00C41B4A" w:rsidRDefault="00430B90" w:rsidP="00C41B4A">
      <w:pPr>
        <w:rPr>
          <w:rFonts w:ascii="Baskerville" w:hAnsi="Baskerville"/>
          <w:color w:val="FF0000"/>
          <w:lang w:val="en-US"/>
        </w:rPr>
      </w:pPr>
      <w:r w:rsidRPr="00430B90">
        <w:rPr>
          <w:rFonts w:ascii="Baskerville" w:hAnsi="Baskerville"/>
          <w:lang w:val="en-US"/>
        </w:rPr>
        <w:t>T</w:t>
      </w:r>
      <w:r w:rsidR="00C41B4A" w:rsidRPr="00430B90">
        <w:rPr>
          <w:rFonts w:ascii="Baskerville" w:hAnsi="Baskerville"/>
          <w:lang w:val="en-US"/>
        </w:rPr>
        <w:t xml:space="preserve">hreshold terms </w:t>
      </w:r>
      <w:r w:rsidR="00616455" w:rsidRPr="00430B90">
        <w:rPr>
          <w:rFonts w:ascii="Baskerville" w:hAnsi="Baskerville"/>
          <w:lang w:val="en-US"/>
        </w:rPr>
        <w:t>may</w:t>
      </w:r>
      <w:r w:rsidR="00C41B4A" w:rsidRPr="00430B90">
        <w:rPr>
          <w:rFonts w:ascii="Baskerville" w:hAnsi="Baskerville"/>
          <w:lang w:val="en-US"/>
        </w:rPr>
        <w:t xml:space="preserve"> include </w:t>
      </w:r>
      <w:r w:rsidR="00C83338" w:rsidRPr="00430B90">
        <w:rPr>
          <w:rFonts w:ascii="Baskerville" w:hAnsi="Baskerville"/>
          <w:lang w:val="en-US"/>
        </w:rPr>
        <w:t>‘</w:t>
      </w:r>
      <w:r w:rsidR="00C41B4A" w:rsidRPr="00430B90">
        <w:rPr>
          <w:rFonts w:ascii="Baskerville" w:hAnsi="Baskerville"/>
          <w:lang w:val="en-US"/>
        </w:rPr>
        <w:t>threats of serious or irreversible damage</w:t>
      </w:r>
      <w:r w:rsidR="00C83338" w:rsidRPr="00430B90">
        <w:rPr>
          <w:rFonts w:ascii="Baskerville" w:hAnsi="Baskerville"/>
          <w:lang w:val="en-US"/>
        </w:rPr>
        <w:t xml:space="preserve">’. </w:t>
      </w:r>
      <w:r w:rsidRPr="00430B90">
        <w:rPr>
          <w:rFonts w:ascii="Baskerville" w:hAnsi="Baskerville"/>
          <w:lang w:val="en-US"/>
        </w:rPr>
        <w:t xml:space="preserve">Terms </w:t>
      </w:r>
      <w:r w:rsidR="00C41B4A" w:rsidRPr="00430B90">
        <w:rPr>
          <w:rFonts w:ascii="Baskerville" w:hAnsi="Baskerville"/>
          <w:lang w:val="en-US"/>
        </w:rPr>
        <w:t xml:space="preserve">such as </w:t>
      </w:r>
      <w:r w:rsidR="00C83338" w:rsidRPr="00430B90">
        <w:rPr>
          <w:rFonts w:ascii="Baskerville" w:hAnsi="Baskerville"/>
          <w:lang w:val="en-US"/>
        </w:rPr>
        <w:t>‘harm’</w:t>
      </w:r>
      <w:r w:rsidR="00C41B4A" w:rsidRPr="00430B90">
        <w:rPr>
          <w:rFonts w:ascii="Baskerville" w:hAnsi="Baskerville"/>
          <w:lang w:val="en-US"/>
        </w:rPr>
        <w:t xml:space="preserve"> or </w:t>
      </w:r>
      <w:r w:rsidR="00C83338" w:rsidRPr="00430B90">
        <w:rPr>
          <w:rFonts w:ascii="Baskerville" w:hAnsi="Baskerville"/>
          <w:lang w:val="en-US"/>
        </w:rPr>
        <w:t>‘injury to the environment’</w:t>
      </w:r>
      <w:r w:rsidR="00C41B4A" w:rsidRPr="00430B90">
        <w:rPr>
          <w:rFonts w:ascii="Baskerville" w:hAnsi="Baskerville"/>
          <w:lang w:val="en-US"/>
        </w:rPr>
        <w:t xml:space="preserve"> could be used to </w:t>
      </w:r>
      <w:r w:rsidRPr="00430B90">
        <w:rPr>
          <w:rFonts w:ascii="Baskerville" w:hAnsi="Baskerville"/>
          <w:lang w:val="en-US"/>
        </w:rPr>
        <w:t>adjust the strength of</w:t>
      </w:r>
      <w:r w:rsidR="00C41B4A" w:rsidRPr="00430B90">
        <w:rPr>
          <w:rFonts w:ascii="Baskerville" w:hAnsi="Baskerville"/>
          <w:lang w:val="en-US"/>
        </w:rPr>
        <w:t xml:space="preserve"> the language of a legal document.</w:t>
      </w:r>
      <w:r w:rsidRPr="00430B90">
        <w:rPr>
          <w:rStyle w:val="FootnoteReference"/>
          <w:rFonts w:ascii="Baskerville" w:hAnsi="Baskerville"/>
          <w:lang w:val="en-US"/>
        </w:rPr>
        <w:footnoteReference w:id="66"/>
      </w:r>
      <w:r w:rsidR="00C41B4A" w:rsidRPr="00430B90">
        <w:rPr>
          <w:rFonts w:ascii="Baskerville" w:hAnsi="Baskerville"/>
          <w:lang w:val="en-US"/>
        </w:rPr>
        <w:t xml:space="preserve"> The </w:t>
      </w:r>
      <w:r w:rsidRPr="00430B90">
        <w:rPr>
          <w:rFonts w:ascii="Baskerville" w:hAnsi="Baskerville"/>
          <w:lang w:val="en-US"/>
        </w:rPr>
        <w:t xml:space="preserve">practical </w:t>
      </w:r>
      <w:r w:rsidR="00C41B4A" w:rsidRPr="00430B90">
        <w:rPr>
          <w:rFonts w:ascii="Baskerville" w:hAnsi="Baskerville"/>
          <w:lang w:val="en-US"/>
        </w:rPr>
        <w:t xml:space="preserve">test of the precautionary principle will be in its interpretation. In this </w:t>
      </w:r>
      <w:r w:rsidRPr="00430B90">
        <w:rPr>
          <w:rFonts w:ascii="Baskerville" w:hAnsi="Baskerville"/>
          <w:lang w:val="en-US"/>
        </w:rPr>
        <w:t>regard,</w:t>
      </w:r>
      <w:r w:rsidR="00C41B4A" w:rsidRPr="00430B90">
        <w:rPr>
          <w:rFonts w:ascii="Baskerville" w:hAnsi="Baskerville"/>
          <w:lang w:val="en-US"/>
        </w:rPr>
        <w:t xml:space="preserve"> we are </w:t>
      </w:r>
      <w:r w:rsidRPr="00430B90">
        <w:rPr>
          <w:rFonts w:ascii="Baskerville" w:hAnsi="Baskerville"/>
          <w:lang w:val="en-US"/>
        </w:rPr>
        <w:t xml:space="preserve">happy to not only </w:t>
      </w:r>
      <w:r w:rsidR="00C83338" w:rsidRPr="00430B90">
        <w:rPr>
          <w:rFonts w:ascii="Baskerville" w:hAnsi="Baskerville"/>
          <w:lang w:val="en-US"/>
        </w:rPr>
        <w:t>mak</w:t>
      </w:r>
      <w:r w:rsidRPr="00430B90">
        <w:rPr>
          <w:rFonts w:ascii="Baskerville" w:hAnsi="Baskerville"/>
          <w:lang w:val="en-US"/>
        </w:rPr>
        <w:t>e</w:t>
      </w:r>
      <w:r w:rsidR="00C83338" w:rsidRPr="00430B90">
        <w:rPr>
          <w:rFonts w:ascii="Baskerville" w:hAnsi="Baskerville"/>
          <w:lang w:val="en-US"/>
        </w:rPr>
        <w:t xml:space="preserve"> the word ‘serious’</w:t>
      </w:r>
      <w:r w:rsidR="00C41B4A" w:rsidRPr="00430B90">
        <w:rPr>
          <w:rFonts w:ascii="Baskerville" w:hAnsi="Baskerville"/>
          <w:lang w:val="en-US"/>
        </w:rPr>
        <w:t xml:space="preserve"> a threshold</w:t>
      </w:r>
      <w:r w:rsidRPr="00430B90">
        <w:rPr>
          <w:rFonts w:ascii="Baskerville" w:hAnsi="Baskerville"/>
          <w:lang w:val="en-US"/>
        </w:rPr>
        <w:t>,</w:t>
      </w:r>
      <w:r w:rsidR="00C41B4A" w:rsidRPr="00430B90">
        <w:rPr>
          <w:rFonts w:ascii="Baskerville" w:hAnsi="Baskerville"/>
          <w:lang w:val="en-US"/>
        </w:rPr>
        <w:t xml:space="preserve"> but in the </w:t>
      </w:r>
      <w:r w:rsidRPr="00430B90">
        <w:rPr>
          <w:rFonts w:ascii="Baskerville" w:hAnsi="Baskerville"/>
          <w:lang w:val="en-US"/>
        </w:rPr>
        <w:t>range</w:t>
      </w:r>
      <w:r w:rsidR="00C41B4A" w:rsidRPr="00430B90">
        <w:rPr>
          <w:rFonts w:ascii="Baskerville" w:hAnsi="Baskerville"/>
          <w:lang w:val="en-US"/>
        </w:rPr>
        <w:t xml:space="preserve"> of interpretations which will </w:t>
      </w:r>
      <w:r w:rsidRPr="00430B90">
        <w:rPr>
          <w:rFonts w:ascii="Baskerville" w:hAnsi="Baskerville"/>
          <w:lang w:val="en-US"/>
        </w:rPr>
        <w:t>be attributed</w:t>
      </w:r>
      <w:r w:rsidR="00C41B4A" w:rsidRPr="00430B90">
        <w:rPr>
          <w:rFonts w:ascii="Baskerville" w:hAnsi="Baskerville"/>
          <w:lang w:val="en-US"/>
        </w:rPr>
        <w:t xml:space="preserve"> to its use as a threshold. </w:t>
      </w:r>
      <w:r w:rsidRPr="00430B90">
        <w:rPr>
          <w:rFonts w:ascii="Baskerville" w:hAnsi="Baskerville"/>
          <w:lang w:val="en-US"/>
        </w:rPr>
        <w:t>There exists a</w:t>
      </w:r>
      <w:r w:rsidR="00C41B4A" w:rsidRPr="00430B90">
        <w:rPr>
          <w:rFonts w:ascii="Baskerville" w:hAnsi="Baskerville"/>
          <w:lang w:val="en-US"/>
        </w:rPr>
        <w:t xml:space="preserve"> possibility that the change of consciousness we have experienced in our </w:t>
      </w:r>
      <w:r w:rsidRPr="00430B90">
        <w:rPr>
          <w:rFonts w:ascii="Baskerville" w:hAnsi="Baskerville"/>
          <w:lang w:val="en-US"/>
        </w:rPr>
        <w:t>philosophical, scientific</w:t>
      </w:r>
      <w:r w:rsidR="00C41B4A" w:rsidRPr="00430B90">
        <w:rPr>
          <w:rFonts w:ascii="Baskerville" w:hAnsi="Baskerville"/>
          <w:lang w:val="en-US"/>
        </w:rPr>
        <w:t xml:space="preserve"> and political understanding of environmental problems will </w:t>
      </w:r>
      <w:r w:rsidRPr="00430B90">
        <w:rPr>
          <w:rFonts w:ascii="Baskerville" w:hAnsi="Baskerville"/>
          <w:lang w:val="en-US"/>
        </w:rPr>
        <w:t xml:space="preserve">encompass </w:t>
      </w:r>
      <w:r w:rsidR="00C41B4A" w:rsidRPr="00430B90">
        <w:rPr>
          <w:rFonts w:ascii="Baskerville" w:hAnsi="Baskerville"/>
          <w:lang w:val="en-US"/>
        </w:rPr>
        <w:t xml:space="preserve">the interpretative </w:t>
      </w:r>
      <w:r w:rsidRPr="00430B90">
        <w:rPr>
          <w:rFonts w:ascii="Baskerville" w:hAnsi="Baskerville"/>
          <w:lang w:val="en-US"/>
        </w:rPr>
        <w:t>perception</w:t>
      </w:r>
      <w:r w:rsidR="00C41B4A" w:rsidRPr="00430B90">
        <w:rPr>
          <w:rFonts w:ascii="Baskerville" w:hAnsi="Baskerville"/>
          <w:lang w:val="en-US"/>
        </w:rPr>
        <w:t xml:space="preserve"> of lawyers and decision-makers </w:t>
      </w:r>
      <w:r w:rsidRPr="00430B90">
        <w:rPr>
          <w:rFonts w:ascii="Baskerville" w:hAnsi="Baskerville"/>
          <w:lang w:val="en-US"/>
        </w:rPr>
        <w:t>in their</w:t>
      </w:r>
      <w:r w:rsidR="00C41B4A" w:rsidRPr="00430B90">
        <w:rPr>
          <w:rFonts w:ascii="Baskerville" w:hAnsi="Baskerville"/>
          <w:lang w:val="en-US"/>
        </w:rPr>
        <w:t xml:space="preserve"> approach</w:t>
      </w:r>
      <w:r w:rsidRPr="00430B90">
        <w:rPr>
          <w:rFonts w:ascii="Baskerville" w:hAnsi="Baskerville"/>
          <w:lang w:val="en-US"/>
        </w:rPr>
        <w:t xml:space="preserve"> to</w:t>
      </w:r>
      <w:r w:rsidR="00C41B4A" w:rsidRPr="00430B90">
        <w:rPr>
          <w:rFonts w:ascii="Baskerville" w:hAnsi="Baskerville"/>
          <w:lang w:val="en-US"/>
        </w:rPr>
        <w:t xml:space="preserve"> the meaning and effect of these threshold words.</w:t>
      </w:r>
      <w:r w:rsidR="00C41B4A" w:rsidRPr="00C41B4A">
        <w:rPr>
          <w:rFonts w:ascii="Baskerville" w:hAnsi="Baskerville"/>
          <w:color w:val="FF0000"/>
          <w:lang w:val="en-US"/>
        </w:rPr>
        <w:t xml:space="preserve"> </w:t>
      </w:r>
    </w:p>
    <w:p w14:paraId="6C022553" w14:textId="77777777" w:rsidR="00C41B4A" w:rsidRPr="00C41B4A" w:rsidRDefault="00C41B4A" w:rsidP="00C41B4A">
      <w:pPr>
        <w:rPr>
          <w:rFonts w:ascii="Baskerville" w:hAnsi="Baskerville"/>
          <w:color w:val="FF0000"/>
          <w:lang w:val="en-US"/>
        </w:rPr>
      </w:pPr>
    </w:p>
    <w:p w14:paraId="631A4F3D" w14:textId="035EBB7E" w:rsidR="005007AB" w:rsidRPr="00616455" w:rsidRDefault="005007AB" w:rsidP="00A8719B">
      <w:pPr>
        <w:pStyle w:val="ListParagraph"/>
        <w:numPr>
          <w:ilvl w:val="0"/>
          <w:numId w:val="4"/>
        </w:numPr>
        <w:rPr>
          <w:rFonts w:ascii="Baskerville" w:hAnsi="Baskerville"/>
          <w:b/>
          <w:lang w:val="en-US"/>
        </w:rPr>
      </w:pPr>
      <w:r w:rsidRPr="00616455">
        <w:rPr>
          <w:rFonts w:ascii="Baskerville" w:hAnsi="Baskerville"/>
          <w:b/>
          <w:lang w:val="en-US"/>
        </w:rPr>
        <w:t>The Burden of Proof</w:t>
      </w:r>
    </w:p>
    <w:p w14:paraId="5E8D1D2C" w14:textId="77777777" w:rsidR="00C41B4A" w:rsidRDefault="00C41B4A" w:rsidP="00C41B4A">
      <w:pPr>
        <w:rPr>
          <w:rFonts w:ascii="Baskerville" w:hAnsi="Baskerville"/>
          <w:color w:val="FF0000"/>
          <w:lang w:val="en-US"/>
        </w:rPr>
      </w:pPr>
    </w:p>
    <w:p w14:paraId="4B8F870C" w14:textId="7A48CBB0" w:rsidR="00C41B4A" w:rsidRPr="00C41B4A" w:rsidRDefault="00430B90" w:rsidP="00C41B4A">
      <w:pPr>
        <w:rPr>
          <w:rFonts w:ascii="Baskerville" w:hAnsi="Baskerville"/>
          <w:color w:val="FF0000"/>
          <w:lang w:val="en-US"/>
        </w:rPr>
      </w:pPr>
      <w:r w:rsidRPr="00430B90">
        <w:rPr>
          <w:rFonts w:ascii="Baskerville" w:hAnsi="Baskerville"/>
          <w:lang w:val="en-US"/>
        </w:rPr>
        <w:t>Here</w:t>
      </w:r>
      <w:r w:rsidR="00C41B4A" w:rsidRPr="00430B90">
        <w:rPr>
          <w:rFonts w:ascii="Baskerville" w:hAnsi="Baskerville"/>
          <w:lang w:val="en-US"/>
        </w:rPr>
        <w:t xml:space="preserve">, the burden rests on the </w:t>
      </w:r>
      <w:r w:rsidRPr="00430B90">
        <w:rPr>
          <w:rFonts w:ascii="Baskerville" w:hAnsi="Baskerville"/>
          <w:lang w:val="en-US"/>
        </w:rPr>
        <w:t xml:space="preserve">‘proto-polluter’, </w:t>
      </w:r>
      <w:r w:rsidR="00C41B4A" w:rsidRPr="00430B90">
        <w:rPr>
          <w:rFonts w:ascii="Baskerville" w:hAnsi="Baskerville"/>
          <w:lang w:val="en-US"/>
        </w:rPr>
        <w:t>which,</w:t>
      </w:r>
      <w:r w:rsidR="00C41B4A" w:rsidRPr="00C41B4A">
        <w:rPr>
          <w:rFonts w:ascii="Baskerville" w:hAnsi="Baskerville"/>
          <w:color w:val="FF0000"/>
          <w:lang w:val="en-US"/>
        </w:rPr>
        <w:t xml:space="preserve"> </w:t>
      </w:r>
      <w:r w:rsidR="00C41B4A" w:rsidRPr="00580BA7">
        <w:rPr>
          <w:rFonts w:ascii="Baskerville" w:hAnsi="Baskerville"/>
          <w:lang w:val="en-US"/>
        </w:rPr>
        <w:t xml:space="preserve">in the </w:t>
      </w:r>
      <w:r w:rsidR="00580BA7" w:rsidRPr="00580BA7">
        <w:rPr>
          <w:rFonts w:ascii="Baskerville" w:hAnsi="Baskerville"/>
          <w:lang w:val="en-US"/>
        </w:rPr>
        <w:t>instance</w:t>
      </w:r>
      <w:r w:rsidR="00C41B4A" w:rsidRPr="00580BA7">
        <w:rPr>
          <w:rFonts w:ascii="Baskerville" w:hAnsi="Baskerville"/>
          <w:lang w:val="en-US"/>
        </w:rPr>
        <w:t xml:space="preserve"> of an international declaration made by states, would be a polluting state acting on behalf of all those legal persons within its jurisdiction</w:t>
      </w:r>
      <w:r w:rsidR="00580BA7" w:rsidRPr="00580BA7">
        <w:rPr>
          <w:rFonts w:ascii="Baskerville" w:hAnsi="Baskerville"/>
          <w:lang w:val="en-US"/>
        </w:rPr>
        <w:t xml:space="preserve"> </w:t>
      </w:r>
      <w:r w:rsidR="00C41B4A" w:rsidRPr="00580BA7">
        <w:rPr>
          <w:rFonts w:ascii="Baskerville" w:hAnsi="Baskerville"/>
          <w:lang w:val="en-US"/>
        </w:rPr>
        <w:t xml:space="preserve">to </w:t>
      </w:r>
      <w:r w:rsidR="00580BA7" w:rsidRPr="00580BA7">
        <w:rPr>
          <w:rFonts w:ascii="Baskerville" w:hAnsi="Baskerville"/>
          <w:lang w:val="en-US"/>
        </w:rPr>
        <w:t>demonstrate</w:t>
      </w:r>
      <w:r w:rsidR="00C41B4A" w:rsidRPr="00580BA7">
        <w:rPr>
          <w:rFonts w:ascii="Baskerville" w:hAnsi="Baskerville"/>
          <w:lang w:val="en-US"/>
        </w:rPr>
        <w:t xml:space="preserve"> that an activity will not </w:t>
      </w:r>
      <w:r w:rsidR="00580BA7" w:rsidRPr="00580BA7">
        <w:rPr>
          <w:rFonts w:ascii="Baskerville" w:hAnsi="Baskerville"/>
          <w:lang w:val="en-US"/>
        </w:rPr>
        <w:t>lead to</w:t>
      </w:r>
      <w:r w:rsidR="00C41B4A" w:rsidRPr="00580BA7">
        <w:rPr>
          <w:rFonts w:ascii="Baskerville" w:hAnsi="Baskerville"/>
          <w:lang w:val="en-US"/>
        </w:rPr>
        <w:t xml:space="preserve"> environmental degradation. </w:t>
      </w:r>
      <w:r w:rsidR="00C41B4A" w:rsidRPr="00430B90">
        <w:rPr>
          <w:rFonts w:ascii="Baskerville" w:hAnsi="Baskerville"/>
          <w:lang w:val="en-US"/>
        </w:rPr>
        <w:t xml:space="preserve">This standard of proof </w:t>
      </w:r>
      <w:r w:rsidRPr="00430B90">
        <w:rPr>
          <w:rFonts w:ascii="Baskerville" w:hAnsi="Baskerville"/>
          <w:lang w:val="en-US"/>
        </w:rPr>
        <w:t>resembles</w:t>
      </w:r>
      <w:r w:rsidR="00C41B4A" w:rsidRPr="00430B90">
        <w:rPr>
          <w:rFonts w:ascii="Baskerville" w:hAnsi="Baskerville"/>
          <w:lang w:val="en-US"/>
        </w:rPr>
        <w:t xml:space="preserve"> the balance of probabilities in English civil law.</w:t>
      </w:r>
      <w:r w:rsidR="00C41B4A" w:rsidRPr="00C41B4A">
        <w:rPr>
          <w:rFonts w:ascii="Baskerville" w:hAnsi="Baskerville"/>
          <w:color w:val="FF0000"/>
          <w:lang w:val="en-US"/>
        </w:rPr>
        <w:t xml:space="preserve"> </w:t>
      </w:r>
    </w:p>
    <w:p w14:paraId="2078CECC" w14:textId="77777777" w:rsidR="00C41B4A" w:rsidRPr="00C41B4A" w:rsidRDefault="00C41B4A" w:rsidP="00C41B4A">
      <w:pPr>
        <w:rPr>
          <w:rFonts w:ascii="Baskerville" w:hAnsi="Baskerville"/>
          <w:color w:val="FF0000"/>
          <w:lang w:val="en-US"/>
        </w:rPr>
      </w:pPr>
    </w:p>
    <w:p w14:paraId="644B8C90" w14:textId="415C6E91" w:rsidR="005007AB" w:rsidRPr="00616455" w:rsidRDefault="005007AB" w:rsidP="00A8719B">
      <w:pPr>
        <w:pStyle w:val="ListParagraph"/>
        <w:numPr>
          <w:ilvl w:val="0"/>
          <w:numId w:val="4"/>
        </w:numPr>
        <w:rPr>
          <w:rFonts w:ascii="Baskerville" w:hAnsi="Baskerville"/>
          <w:b/>
          <w:lang w:val="en-US"/>
        </w:rPr>
      </w:pPr>
      <w:r w:rsidRPr="00616455">
        <w:rPr>
          <w:rFonts w:ascii="Baskerville" w:hAnsi="Baskerville"/>
          <w:b/>
          <w:lang w:val="en-US"/>
        </w:rPr>
        <w:t>The Positive Obligation</w:t>
      </w:r>
    </w:p>
    <w:p w14:paraId="1DA9373F" w14:textId="77777777" w:rsidR="00C41B4A" w:rsidRDefault="00C41B4A" w:rsidP="00C41B4A">
      <w:pPr>
        <w:rPr>
          <w:rFonts w:ascii="Baskerville" w:hAnsi="Baskerville"/>
          <w:color w:val="FF0000"/>
          <w:lang w:val="en-US"/>
        </w:rPr>
      </w:pPr>
    </w:p>
    <w:p w14:paraId="385A6F2A" w14:textId="57EF62AA" w:rsidR="00C41B4A" w:rsidRPr="00C41B4A" w:rsidRDefault="00C41B4A" w:rsidP="00C41B4A">
      <w:pPr>
        <w:rPr>
          <w:rFonts w:ascii="Baskerville" w:hAnsi="Baskerville"/>
          <w:color w:val="FF0000"/>
          <w:lang w:val="en-US"/>
        </w:rPr>
      </w:pPr>
      <w:r w:rsidRPr="00FB56B4">
        <w:rPr>
          <w:rFonts w:ascii="Baskerville" w:hAnsi="Baskerville"/>
          <w:lang w:val="en-US"/>
        </w:rPr>
        <w:t xml:space="preserve">This </w:t>
      </w:r>
      <w:r w:rsidR="00FB56B4" w:rsidRPr="00FB56B4">
        <w:rPr>
          <w:rFonts w:ascii="Baskerville" w:hAnsi="Baskerville"/>
          <w:lang w:val="en-US"/>
        </w:rPr>
        <w:t>is</w:t>
      </w:r>
      <w:r w:rsidRPr="00FB56B4">
        <w:rPr>
          <w:rFonts w:ascii="Baskerville" w:hAnsi="Baskerville"/>
          <w:lang w:val="en-US"/>
        </w:rPr>
        <w:t xml:space="preserve"> a duty to educate decision-makers at </w:t>
      </w:r>
      <w:r w:rsidR="00FB56B4" w:rsidRPr="00FB56B4">
        <w:rPr>
          <w:rFonts w:ascii="Baskerville" w:hAnsi="Baskerville"/>
          <w:lang w:val="en-US"/>
        </w:rPr>
        <w:t>every level</w:t>
      </w:r>
      <w:r w:rsidRPr="00FB56B4">
        <w:rPr>
          <w:rFonts w:ascii="Baskerville" w:hAnsi="Baskerville"/>
          <w:lang w:val="en-US"/>
        </w:rPr>
        <w:t xml:space="preserve"> </w:t>
      </w:r>
      <w:r w:rsidR="00FB56B4" w:rsidRPr="00FB56B4">
        <w:rPr>
          <w:rFonts w:ascii="Baskerville" w:hAnsi="Baskerville"/>
          <w:lang w:val="en-US"/>
        </w:rPr>
        <w:t>so</w:t>
      </w:r>
      <w:r w:rsidRPr="00FB56B4">
        <w:rPr>
          <w:rFonts w:ascii="Baskerville" w:hAnsi="Baskerville"/>
          <w:lang w:val="en-US"/>
        </w:rPr>
        <w:t xml:space="preserve"> that they may make </w:t>
      </w:r>
      <w:r w:rsidR="00FB56B4" w:rsidRPr="00FB56B4">
        <w:rPr>
          <w:rFonts w:ascii="Baskerville" w:hAnsi="Baskerville"/>
          <w:lang w:val="en-US"/>
        </w:rPr>
        <w:t>an</w:t>
      </w:r>
      <w:r w:rsidRPr="00FB56B4">
        <w:rPr>
          <w:rFonts w:ascii="Baskerville" w:hAnsi="Baskerville"/>
          <w:lang w:val="en-US"/>
        </w:rPr>
        <w:t xml:space="preserve"> effort to </w:t>
      </w:r>
      <w:r w:rsidR="00FB56B4" w:rsidRPr="00FB56B4">
        <w:rPr>
          <w:rFonts w:ascii="Baskerville" w:hAnsi="Baskerville"/>
          <w:lang w:val="en-US"/>
        </w:rPr>
        <w:t>stop</w:t>
      </w:r>
      <w:r w:rsidRPr="00FB56B4">
        <w:rPr>
          <w:rFonts w:ascii="Baskerville" w:hAnsi="Baskerville"/>
          <w:lang w:val="en-US"/>
        </w:rPr>
        <w:t xml:space="preserve"> the causes of environmental degradation.</w:t>
      </w:r>
      <w:r w:rsidRPr="00C41B4A">
        <w:rPr>
          <w:rFonts w:ascii="Baskerville" w:hAnsi="Baskerville"/>
          <w:color w:val="FF0000"/>
          <w:lang w:val="en-US"/>
        </w:rPr>
        <w:t xml:space="preserve"> </w:t>
      </w:r>
      <w:r w:rsidRPr="00DE7848">
        <w:rPr>
          <w:rFonts w:ascii="Baskerville" w:hAnsi="Baskerville"/>
          <w:lang w:val="en-US"/>
        </w:rPr>
        <w:t xml:space="preserve">It </w:t>
      </w:r>
      <w:r w:rsidR="00FB56B4" w:rsidRPr="00DE7848">
        <w:rPr>
          <w:rFonts w:ascii="Baskerville" w:hAnsi="Baskerville"/>
          <w:lang w:val="en-US"/>
        </w:rPr>
        <w:t>requires</w:t>
      </w:r>
      <w:r w:rsidRPr="00DE7848">
        <w:rPr>
          <w:rFonts w:ascii="Baskerville" w:hAnsi="Baskerville"/>
          <w:lang w:val="en-US"/>
        </w:rPr>
        <w:t xml:space="preserve"> states to establish principles and procedures to </w:t>
      </w:r>
      <w:r w:rsidR="00DE7848" w:rsidRPr="00DE7848">
        <w:rPr>
          <w:rFonts w:ascii="Baskerville" w:hAnsi="Baskerville"/>
          <w:lang w:val="en-US"/>
        </w:rPr>
        <w:t>guarantee</w:t>
      </w:r>
      <w:r w:rsidRPr="00DE7848">
        <w:rPr>
          <w:rFonts w:ascii="Baskerville" w:hAnsi="Baskerville"/>
          <w:lang w:val="en-US"/>
        </w:rPr>
        <w:t xml:space="preserve"> that activities within their jurisdiction and control have </w:t>
      </w:r>
      <w:r w:rsidR="00DE7848" w:rsidRPr="00DE7848">
        <w:rPr>
          <w:rFonts w:ascii="Baskerville" w:hAnsi="Baskerville"/>
          <w:lang w:val="en-US"/>
        </w:rPr>
        <w:t>‘</w:t>
      </w:r>
      <w:r w:rsidRPr="00DE7848">
        <w:rPr>
          <w:rFonts w:ascii="Baskerville" w:hAnsi="Baskerville"/>
          <w:lang w:val="en-US"/>
        </w:rPr>
        <w:t>overcome the burden of establishing that they do not cause serious or irreversible harm to the environment</w:t>
      </w:r>
      <w:r w:rsidR="00DE7848" w:rsidRPr="00DE7848">
        <w:rPr>
          <w:rFonts w:ascii="Baskerville" w:hAnsi="Baskerville"/>
          <w:lang w:val="en-US"/>
        </w:rPr>
        <w:t>’</w:t>
      </w:r>
      <w:r w:rsidRPr="00DE7848">
        <w:rPr>
          <w:rFonts w:ascii="Baskerville" w:hAnsi="Baskerville"/>
          <w:lang w:val="en-US"/>
        </w:rPr>
        <w:t>.</w:t>
      </w:r>
      <w:r w:rsidR="00FB56B4" w:rsidRPr="00DE7848">
        <w:rPr>
          <w:rStyle w:val="FootnoteReference"/>
          <w:rFonts w:ascii="Baskerville" w:hAnsi="Baskerville"/>
          <w:lang w:val="en-US"/>
        </w:rPr>
        <w:footnoteReference w:id="67"/>
      </w:r>
      <w:r w:rsidR="00FB56B4" w:rsidRPr="00DE7848">
        <w:rPr>
          <w:rFonts w:ascii="Baskerville" w:hAnsi="Baskerville"/>
          <w:lang w:val="en-US"/>
        </w:rPr>
        <w:t xml:space="preserve"> </w:t>
      </w:r>
      <w:r w:rsidRPr="00FB56B4">
        <w:rPr>
          <w:rFonts w:ascii="Baskerville" w:hAnsi="Baskerville"/>
          <w:lang w:val="en-US"/>
        </w:rPr>
        <w:t xml:space="preserve">The duty is owed to </w:t>
      </w:r>
      <w:r w:rsidR="00FB56B4" w:rsidRPr="00FB56B4">
        <w:rPr>
          <w:rFonts w:ascii="Baskerville" w:hAnsi="Baskerville"/>
          <w:lang w:val="en-US"/>
        </w:rPr>
        <w:t xml:space="preserve">the whole of </w:t>
      </w:r>
      <w:r w:rsidRPr="00FB56B4">
        <w:rPr>
          <w:rFonts w:ascii="Baskerville" w:hAnsi="Baskerville"/>
          <w:lang w:val="en-US"/>
        </w:rPr>
        <w:t xml:space="preserve">international society and not </w:t>
      </w:r>
      <w:r w:rsidR="00FB56B4" w:rsidRPr="00FB56B4">
        <w:rPr>
          <w:rFonts w:ascii="Baskerville" w:hAnsi="Baskerville"/>
          <w:lang w:val="en-US"/>
        </w:rPr>
        <w:t>merely</w:t>
      </w:r>
      <w:r w:rsidRPr="00FB56B4">
        <w:rPr>
          <w:rFonts w:ascii="Baskerville" w:hAnsi="Baskerville"/>
          <w:lang w:val="en-US"/>
        </w:rPr>
        <w:t xml:space="preserve"> to other states.</w:t>
      </w:r>
      <w:r w:rsidRPr="00C41B4A">
        <w:rPr>
          <w:rFonts w:ascii="Baskerville" w:hAnsi="Baskerville"/>
          <w:color w:val="FF0000"/>
          <w:lang w:val="en-US"/>
        </w:rPr>
        <w:t xml:space="preserve"> </w:t>
      </w:r>
    </w:p>
    <w:p w14:paraId="692E7A9A" w14:textId="77777777" w:rsidR="00C41B4A" w:rsidRPr="00C41B4A" w:rsidRDefault="00C41B4A" w:rsidP="00C41B4A">
      <w:pPr>
        <w:rPr>
          <w:rFonts w:ascii="Baskerville" w:hAnsi="Baskerville"/>
          <w:color w:val="FF0000"/>
          <w:lang w:val="en-US"/>
        </w:rPr>
      </w:pPr>
    </w:p>
    <w:p w14:paraId="120A8CFE" w14:textId="343B66DF" w:rsidR="005007AB" w:rsidRPr="00616455" w:rsidRDefault="005007AB" w:rsidP="00A8719B">
      <w:pPr>
        <w:pStyle w:val="ListParagraph"/>
        <w:numPr>
          <w:ilvl w:val="0"/>
          <w:numId w:val="4"/>
        </w:numPr>
        <w:rPr>
          <w:rFonts w:ascii="Baskerville" w:hAnsi="Baskerville"/>
          <w:b/>
          <w:lang w:val="en-US"/>
        </w:rPr>
      </w:pPr>
      <w:r w:rsidRPr="00616455">
        <w:rPr>
          <w:rFonts w:ascii="Baskerville" w:hAnsi="Baskerville"/>
          <w:b/>
          <w:lang w:val="en-US"/>
        </w:rPr>
        <w:t>A Policy for Action in the Face of Uncertainty</w:t>
      </w:r>
    </w:p>
    <w:p w14:paraId="31A0F366" w14:textId="77777777" w:rsidR="00920A91" w:rsidRDefault="00920A91" w:rsidP="00E0699F">
      <w:pPr>
        <w:rPr>
          <w:rFonts w:ascii="Baskerville" w:hAnsi="Baskerville"/>
          <w:color w:val="FF0000"/>
          <w:lang w:val="en-US"/>
        </w:rPr>
      </w:pPr>
    </w:p>
    <w:p w14:paraId="5D421ADE" w14:textId="37CD2494" w:rsidR="00943E49" w:rsidRPr="003C6FFB" w:rsidRDefault="00943E49" w:rsidP="00943E49">
      <w:pPr>
        <w:rPr>
          <w:rFonts w:ascii="Baskerville" w:hAnsi="Baskerville"/>
          <w:lang w:val="en-US"/>
        </w:rPr>
      </w:pPr>
      <w:r w:rsidRPr="003C6FFB">
        <w:rPr>
          <w:rFonts w:ascii="Baskerville" w:hAnsi="Baskerville"/>
          <w:lang w:val="en-US"/>
        </w:rPr>
        <w:t xml:space="preserve">This </w:t>
      </w:r>
      <w:r w:rsidR="003C6FFB" w:rsidRPr="003C6FFB">
        <w:rPr>
          <w:rFonts w:ascii="Baskerville" w:hAnsi="Baskerville"/>
          <w:lang w:val="en-US"/>
        </w:rPr>
        <w:t xml:space="preserve">results in a liability for omissions. </w:t>
      </w:r>
      <w:r w:rsidR="003C6FFB">
        <w:rPr>
          <w:rFonts w:ascii="Baskerville" w:hAnsi="Baskerville"/>
          <w:lang w:val="en-US"/>
        </w:rPr>
        <w:t>An i</w:t>
      </w:r>
      <w:r w:rsidR="003C6FFB" w:rsidRPr="003C6FFB">
        <w:rPr>
          <w:rFonts w:ascii="Baskerville" w:hAnsi="Baskerville"/>
          <w:lang w:val="en-US"/>
        </w:rPr>
        <w:t>nability</w:t>
      </w:r>
      <w:r w:rsidRPr="003C6FFB">
        <w:rPr>
          <w:rFonts w:ascii="Baskerville" w:hAnsi="Baskerville"/>
          <w:lang w:val="en-US"/>
        </w:rPr>
        <w:t xml:space="preserve"> to act, </w:t>
      </w:r>
      <w:r w:rsidR="003C6FFB">
        <w:rPr>
          <w:rFonts w:ascii="Baskerville" w:hAnsi="Baskerville"/>
          <w:lang w:val="en-US"/>
        </w:rPr>
        <w:t xml:space="preserve">based </w:t>
      </w:r>
      <w:r w:rsidRPr="003C6FFB">
        <w:rPr>
          <w:rFonts w:ascii="Baskerville" w:hAnsi="Baskerville"/>
          <w:lang w:val="en-US"/>
        </w:rPr>
        <w:t xml:space="preserve">on </w:t>
      </w:r>
      <w:r w:rsidR="003C6FFB">
        <w:rPr>
          <w:rFonts w:ascii="Baskerville" w:hAnsi="Baskerville"/>
          <w:lang w:val="en-US"/>
        </w:rPr>
        <w:t xml:space="preserve">the grounds of </w:t>
      </w:r>
      <w:r w:rsidR="003C6FFB" w:rsidRPr="003C6FFB">
        <w:rPr>
          <w:rFonts w:ascii="Baskerville" w:hAnsi="Baskerville"/>
          <w:lang w:val="en-US"/>
        </w:rPr>
        <w:t>scientific uncertainty</w:t>
      </w:r>
      <w:r w:rsidRPr="003C6FFB">
        <w:rPr>
          <w:rFonts w:ascii="Baskerville" w:hAnsi="Baskerville"/>
          <w:lang w:val="en-US"/>
        </w:rPr>
        <w:t xml:space="preserve">, to prevent environmental </w:t>
      </w:r>
      <w:r w:rsidR="003C6FFB" w:rsidRPr="003C6FFB">
        <w:rPr>
          <w:rFonts w:ascii="Baskerville" w:hAnsi="Baskerville"/>
          <w:lang w:val="en-US"/>
        </w:rPr>
        <w:t>harm</w:t>
      </w:r>
      <w:r w:rsidRPr="003C6FFB">
        <w:rPr>
          <w:rFonts w:ascii="Baskerville" w:hAnsi="Baskerville"/>
          <w:lang w:val="en-US"/>
        </w:rPr>
        <w:t xml:space="preserve"> breach</w:t>
      </w:r>
      <w:r w:rsidR="003C6FFB" w:rsidRPr="003C6FFB">
        <w:rPr>
          <w:rFonts w:ascii="Baskerville" w:hAnsi="Baskerville"/>
          <w:lang w:val="en-US"/>
        </w:rPr>
        <w:t xml:space="preserve">es </w:t>
      </w:r>
      <w:r w:rsidRPr="003C6FFB">
        <w:rPr>
          <w:rFonts w:ascii="Baskerville" w:hAnsi="Baskerville"/>
          <w:lang w:val="en-US"/>
        </w:rPr>
        <w:t xml:space="preserve">international law under this definition. </w:t>
      </w:r>
    </w:p>
    <w:p w14:paraId="210EABC3" w14:textId="135C6001" w:rsidR="00943E49" w:rsidRPr="00943E49" w:rsidRDefault="00943E49" w:rsidP="005E4F4C">
      <w:pPr>
        <w:rPr>
          <w:rFonts w:ascii="Baskerville" w:hAnsi="Baskerville"/>
          <w:color w:val="FF0000"/>
          <w:lang w:val="en-US"/>
        </w:rPr>
      </w:pPr>
      <w:r w:rsidRPr="00943E49">
        <w:rPr>
          <w:rFonts w:ascii="Baskerville" w:hAnsi="Baskerville"/>
          <w:color w:val="FF0000"/>
          <w:lang w:val="en-US"/>
        </w:rPr>
        <w:t xml:space="preserve"> </w:t>
      </w:r>
    </w:p>
    <w:p w14:paraId="76935FD1" w14:textId="54178986" w:rsidR="005F3D75" w:rsidRPr="008A046F" w:rsidRDefault="008A046F" w:rsidP="005E4F4C">
      <w:pPr>
        <w:rPr>
          <w:rFonts w:ascii="Baskerville" w:hAnsi="Baskerville"/>
          <w:b/>
          <w:u w:val="single"/>
        </w:rPr>
      </w:pPr>
      <w:r w:rsidRPr="008A046F">
        <w:rPr>
          <w:rFonts w:ascii="Baskerville" w:hAnsi="Baskerville"/>
          <w:b/>
          <w:u w:val="single"/>
        </w:rPr>
        <w:t>Conclusion</w:t>
      </w:r>
    </w:p>
    <w:p w14:paraId="2603C3EE" w14:textId="77777777" w:rsidR="008A046F" w:rsidRDefault="008A046F" w:rsidP="005E4F4C">
      <w:pPr>
        <w:rPr>
          <w:rFonts w:ascii="Baskerville" w:hAnsi="Baskerville"/>
          <w:b/>
        </w:rPr>
      </w:pPr>
    </w:p>
    <w:p w14:paraId="61FD574F" w14:textId="6DC3AC29" w:rsidR="005A061F" w:rsidRDefault="005A061F" w:rsidP="005E4F4C">
      <w:pPr>
        <w:rPr>
          <w:rFonts w:ascii="Baskerville" w:hAnsi="Baskerville"/>
          <w:color w:val="FF0000"/>
          <w:lang w:val="en-US"/>
        </w:rPr>
      </w:pPr>
      <w:r w:rsidRPr="00600491">
        <w:rPr>
          <w:rFonts w:ascii="Baskerville" w:hAnsi="Baskerville"/>
          <w:lang w:val="en-US"/>
        </w:rPr>
        <w:t>A</w:t>
      </w:r>
      <w:r w:rsidR="00600491" w:rsidRPr="00600491">
        <w:rPr>
          <w:rFonts w:ascii="Baskerville" w:hAnsi="Baskerville"/>
          <w:lang w:val="en-US"/>
        </w:rPr>
        <w:t>n environmental</w:t>
      </w:r>
      <w:r w:rsidRPr="00600491">
        <w:rPr>
          <w:rFonts w:ascii="Baskerville" w:hAnsi="Baskerville"/>
          <w:lang w:val="en-US"/>
        </w:rPr>
        <w:t xml:space="preserve"> principle </w:t>
      </w:r>
      <w:r w:rsidR="00600491" w:rsidRPr="00600491">
        <w:rPr>
          <w:rFonts w:ascii="Baskerville" w:hAnsi="Baskerville"/>
          <w:lang w:val="en-US"/>
        </w:rPr>
        <w:t>carries</w:t>
      </w:r>
      <w:r w:rsidRPr="00600491">
        <w:rPr>
          <w:rFonts w:ascii="Baskerville" w:hAnsi="Baskerville"/>
          <w:lang w:val="en-US"/>
        </w:rPr>
        <w:t xml:space="preserve"> different meanings in different legal </w:t>
      </w:r>
      <w:r w:rsidR="00600491" w:rsidRPr="00600491">
        <w:rPr>
          <w:rFonts w:ascii="Baskerville" w:hAnsi="Baskerville"/>
          <w:lang w:val="en-US"/>
        </w:rPr>
        <w:t>jurisdictions</w:t>
      </w:r>
      <w:r w:rsidRPr="00600491">
        <w:rPr>
          <w:rFonts w:ascii="Baskerville" w:hAnsi="Baskerville"/>
          <w:lang w:val="en-US"/>
        </w:rPr>
        <w:t>.</w:t>
      </w:r>
      <w:r w:rsidRPr="002C53E8">
        <w:rPr>
          <w:rFonts w:ascii="Baskerville" w:hAnsi="Baskerville"/>
          <w:color w:val="FF0000"/>
          <w:lang w:val="en-US"/>
        </w:rPr>
        <w:t xml:space="preserve"> </w:t>
      </w:r>
      <w:r w:rsidR="00D909AD" w:rsidRPr="009B7995">
        <w:rPr>
          <w:rFonts w:ascii="Baskerville" w:hAnsi="Baskerville"/>
          <w:lang w:val="en-US"/>
        </w:rPr>
        <w:t>But</w:t>
      </w:r>
      <w:r w:rsidRPr="009B7995">
        <w:rPr>
          <w:rFonts w:ascii="Baskerville" w:hAnsi="Baskerville"/>
          <w:lang w:val="en-US"/>
        </w:rPr>
        <w:t xml:space="preserve">, </w:t>
      </w:r>
      <w:r w:rsidR="00D909AD" w:rsidRPr="009B7995">
        <w:rPr>
          <w:rFonts w:ascii="Baskerville" w:hAnsi="Baskerville"/>
          <w:lang w:val="en-US"/>
        </w:rPr>
        <w:t>irrespective</w:t>
      </w:r>
      <w:r w:rsidRPr="009B7995">
        <w:rPr>
          <w:rFonts w:ascii="Baskerville" w:hAnsi="Baskerville"/>
          <w:lang w:val="en-US"/>
        </w:rPr>
        <w:t xml:space="preserve"> of the legal system, principles are the </w:t>
      </w:r>
      <w:r w:rsidR="00D909AD" w:rsidRPr="009B7995">
        <w:rPr>
          <w:rFonts w:ascii="Baskerville" w:hAnsi="Baskerville"/>
          <w:lang w:val="en-US"/>
        </w:rPr>
        <w:t>core</w:t>
      </w:r>
      <w:r w:rsidRPr="009B7995">
        <w:rPr>
          <w:rFonts w:ascii="Baskerville" w:hAnsi="Baskerville"/>
          <w:lang w:val="en-US"/>
        </w:rPr>
        <w:t xml:space="preserve"> </w:t>
      </w:r>
      <w:r w:rsidR="00D909AD" w:rsidRPr="009B7995">
        <w:rPr>
          <w:rFonts w:ascii="Baskerville" w:hAnsi="Baskerville"/>
          <w:lang w:val="en-US"/>
        </w:rPr>
        <w:t>concepts</w:t>
      </w:r>
      <w:r w:rsidRPr="009B7995">
        <w:rPr>
          <w:rFonts w:ascii="Baskerville" w:hAnsi="Baskerville"/>
          <w:lang w:val="en-US"/>
        </w:rPr>
        <w:t xml:space="preserve">, </w:t>
      </w:r>
      <w:r w:rsidR="00D909AD" w:rsidRPr="009B7995">
        <w:rPr>
          <w:rFonts w:ascii="Baskerville" w:hAnsi="Baskerville"/>
          <w:lang w:val="en-US"/>
        </w:rPr>
        <w:t xml:space="preserve">signifying its </w:t>
      </w:r>
      <w:r w:rsidRPr="009B7995">
        <w:rPr>
          <w:rFonts w:ascii="Baskerville" w:hAnsi="Baskerville"/>
          <w:lang w:val="en-US"/>
        </w:rPr>
        <w:t>coherent meaning.</w:t>
      </w:r>
      <w:r w:rsidRPr="002C53E8">
        <w:rPr>
          <w:rFonts w:ascii="Baskerville" w:hAnsi="Baskerville"/>
          <w:color w:val="FF0000"/>
          <w:lang w:val="en-US"/>
        </w:rPr>
        <w:t xml:space="preserve"> </w:t>
      </w:r>
      <w:r w:rsidRPr="009B7995">
        <w:rPr>
          <w:rFonts w:ascii="Baskerville" w:hAnsi="Baskerville"/>
          <w:lang w:val="en-US"/>
        </w:rPr>
        <w:t xml:space="preserve">A principle is the </w:t>
      </w:r>
      <w:r w:rsidR="009B7995" w:rsidRPr="009B7995">
        <w:rPr>
          <w:rFonts w:ascii="Baskerville" w:hAnsi="Baskerville"/>
          <w:lang w:val="en-US"/>
        </w:rPr>
        <w:t>main</w:t>
      </w:r>
      <w:r w:rsidRPr="009B7995">
        <w:rPr>
          <w:rFonts w:ascii="Baskerville" w:hAnsi="Baskerville"/>
          <w:lang w:val="en-US"/>
        </w:rPr>
        <w:t xml:space="preserve"> determin</w:t>
      </w:r>
      <w:r w:rsidR="009B7995" w:rsidRPr="009B7995">
        <w:rPr>
          <w:rFonts w:ascii="Baskerville" w:hAnsi="Baskerville"/>
          <w:lang w:val="en-US"/>
        </w:rPr>
        <w:t>ing factor</w:t>
      </w:r>
      <w:r w:rsidRPr="009B7995">
        <w:rPr>
          <w:rFonts w:ascii="Baskerville" w:hAnsi="Baskerville"/>
          <w:lang w:val="en-US"/>
        </w:rPr>
        <w:t xml:space="preserve"> of a </w:t>
      </w:r>
      <w:r w:rsidR="009B7995" w:rsidRPr="009B7995">
        <w:rPr>
          <w:rFonts w:ascii="Baskerville" w:hAnsi="Baskerville"/>
          <w:lang w:val="en-US"/>
        </w:rPr>
        <w:t xml:space="preserve">particular legal system </w:t>
      </w:r>
      <w:r w:rsidRPr="009B7995">
        <w:rPr>
          <w:rFonts w:ascii="Baskerville" w:hAnsi="Baskerville"/>
          <w:lang w:val="en-US"/>
        </w:rPr>
        <w:t xml:space="preserve">because of its </w:t>
      </w:r>
      <w:r w:rsidR="009B7995" w:rsidRPr="009B7995">
        <w:rPr>
          <w:rFonts w:ascii="Baskerville" w:hAnsi="Baskerville"/>
          <w:lang w:val="en-US"/>
        </w:rPr>
        <w:t>‘</w:t>
      </w:r>
      <w:r w:rsidRPr="009B7995">
        <w:rPr>
          <w:rFonts w:ascii="Baskerville" w:hAnsi="Baskerville"/>
          <w:lang w:val="en-US"/>
        </w:rPr>
        <w:t>superior hierarchy, influences and resonat</w:t>
      </w:r>
      <w:r w:rsidR="009B7995">
        <w:rPr>
          <w:rFonts w:ascii="Baskerville" w:hAnsi="Baskerville"/>
          <w:lang w:val="en-US"/>
        </w:rPr>
        <w:t>ion</w:t>
      </w:r>
      <w:r w:rsidRPr="009B7995">
        <w:rPr>
          <w:rFonts w:ascii="Baskerville" w:hAnsi="Baskerville"/>
          <w:lang w:val="en-US"/>
        </w:rPr>
        <w:t xml:space="preserve"> on all norms of the system and on the way to apply them</w:t>
      </w:r>
      <w:r w:rsidR="009B7995" w:rsidRPr="009B7995">
        <w:rPr>
          <w:rFonts w:ascii="Baskerville" w:hAnsi="Baskerville"/>
          <w:lang w:val="en-US"/>
        </w:rPr>
        <w:t>’</w:t>
      </w:r>
      <w:r w:rsidRPr="009B7995">
        <w:rPr>
          <w:rFonts w:ascii="Baskerville" w:hAnsi="Baskerville"/>
          <w:lang w:val="en-US"/>
        </w:rPr>
        <w:t>.</w:t>
      </w:r>
      <w:r w:rsidR="002972A4" w:rsidRPr="009B7995">
        <w:rPr>
          <w:rStyle w:val="FootnoteReference"/>
          <w:rFonts w:ascii="Baskerville" w:hAnsi="Baskerville"/>
          <w:lang w:val="en-US"/>
        </w:rPr>
        <w:footnoteReference w:id="68"/>
      </w:r>
      <w:r w:rsidRPr="002C53E8">
        <w:rPr>
          <w:rFonts w:ascii="Baskerville" w:hAnsi="Baskerville"/>
          <w:color w:val="FF0000"/>
          <w:lang w:val="en-US"/>
        </w:rPr>
        <w:t xml:space="preserve"> </w:t>
      </w:r>
    </w:p>
    <w:p w14:paraId="0617A02D" w14:textId="77777777" w:rsidR="00D909AD" w:rsidRDefault="00D909AD" w:rsidP="005E4F4C">
      <w:pPr>
        <w:rPr>
          <w:rFonts w:ascii="Baskerville" w:hAnsi="Baskerville"/>
          <w:color w:val="FF0000"/>
        </w:rPr>
      </w:pPr>
    </w:p>
    <w:p w14:paraId="6E088BB8" w14:textId="1BFCB5F6" w:rsidR="005E4F4C" w:rsidRPr="005A061F" w:rsidRDefault="005E4F4C" w:rsidP="005E4F4C">
      <w:pPr>
        <w:rPr>
          <w:rFonts w:ascii="Baskerville" w:hAnsi="Baskerville"/>
          <w:color w:val="FF0000"/>
          <w:lang w:val="en-US"/>
        </w:rPr>
      </w:pPr>
      <w:r w:rsidRPr="00207534">
        <w:rPr>
          <w:rFonts w:ascii="Baskerville" w:hAnsi="Baskerville"/>
        </w:rPr>
        <w:t>Many environmental lawyers have argued that the precautionary principle is already a principle of customary international law.</w:t>
      </w:r>
      <w:r w:rsidRPr="00207534">
        <w:rPr>
          <w:rFonts w:ascii="Baskerville" w:hAnsi="Baskerville"/>
          <w:vertAlign w:val="superscript"/>
        </w:rPr>
        <w:footnoteReference w:id="69"/>
      </w:r>
      <w:r w:rsidRPr="00207534">
        <w:rPr>
          <w:rFonts w:ascii="Baskerville" w:hAnsi="Baskerville"/>
        </w:rPr>
        <w:t xml:space="preserve"> </w:t>
      </w:r>
      <w:r w:rsidR="00866B6B">
        <w:rPr>
          <w:rFonts w:ascii="Baskerville" w:hAnsi="Baskerville"/>
        </w:rPr>
        <w:t>However, t</w:t>
      </w:r>
      <w:r w:rsidRPr="00207534">
        <w:rPr>
          <w:rFonts w:ascii="Baskerville" w:hAnsi="Baskerville"/>
        </w:rPr>
        <w:t>he Treaty Establishing the European Community does not provide a definition of the precautionary principle.</w:t>
      </w:r>
      <w:r w:rsidR="00A8686E">
        <w:rPr>
          <w:rStyle w:val="FootnoteReference"/>
          <w:rFonts w:ascii="Baskerville" w:hAnsi="Baskerville"/>
        </w:rPr>
        <w:footnoteReference w:id="70"/>
      </w:r>
      <w:r w:rsidRPr="00207534">
        <w:rPr>
          <w:rFonts w:ascii="Baskerville" w:hAnsi="Baskerville"/>
        </w:rPr>
        <w:t xml:space="preserve"> But, decisions by the European Court of Justice and other EU courts denote elements of a general application of the precautionary principle in EU law. These include uncertainty, risk, and lack of a direct causal link between the risk and the perceived harm.</w:t>
      </w:r>
      <w:r w:rsidRPr="00207534">
        <w:rPr>
          <w:rFonts w:ascii="Baskerville" w:hAnsi="Baskerville"/>
          <w:vertAlign w:val="superscript"/>
        </w:rPr>
        <w:footnoteReference w:id="71"/>
      </w:r>
      <w:r w:rsidRPr="00207534">
        <w:rPr>
          <w:rFonts w:ascii="Baskerville" w:hAnsi="Baskerville"/>
        </w:rPr>
        <w:t xml:space="preserve"> </w:t>
      </w:r>
      <w:r w:rsidR="002C6CC8" w:rsidRPr="00207534">
        <w:rPr>
          <w:rFonts w:ascii="Baskerville" w:hAnsi="Baskerville"/>
        </w:rPr>
        <w:t>However</w:t>
      </w:r>
      <w:r w:rsidR="002C6CC8">
        <w:rPr>
          <w:rFonts w:ascii="Baskerville" w:hAnsi="Baskerville"/>
        </w:rPr>
        <w:t>,</w:t>
      </w:r>
      <w:r w:rsidRPr="00207534">
        <w:rPr>
          <w:rFonts w:ascii="Baskerville" w:hAnsi="Baskerville"/>
        </w:rPr>
        <w:t xml:space="preserve"> regulations cannot legally be based on a ‘purely </w:t>
      </w:r>
      <w:r w:rsidR="00A621D5">
        <w:rPr>
          <w:rFonts w:ascii="Baskerville" w:hAnsi="Baskerville"/>
        </w:rPr>
        <w:t xml:space="preserve">hypothetical approach to risk’ </w:t>
      </w:r>
      <w:r w:rsidRPr="00207534">
        <w:rPr>
          <w:rFonts w:ascii="Baskerville" w:hAnsi="Baskerville"/>
        </w:rPr>
        <w:t xml:space="preserve">on mere </w:t>
      </w:r>
      <w:r w:rsidR="00A621D5" w:rsidRPr="00207534">
        <w:rPr>
          <w:rFonts w:ascii="Baskerville" w:hAnsi="Baskerville"/>
        </w:rPr>
        <w:t>supposition</w:t>
      </w:r>
      <w:r w:rsidRPr="00207534">
        <w:rPr>
          <w:rFonts w:ascii="Baskerville" w:hAnsi="Baskerville"/>
        </w:rPr>
        <w:t xml:space="preserve"> </w:t>
      </w:r>
      <w:r w:rsidR="00A621D5">
        <w:rPr>
          <w:rFonts w:ascii="Baskerville" w:hAnsi="Baskerville"/>
        </w:rPr>
        <w:t>‘</w:t>
      </w:r>
      <w:r w:rsidRPr="00207534">
        <w:rPr>
          <w:rFonts w:ascii="Baskerville" w:hAnsi="Baskerville"/>
        </w:rPr>
        <w:t>which has not been scientifically verified’.</w:t>
      </w:r>
      <w:r w:rsidRPr="00207534">
        <w:rPr>
          <w:rFonts w:ascii="Baskerville" w:hAnsi="Baskerville"/>
          <w:vertAlign w:val="superscript"/>
        </w:rPr>
        <w:footnoteReference w:id="72"/>
      </w:r>
      <w:r w:rsidRPr="00207534">
        <w:rPr>
          <w:rFonts w:ascii="Baskerville" w:hAnsi="Baskerville"/>
        </w:rPr>
        <w:t xml:space="preserve"> </w:t>
      </w:r>
    </w:p>
    <w:p w14:paraId="58E4FEDD" w14:textId="77777777" w:rsidR="005E4F4C" w:rsidRPr="00207534" w:rsidRDefault="005E4F4C" w:rsidP="005E4F4C">
      <w:pPr>
        <w:rPr>
          <w:rFonts w:ascii="Baskerville" w:hAnsi="Baskerville"/>
        </w:rPr>
      </w:pPr>
    </w:p>
    <w:p w14:paraId="64124936" w14:textId="72A5B356" w:rsidR="005E4F4C" w:rsidRPr="00C14D13" w:rsidRDefault="007F5532" w:rsidP="005E4F4C">
      <w:pPr>
        <w:rPr>
          <w:rFonts w:ascii="Baskerville" w:hAnsi="Baskerville"/>
          <w:lang w:val="en-US"/>
        </w:rPr>
      </w:pPr>
      <w:r>
        <w:rPr>
          <w:rFonts w:ascii="Baskerville" w:hAnsi="Baskerville"/>
        </w:rPr>
        <w:t>S</w:t>
      </w:r>
      <w:r w:rsidR="005E4F4C" w:rsidRPr="00207534">
        <w:rPr>
          <w:rFonts w:ascii="Baskerville" w:hAnsi="Baskerville"/>
        </w:rPr>
        <w:t xml:space="preserve">ome of the core issues that </w:t>
      </w:r>
      <w:r w:rsidR="007E229F">
        <w:rPr>
          <w:rFonts w:ascii="Baskerville" w:hAnsi="Baskerville"/>
        </w:rPr>
        <w:t xml:space="preserve">result </w:t>
      </w:r>
      <w:r w:rsidR="005E4F4C" w:rsidRPr="00207534">
        <w:rPr>
          <w:rFonts w:ascii="Baskerville" w:hAnsi="Baskerville"/>
        </w:rPr>
        <w:t xml:space="preserve">from </w:t>
      </w:r>
      <w:r w:rsidR="00041BB5" w:rsidRPr="00041BB5">
        <w:rPr>
          <w:rFonts w:ascii="Baskerville" w:hAnsi="Baskerville"/>
        </w:rPr>
        <w:t>the</w:t>
      </w:r>
      <w:r w:rsidR="005E4F4C" w:rsidRPr="00207534">
        <w:rPr>
          <w:rFonts w:ascii="Baskerville" w:hAnsi="Baskerville"/>
        </w:rPr>
        <w:t xml:space="preserve"> use of the precautionary principle include the fact that the </w:t>
      </w:r>
      <w:r w:rsidR="005E4F4C" w:rsidRPr="00207534">
        <w:rPr>
          <w:rFonts w:ascii="Baskerville" w:hAnsi="Baskerville"/>
          <w:lang w:val="en-US"/>
        </w:rPr>
        <w:t xml:space="preserve">requirement to take precautions is </w:t>
      </w:r>
      <w:r w:rsidR="00DD65CF">
        <w:rPr>
          <w:rFonts w:ascii="Baskerville" w:hAnsi="Baskerville"/>
          <w:lang w:val="en-US"/>
        </w:rPr>
        <w:t>affected</w:t>
      </w:r>
      <w:r w:rsidR="00786E2B">
        <w:rPr>
          <w:rFonts w:ascii="Baskerville" w:hAnsi="Baskerville"/>
          <w:lang w:val="en-US"/>
        </w:rPr>
        <w:t xml:space="preserve"> by the balancing of the c</w:t>
      </w:r>
      <w:r w:rsidR="005E4F4C" w:rsidRPr="00207534">
        <w:rPr>
          <w:rFonts w:ascii="Baskerville" w:hAnsi="Baskerville"/>
          <w:lang w:val="en-US"/>
        </w:rPr>
        <w:t xml:space="preserve">osts and benefits of taking actions. This weaker version sadly reflects the present EU and UK court approaches. </w:t>
      </w:r>
      <w:r w:rsidR="005E4F4C" w:rsidRPr="00207534">
        <w:rPr>
          <w:rFonts w:ascii="Baskerville" w:hAnsi="Baskerville"/>
        </w:rPr>
        <w:t>The EU has expressed it’s objective to establish guidelines for the use of the precautionary principle so as to clarify arrangements for its application.</w:t>
      </w:r>
      <w:r w:rsidR="005E4F4C" w:rsidRPr="00207534">
        <w:rPr>
          <w:rFonts w:ascii="Baskerville" w:hAnsi="Baskerville"/>
          <w:vertAlign w:val="superscript"/>
        </w:rPr>
        <w:footnoteReference w:id="73"/>
      </w:r>
      <w:r w:rsidR="005E4F4C" w:rsidRPr="00207534">
        <w:rPr>
          <w:rFonts w:ascii="Baskerville" w:hAnsi="Baskerville"/>
        </w:rPr>
        <w:t xml:space="preserve"> </w:t>
      </w:r>
      <w:r w:rsidR="00C14D13">
        <w:rPr>
          <w:rFonts w:ascii="Baskerville" w:hAnsi="Baskerville"/>
          <w:lang w:val="en-US"/>
        </w:rPr>
        <w:t>The a</w:t>
      </w:r>
      <w:r w:rsidR="00C14D13" w:rsidRPr="00C14D13">
        <w:rPr>
          <w:rFonts w:ascii="Baskerville" w:hAnsi="Baskerville"/>
          <w:lang w:val="en-US"/>
        </w:rPr>
        <w:t xml:space="preserve">pplication of the </w:t>
      </w:r>
      <w:r w:rsidR="00C14D13">
        <w:rPr>
          <w:rFonts w:ascii="Baskerville" w:hAnsi="Baskerville"/>
          <w:lang w:val="en-US"/>
        </w:rPr>
        <w:t xml:space="preserve">precautionary </w:t>
      </w:r>
      <w:r w:rsidR="00C14D13" w:rsidRPr="00C14D13">
        <w:rPr>
          <w:rFonts w:ascii="Baskerville" w:hAnsi="Baskerville"/>
          <w:lang w:val="en-US"/>
        </w:rPr>
        <w:t xml:space="preserve">principle demands </w:t>
      </w:r>
      <w:r w:rsidR="00C14D13">
        <w:rPr>
          <w:rFonts w:ascii="Baskerville" w:hAnsi="Baskerville"/>
          <w:lang w:val="en-US"/>
        </w:rPr>
        <w:t>‘</w:t>
      </w:r>
      <w:r w:rsidR="00C14D13" w:rsidRPr="00C14D13">
        <w:rPr>
          <w:rFonts w:ascii="Baskerville" w:hAnsi="Baskerville"/>
          <w:lang w:val="en-US"/>
        </w:rPr>
        <w:t>a clear legal and policy basis and an effective system of governance</w:t>
      </w:r>
      <w:r w:rsidR="00C14D13">
        <w:rPr>
          <w:rFonts w:ascii="Baskerville" w:hAnsi="Baskerville"/>
          <w:lang w:val="en-US"/>
        </w:rPr>
        <w:t>’</w:t>
      </w:r>
      <w:r w:rsidR="00C14D13" w:rsidRPr="00C14D13">
        <w:rPr>
          <w:rFonts w:ascii="Baskerville" w:hAnsi="Baskerville"/>
          <w:lang w:val="en-US"/>
        </w:rPr>
        <w:t>.</w:t>
      </w:r>
      <w:r w:rsidR="00C14D13">
        <w:rPr>
          <w:rStyle w:val="FootnoteReference"/>
          <w:rFonts w:ascii="Baskerville" w:hAnsi="Baskerville"/>
          <w:lang w:val="en-US"/>
        </w:rPr>
        <w:footnoteReference w:id="74"/>
      </w:r>
      <w:r w:rsidR="00C14D13" w:rsidRPr="00C14D13">
        <w:rPr>
          <w:rFonts w:ascii="Baskerville" w:hAnsi="Baskerville"/>
          <w:lang w:val="en-US"/>
        </w:rPr>
        <w:t xml:space="preserve"> </w:t>
      </w:r>
      <w:r w:rsidR="005E4F4C" w:rsidRPr="00207534">
        <w:rPr>
          <w:rFonts w:ascii="Baskerville" w:hAnsi="Baskerville"/>
        </w:rPr>
        <w:t xml:space="preserve">A common </w:t>
      </w:r>
      <w:r w:rsidR="00A621D5">
        <w:rPr>
          <w:rFonts w:ascii="Baskerville" w:hAnsi="Baskerville"/>
        </w:rPr>
        <w:t xml:space="preserve">legal </w:t>
      </w:r>
      <w:r w:rsidR="005E4F4C" w:rsidRPr="00207534">
        <w:rPr>
          <w:rFonts w:ascii="Baskerville" w:hAnsi="Baskerville"/>
        </w:rPr>
        <w:t xml:space="preserve">understanding of the precautionary principle would improve consistency in judicial decisions in arising </w:t>
      </w:r>
      <w:r w:rsidR="001701D9">
        <w:rPr>
          <w:rFonts w:ascii="Baskerville" w:hAnsi="Baskerville"/>
        </w:rPr>
        <w:t xml:space="preserve">environmental </w:t>
      </w:r>
      <w:r w:rsidR="005E4F4C" w:rsidRPr="00207534">
        <w:rPr>
          <w:rFonts w:ascii="Baskerville" w:hAnsi="Baskerville"/>
        </w:rPr>
        <w:t>disputes.</w:t>
      </w:r>
      <w:r w:rsidR="005E4F4C" w:rsidRPr="00207534">
        <w:rPr>
          <w:rFonts w:ascii="Baskerville" w:hAnsi="Baskerville"/>
          <w:vertAlign w:val="superscript"/>
        </w:rPr>
        <w:footnoteReference w:id="75"/>
      </w:r>
    </w:p>
    <w:p w14:paraId="05705496" w14:textId="77777777" w:rsidR="00D85A5A" w:rsidRDefault="00D85A5A">
      <w:pPr>
        <w:rPr>
          <w:rFonts w:ascii="Baskerville" w:hAnsi="Baskerville"/>
          <w:b/>
        </w:rPr>
      </w:pPr>
    </w:p>
    <w:p w14:paraId="56A8563A" w14:textId="77777777" w:rsidR="001E0934" w:rsidRDefault="001E0934">
      <w:pPr>
        <w:rPr>
          <w:rFonts w:ascii="Baskerville" w:hAnsi="Baskerville"/>
          <w:b/>
        </w:rPr>
      </w:pPr>
    </w:p>
    <w:p w14:paraId="3F309ACE" w14:textId="77777777" w:rsidR="00942088" w:rsidRDefault="00942088">
      <w:pPr>
        <w:rPr>
          <w:rFonts w:ascii="Baskerville" w:hAnsi="Baskerville"/>
          <w:b/>
        </w:rPr>
      </w:pPr>
    </w:p>
    <w:p w14:paraId="46AF9EB0" w14:textId="77777777" w:rsidR="00942088" w:rsidRDefault="00942088">
      <w:pPr>
        <w:rPr>
          <w:rFonts w:ascii="Baskerville" w:hAnsi="Baskerville"/>
          <w:b/>
        </w:rPr>
      </w:pPr>
    </w:p>
    <w:p w14:paraId="5A679536" w14:textId="77777777" w:rsidR="00942088" w:rsidRDefault="00942088">
      <w:pPr>
        <w:rPr>
          <w:rFonts w:ascii="Baskerville" w:hAnsi="Baskerville"/>
          <w:b/>
        </w:rPr>
      </w:pPr>
    </w:p>
    <w:p w14:paraId="52D41933" w14:textId="77777777" w:rsidR="00942088" w:rsidRDefault="00942088">
      <w:pPr>
        <w:rPr>
          <w:rFonts w:ascii="Baskerville" w:hAnsi="Baskerville"/>
          <w:b/>
        </w:rPr>
      </w:pPr>
    </w:p>
    <w:p w14:paraId="2DD7988A" w14:textId="77777777" w:rsidR="00942088" w:rsidRDefault="00942088">
      <w:pPr>
        <w:rPr>
          <w:rFonts w:ascii="Baskerville" w:hAnsi="Baskerville"/>
          <w:b/>
        </w:rPr>
      </w:pPr>
    </w:p>
    <w:p w14:paraId="4303A5E6" w14:textId="77777777" w:rsidR="00942088" w:rsidRDefault="00942088">
      <w:pPr>
        <w:rPr>
          <w:rFonts w:ascii="Baskerville" w:hAnsi="Baskerville"/>
          <w:b/>
        </w:rPr>
      </w:pPr>
    </w:p>
    <w:p w14:paraId="6D519B8E" w14:textId="77777777" w:rsidR="00CE1291" w:rsidRDefault="00CE1291">
      <w:pPr>
        <w:rPr>
          <w:rFonts w:ascii="Baskerville" w:hAnsi="Baskerville"/>
          <w:b/>
        </w:rPr>
      </w:pPr>
    </w:p>
    <w:p w14:paraId="6EC99390" w14:textId="77777777" w:rsidR="00CE1291" w:rsidRDefault="00CE1291">
      <w:pPr>
        <w:rPr>
          <w:rFonts w:ascii="Baskerville" w:hAnsi="Baskerville"/>
          <w:b/>
        </w:rPr>
      </w:pPr>
    </w:p>
    <w:p w14:paraId="462EFA9E" w14:textId="77777777" w:rsidR="00CE1291" w:rsidRDefault="00CE1291">
      <w:pPr>
        <w:rPr>
          <w:rFonts w:ascii="Baskerville" w:hAnsi="Baskerville"/>
          <w:b/>
        </w:rPr>
      </w:pPr>
    </w:p>
    <w:p w14:paraId="13514A41" w14:textId="77777777" w:rsidR="00CE1291" w:rsidRDefault="00CE1291">
      <w:pPr>
        <w:rPr>
          <w:rFonts w:ascii="Baskerville" w:hAnsi="Baskerville"/>
          <w:b/>
        </w:rPr>
      </w:pPr>
    </w:p>
    <w:p w14:paraId="309A64B3" w14:textId="77777777" w:rsidR="00CE1291" w:rsidRDefault="00CE1291">
      <w:pPr>
        <w:rPr>
          <w:rFonts w:ascii="Baskerville" w:hAnsi="Baskerville"/>
          <w:b/>
        </w:rPr>
      </w:pPr>
    </w:p>
    <w:p w14:paraId="2E15ECA3" w14:textId="77777777" w:rsidR="00CE1291" w:rsidRDefault="00CE1291">
      <w:pPr>
        <w:rPr>
          <w:rFonts w:ascii="Baskerville" w:hAnsi="Baskerville"/>
          <w:b/>
        </w:rPr>
      </w:pPr>
    </w:p>
    <w:p w14:paraId="1A23F93E" w14:textId="77777777" w:rsidR="00CE1291" w:rsidRDefault="00CE1291">
      <w:pPr>
        <w:rPr>
          <w:rFonts w:ascii="Baskerville" w:hAnsi="Baskerville"/>
          <w:b/>
        </w:rPr>
      </w:pPr>
    </w:p>
    <w:p w14:paraId="711D72B2" w14:textId="77777777" w:rsidR="00CE1291" w:rsidRDefault="00CE1291">
      <w:pPr>
        <w:rPr>
          <w:rFonts w:ascii="Baskerville" w:hAnsi="Baskerville"/>
          <w:b/>
        </w:rPr>
      </w:pPr>
    </w:p>
    <w:p w14:paraId="11C61931" w14:textId="77777777" w:rsidR="00CE1291" w:rsidRDefault="00CE1291">
      <w:pPr>
        <w:rPr>
          <w:rFonts w:ascii="Baskerville" w:hAnsi="Baskerville"/>
          <w:b/>
        </w:rPr>
      </w:pPr>
    </w:p>
    <w:p w14:paraId="77C13075" w14:textId="77777777" w:rsidR="00CE1291" w:rsidRDefault="00CE1291">
      <w:pPr>
        <w:rPr>
          <w:rFonts w:ascii="Baskerville" w:hAnsi="Baskerville"/>
          <w:b/>
        </w:rPr>
      </w:pPr>
    </w:p>
    <w:p w14:paraId="496CF988" w14:textId="77777777" w:rsidR="00CE1291" w:rsidRDefault="00CE1291">
      <w:pPr>
        <w:rPr>
          <w:rFonts w:ascii="Baskerville" w:hAnsi="Baskerville"/>
          <w:b/>
        </w:rPr>
      </w:pPr>
    </w:p>
    <w:p w14:paraId="74ADA826" w14:textId="77777777" w:rsidR="00CE1291" w:rsidRDefault="00CE1291">
      <w:pPr>
        <w:rPr>
          <w:rFonts w:ascii="Baskerville" w:hAnsi="Baskerville"/>
          <w:b/>
        </w:rPr>
      </w:pPr>
    </w:p>
    <w:p w14:paraId="4518C087" w14:textId="77777777" w:rsidR="00CE1291" w:rsidRDefault="00CE1291">
      <w:pPr>
        <w:rPr>
          <w:rFonts w:ascii="Baskerville" w:hAnsi="Baskerville"/>
          <w:b/>
        </w:rPr>
      </w:pPr>
    </w:p>
    <w:p w14:paraId="619EC54C" w14:textId="77777777" w:rsidR="00CE1291" w:rsidRDefault="00CE1291">
      <w:pPr>
        <w:rPr>
          <w:rFonts w:ascii="Baskerville" w:hAnsi="Baskerville"/>
          <w:b/>
        </w:rPr>
      </w:pPr>
    </w:p>
    <w:p w14:paraId="2303CEAD" w14:textId="77777777" w:rsidR="00CE1291" w:rsidRDefault="00CE1291">
      <w:pPr>
        <w:rPr>
          <w:rFonts w:ascii="Baskerville" w:hAnsi="Baskerville"/>
          <w:b/>
        </w:rPr>
      </w:pPr>
    </w:p>
    <w:p w14:paraId="641C830F" w14:textId="77777777" w:rsidR="00CE1291" w:rsidRDefault="00CE1291">
      <w:pPr>
        <w:rPr>
          <w:rFonts w:ascii="Baskerville" w:hAnsi="Baskerville"/>
          <w:b/>
        </w:rPr>
      </w:pPr>
    </w:p>
    <w:p w14:paraId="34DCC9D7" w14:textId="77777777" w:rsidR="00CE1291" w:rsidRDefault="00CE1291">
      <w:pPr>
        <w:rPr>
          <w:rFonts w:ascii="Baskerville" w:hAnsi="Baskerville"/>
          <w:b/>
        </w:rPr>
      </w:pPr>
    </w:p>
    <w:p w14:paraId="4C03CB57" w14:textId="77777777" w:rsidR="00454D4D" w:rsidRDefault="00454D4D">
      <w:pPr>
        <w:rPr>
          <w:rFonts w:ascii="Baskerville" w:hAnsi="Baskerville"/>
          <w:b/>
        </w:rPr>
      </w:pPr>
    </w:p>
    <w:p w14:paraId="55CA40AA" w14:textId="77777777" w:rsidR="003822EB" w:rsidRDefault="003822EB">
      <w:pPr>
        <w:rPr>
          <w:rFonts w:ascii="Baskerville" w:hAnsi="Baskerville"/>
          <w:b/>
        </w:rPr>
      </w:pPr>
    </w:p>
    <w:p w14:paraId="4B1FA2F5" w14:textId="77777777" w:rsidR="003822EB" w:rsidRDefault="003822EB">
      <w:pPr>
        <w:rPr>
          <w:rFonts w:ascii="Baskerville" w:hAnsi="Baskerville"/>
          <w:b/>
        </w:rPr>
      </w:pPr>
    </w:p>
    <w:p w14:paraId="15380C75" w14:textId="77777777" w:rsidR="00CE1291" w:rsidRDefault="00CE1291">
      <w:pPr>
        <w:rPr>
          <w:rFonts w:ascii="Baskerville" w:hAnsi="Baskerville"/>
          <w:b/>
        </w:rPr>
      </w:pPr>
    </w:p>
    <w:p w14:paraId="17BB6BBF" w14:textId="77777777" w:rsidR="003822EB" w:rsidRPr="00A60DAC" w:rsidRDefault="003822EB" w:rsidP="003822EB">
      <w:pPr>
        <w:jc w:val="center"/>
        <w:rPr>
          <w:rFonts w:ascii="Baskerville" w:hAnsi="Baskerville"/>
          <w:b/>
          <w:sz w:val="28"/>
          <w:szCs w:val="28"/>
          <w:u w:val="single"/>
        </w:rPr>
      </w:pPr>
      <w:r w:rsidRPr="00A60DAC">
        <w:rPr>
          <w:rFonts w:ascii="Baskerville" w:hAnsi="Baskerville"/>
          <w:b/>
          <w:sz w:val="28"/>
          <w:szCs w:val="28"/>
          <w:u w:val="single"/>
        </w:rPr>
        <w:t>Bibliography</w:t>
      </w:r>
    </w:p>
    <w:p w14:paraId="0C213098" w14:textId="77777777" w:rsidR="003822EB" w:rsidRDefault="003822EB" w:rsidP="003822EB">
      <w:pPr>
        <w:rPr>
          <w:rFonts w:ascii="Baskerville" w:hAnsi="Baskerville"/>
          <w:b/>
          <w:u w:val="single"/>
        </w:rPr>
      </w:pPr>
    </w:p>
    <w:p w14:paraId="7051DF27" w14:textId="77777777" w:rsidR="003822EB" w:rsidRDefault="003822EB" w:rsidP="003822EB">
      <w:pPr>
        <w:rPr>
          <w:rFonts w:ascii="Baskerville" w:hAnsi="Baskerville"/>
          <w:b/>
          <w:u w:val="single"/>
        </w:rPr>
      </w:pPr>
      <w:r>
        <w:rPr>
          <w:rFonts w:ascii="Baskerville" w:hAnsi="Baskerville"/>
          <w:b/>
          <w:u w:val="single"/>
        </w:rPr>
        <w:t>Primary Sources</w:t>
      </w:r>
    </w:p>
    <w:p w14:paraId="0FEAD441" w14:textId="77777777" w:rsidR="003822EB" w:rsidRDefault="003822EB" w:rsidP="003822EB">
      <w:pPr>
        <w:rPr>
          <w:rFonts w:ascii="Baskerville" w:hAnsi="Baskerville"/>
          <w:bCs/>
          <w:sz w:val="20"/>
          <w:szCs w:val="20"/>
          <w:lang w:val="en-US"/>
        </w:rPr>
      </w:pPr>
    </w:p>
    <w:p w14:paraId="3EDD8978" w14:textId="77777777" w:rsidR="003822EB" w:rsidRDefault="003822EB" w:rsidP="003822EB">
      <w:pPr>
        <w:rPr>
          <w:rFonts w:ascii="Baskerville" w:hAnsi="Baskerville"/>
          <w:b/>
          <w:lang w:val="en-US"/>
        </w:rPr>
      </w:pPr>
      <w:r>
        <w:rPr>
          <w:rFonts w:ascii="Baskerville" w:hAnsi="Baskerville"/>
          <w:b/>
          <w:lang w:val="en-US"/>
        </w:rPr>
        <w:t>Case Law</w:t>
      </w:r>
    </w:p>
    <w:p w14:paraId="53EFA1DA" w14:textId="77777777" w:rsidR="003822EB" w:rsidRDefault="003822EB" w:rsidP="003822EB">
      <w:pPr>
        <w:rPr>
          <w:rFonts w:ascii="Baskerville" w:hAnsi="Baskerville"/>
          <w:bCs/>
          <w:i/>
          <w:iCs/>
          <w:sz w:val="20"/>
          <w:szCs w:val="20"/>
          <w:lang w:val="en-US"/>
        </w:rPr>
      </w:pPr>
    </w:p>
    <w:p w14:paraId="2B20F932" w14:textId="77777777" w:rsidR="003822EB" w:rsidRDefault="003822EB" w:rsidP="003822EB">
      <w:pPr>
        <w:rPr>
          <w:rFonts w:ascii="Baskerville" w:hAnsi="Baskerville"/>
          <w:sz w:val="20"/>
          <w:szCs w:val="20"/>
        </w:rPr>
      </w:pPr>
      <w:r w:rsidRPr="00CA7D22">
        <w:rPr>
          <w:rFonts w:ascii="Baskerville" w:hAnsi="Baskerville"/>
          <w:sz w:val="20"/>
          <w:szCs w:val="20"/>
        </w:rPr>
        <w:t xml:space="preserve">Case T-70/99 </w:t>
      </w:r>
      <w:r w:rsidRPr="00CA7D22">
        <w:rPr>
          <w:rFonts w:ascii="Baskerville" w:hAnsi="Baskerville"/>
          <w:i/>
          <w:sz w:val="20"/>
          <w:szCs w:val="20"/>
        </w:rPr>
        <w:t>Alpharama</w:t>
      </w:r>
      <w:r>
        <w:rPr>
          <w:rFonts w:ascii="Baskerville" w:hAnsi="Baskerville"/>
          <w:sz w:val="20"/>
          <w:szCs w:val="20"/>
        </w:rPr>
        <w:t xml:space="preserve"> (2002) ECR 11-3945</w:t>
      </w:r>
    </w:p>
    <w:p w14:paraId="2B04B434" w14:textId="77777777" w:rsidR="003822EB" w:rsidRDefault="003822EB" w:rsidP="003822EB">
      <w:pPr>
        <w:rPr>
          <w:rFonts w:ascii="Baskerville" w:hAnsi="Baskerville"/>
          <w:bCs/>
          <w:sz w:val="20"/>
          <w:szCs w:val="20"/>
          <w:lang w:val="en-US"/>
        </w:rPr>
      </w:pPr>
    </w:p>
    <w:p w14:paraId="6E81FBD7" w14:textId="77777777" w:rsidR="003822EB" w:rsidRDefault="003822EB" w:rsidP="003822EB">
      <w:pPr>
        <w:rPr>
          <w:rFonts w:ascii="Baskerville" w:hAnsi="Baskerville"/>
          <w:bCs/>
          <w:sz w:val="20"/>
          <w:szCs w:val="20"/>
          <w:lang w:val="en-US"/>
        </w:rPr>
      </w:pPr>
      <w:r w:rsidRPr="00CA5E58">
        <w:rPr>
          <w:rFonts w:ascii="Baskerville" w:hAnsi="Baskerville"/>
          <w:bCs/>
          <w:i/>
          <w:iCs/>
          <w:sz w:val="20"/>
          <w:szCs w:val="20"/>
          <w:lang w:val="en-US"/>
        </w:rPr>
        <w:t>Belgium</w:t>
      </w:r>
      <w:r w:rsidRPr="00CA5E58">
        <w:rPr>
          <w:rFonts w:ascii="Baskerville" w:hAnsi="Baskerville"/>
          <w:bCs/>
          <w:sz w:val="20"/>
          <w:szCs w:val="20"/>
          <w:lang w:val="en-US"/>
        </w:rPr>
        <w:t xml:space="preserve"> v </w:t>
      </w:r>
      <w:r w:rsidRPr="00CA5E58">
        <w:rPr>
          <w:rFonts w:ascii="Baskerville" w:hAnsi="Baskerville"/>
          <w:bCs/>
          <w:i/>
          <w:iCs/>
          <w:sz w:val="20"/>
          <w:szCs w:val="20"/>
          <w:lang w:val="en-US"/>
        </w:rPr>
        <w:t>Netherland</w:t>
      </w:r>
      <w:r>
        <w:rPr>
          <w:rFonts w:ascii="Baskerville" w:hAnsi="Baskerville"/>
          <w:bCs/>
          <w:i/>
          <w:iCs/>
          <w:sz w:val="20"/>
          <w:szCs w:val="20"/>
          <w:lang w:val="en-US"/>
        </w:rPr>
        <w:t>s</w:t>
      </w:r>
      <w:r w:rsidRPr="00CA5E58">
        <w:rPr>
          <w:rFonts w:ascii="Baskerville" w:hAnsi="Baskerville"/>
          <w:bCs/>
          <w:i/>
          <w:iCs/>
          <w:sz w:val="20"/>
          <w:szCs w:val="20"/>
          <w:lang w:val="en-US"/>
        </w:rPr>
        <w:t xml:space="preserve"> </w:t>
      </w:r>
      <w:r w:rsidRPr="00CA5E58">
        <w:rPr>
          <w:rFonts w:ascii="Baskerville" w:hAnsi="Baskerville"/>
          <w:bCs/>
          <w:sz w:val="20"/>
          <w:szCs w:val="20"/>
          <w:lang w:val="en-US"/>
        </w:rPr>
        <w:t xml:space="preserve">(2005) Iron Rhine Arbitration Award, ICGJ 373 Permanent Court of Arbitration </w:t>
      </w:r>
      <w:r w:rsidRPr="00CA7D22">
        <w:rPr>
          <w:rFonts w:ascii="Baskerville" w:hAnsi="Baskerville"/>
          <w:bCs/>
          <w:sz w:val="20"/>
          <w:szCs w:val="20"/>
          <w:lang w:val="en-US"/>
        </w:rPr>
        <w:t>[PCA].</w:t>
      </w:r>
    </w:p>
    <w:p w14:paraId="0BA755DA" w14:textId="77777777" w:rsidR="003822EB" w:rsidRDefault="003822EB" w:rsidP="003822EB">
      <w:pPr>
        <w:rPr>
          <w:rFonts w:ascii="Baskerville" w:hAnsi="Baskerville"/>
          <w:bCs/>
          <w:sz w:val="20"/>
          <w:szCs w:val="20"/>
          <w:lang w:val="en-US"/>
        </w:rPr>
      </w:pPr>
    </w:p>
    <w:p w14:paraId="2D9551A8" w14:textId="77777777" w:rsidR="003822EB" w:rsidRDefault="003822EB" w:rsidP="003822EB">
      <w:pPr>
        <w:rPr>
          <w:rFonts w:ascii="Baskerville" w:hAnsi="Baskerville"/>
          <w:sz w:val="20"/>
          <w:szCs w:val="20"/>
        </w:rPr>
      </w:pPr>
      <w:r w:rsidRPr="00CA7D22">
        <w:rPr>
          <w:rFonts w:ascii="Baskerville" w:hAnsi="Baskerville"/>
          <w:sz w:val="20"/>
          <w:szCs w:val="20"/>
        </w:rPr>
        <w:t xml:space="preserve">Case C-157/96 </w:t>
      </w:r>
      <w:r w:rsidRPr="00CA7D22">
        <w:rPr>
          <w:rFonts w:ascii="Baskerville" w:hAnsi="Baskerville"/>
          <w:i/>
          <w:sz w:val="20"/>
          <w:szCs w:val="20"/>
        </w:rPr>
        <w:t>BSE</w:t>
      </w:r>
      <w:r w:rsidRPr="00CA7D22">
        <w:rPr>
          <w:rFonts w:ascii="Baskerville" w:hAnsi="Baskerville"/>
          <w:sz w:val="20"/>
          <w:szCs w:val="20"/>
        </w:rPr>
        <w:t xml:space="preserve"> (1998) ECR1-2211</w:t>
      </w:r>
    </w:p>
    <w:p w14:paraId="546A5C1E" w14:textId="77777777" w:rsidR="003822EB" w:rsidRDefault="003822EB" w:rsidP="003822EB">
      <w:pPr>
        <w:rPr>
          <w:rFonts w:ascii="Baskerville" w:hAnsi="Baskerville"/>
          <w:sz w:val="20"/>
          <w:szCs w:val="20"/>
        </w:rPr>
      </w:pPr>
    </w:p>
    <w:p w14:paraId="0F5CCCAF" w14:textId="77777777" w:rsidR="003822EB" w:rsidRDefault="003822EB" w:rsidP="003822EB">
      <w:pPr>
        <w:rPr>
          <w:rFonts w:ascii="Baskerville" w:hAnsi="Baskerville"/>
          <w:sz w:val="20"/>
          <w:szCs w:val="20"/>
        </w:rPr>
      </w:pPr>
      <w:r w:rsidRPr="00CA7D22">
        <w:rPr>
          <w:rFonts w:ascii="Baskerville" w:hAnsi="Baskerville"/>
          <w:sz w:val="20"/>
          <w:szCs w:val="20"/>
        </w:rPr>
        <w:t xml:space="preserve">Case T-13/99 </w:t>
      </w:r>
      <w:r w:rsidRPr="00CA7D22">
        <w:rPr>
          <w:rFonts w:ascii="Baskerville" w:hAnsi="Baskerville"/>
          <w:i/>
          <w:sz w:val="20"/>
          <w:szCs w:val="20"/>
        </w:rPr>
        <w:t>Pifzer</w:t>
      </w:r>
      <w:r w:rsidRPr="00CA7D22">
        <w:rPr>
          <w:rFonts w:ascii="Baskerville" w:hAnsi="Baskerville"/>
          <w:sz w:val="20"/>
          <w:szCs w:val="20"/>
        </w:rPr>
        <w:t xml:space="preserve"> (2002) ECR 11-3305</w:t>
      </w:r>
    </w:p>
    <w:p w14:paraId="76250A9F" w14:textId="77777777" w:rsidR="003822EB" w:rsidRDefault="003822EB" w:rsidP="003822EB">
      <w:pPr>
        <w:rPr>
          <w:rFonts w:ascii="Baskerville" w:hAnsi="Baskerville"/>
          <w:sz w:val="20"/>
          <w:szCs w:val="20"/>
        </w:rPr>
      </w:pPr>
    </w:p>
    <w:p w14:paraId="061566AF" w14:textId="77777777" w:rsidR="003822EB" w:rsidRDefault="003822EB" w:rsidP="003822EB">
      <w:pPr>
        <w:rPr>
          <w:rFonts w:ascii="Baskerville" w:hAnsi="Baskerville"/>
          <w:bCs/>
          <w:sz w:val="20"/>
          <w:szCs w:val="20"/>
          <w:lang w:val="en-US"/>
        </w:rPr>
      </w:pPr>
    </w:p>
    <w:p w14:paraId="7E10F0DB" w14:textId="77777777" w:rsidR="003822EB" w:rsidRDefault="003822EB" w:rsidP="003822EB">
      <w:pPr>
        <w:rPr>
          <w:rFonts w:ascii="Baskerville" w:hAnsi="Baskerville"/>
          <w:b/>
          <w:lang w:val="en-US"/>
        </w:rPr>
      </w:pPr>
      <w:r>
        <w:rPr>
          <w:rFonts w:ascii="Baskerville" w:hAnsi="Baskerville"/>
          <w:b/>
          <w:lang w:val="en-US"/>
        </w:rPr>
        <w:t>Legislation</w:t>
      </w:r>
    </w:p>
    <w:p w14:paraId="6AF504FB" w14:textId="77777777" w:rsidR="003822EB" w:rsidRPr="00DA1E80" w:rsidRDefault="003822EB" w:rsidP="003822EB">
      <w:pPr>
        <w:rPr>
          <w:rFonts w:ascii="Baskerville" w:hAnsi="Baskerville"/>
          <w:b/>
          <w:sz w:val="28"/>
          <w:szCs w:val="28"/>
          <w:u w:val="single"/>
        </w:rPr>
      </w:pPr>
    </w:p>
    <w:p w14:paraId="54CD0219" w14:textId="77777777" w:rsidR="003822EB" w:rsidRDefault="003822EB" w:rsidP="003822EB">
      <w:pPr>
        <w:rPr>
          <w:rFonts w:ascii="Baskerville" w:hAnsi="Baskerville"/>
          <w:sz w:val="20"/>
          <w:szCs w:val="20"/>
          <w:lang w:val="en-US"/>
        </w:rPr>
      </w:pPr>
      <w:r w:rsidRPr="00D62FB4">
        <w:rPr>
          <w:rFonts w:ascii="Baskerville" w:hAnsi="Baskerville"/>
          <w:sz w:val="20"/>
          <w:szCs w:val="20"/>
          <w:lang w:val="en-US"/>
        </w:rPr>
        <w:t>Canada C</w:t>
      </w:r>
      <w:r>
        <w:rPr>
          <w:rFonts w:ascii="Baskerville" w:hAnsi="Baskerville"/>
          <w:sz w:val="20"/>
          <w:szCs w:val="20"/>
          <w:lang w:val="en-US"/>
        </w:rPr>
        <w:t>onsumer Product Safety Act 2010</w:t>
      </w:r>
    </w:p>
    <w:p w14:paraId="57D66F18" w14:textId="77777777" w:rsidR="003822EB" w:rsidRDefault="003822EB" w:rsidP="003822EB">
      <w:pPr>
        <w:rPr>
          <w:rFonts w:ascii="Baskerville" w:hAnsi="Baskerville"/>
          <w:sz w:val="20"/>
          <w:szCs w:val="20"/>
          <w:lang w:val="en-US"/>
        </w:rPr>
      </w:pPr>
    </w:p>
    <w:p w14:paraId="5870C8C7" w14:textId="77777777" w:rsidR="003822EB" w:rsidRDefault="003822EB" w:rsidP="003822EB">
      <w:pPr>
        <w:rPr>
          <w:rFonts w:ascii="Baskerville" w:hAnsi="Baskerville"/>
          <w:sz w:val="20"/>
          <w:szCs w:val="20"/>
          <w:lang w:val="en-US"/>
        </w:rPr>
      </w:pPr>
      <w:r w:rsidRPr="00D4734B">
        <w:rPr>
          <w:rFonts w:ascii="Baskerville" w:hAnsi="Baskerville"/>
          <w:sz w:val="20"/>
          <w:szCs w:val="20"/>
          <w:lang w:val="en-US"/>
        </w:rPr>
        <w:t>Canada Marine Conservation Areas Act 2002</w:t>
      </w:r>
    </w:p>
    <w:p w14:paraId="79D36B0F" w14:textId="77777777" w:rsidR="003822EB" w:rsidRDefault="003822EB" w:rsidP="003822EB">
      <w:pPr>
        <w:rPr>
          <w:rFonts w:ascii="Baskerville" w:hAnsi="Baskerville"/>
          <w:sz w:val="20"/>
          <w:szCs w:val="20"/>
          <w:lang w:val="en-US"/>
        </w:rPr>
      </w:pPr>
    </w:p>
    <w:p w14:paraId="3EBF0673" w14:textId="77777777" w:rsidR="003822EB" w:rsidRDefault="003822EB" w:rsidP="003822EB">
      <w:pPr>
        <w:rPr>
          <w:rFonts w:ascii="Baskerville" w:hAnsi="Baskerville"/>
          <w:sz w:val="20"/>
          <w:szCs w:val="20"/>
          <w:lang w:val="en-US"/>
        </w:rPr>
      </w:pPr>
      <w:r w:rsidRPr="002C2618">
        <w:rPr>
          <w:rFonts w:ascii="Baskerville" w:hAnsi="Baskerville"/>
          <w:sz w:val="20"/>
          <w:szCs w:val="20"/>
          <w:lang w:val="en-US"/>
        </w:rPr>
        <w:t>Canadian Environmental Protection Act 1999</w:t>
      </w:r>
    </w:p>
    <w:p w14:paraId="4167481D" w14:textId="77777777" w:rsidR="003822EB" w:rsidRDefault="003822EB" w:rsidP="003822EB">
      <w:pPr>
        <w:rPr>
          <w:rFonts w:ascii="Baskerville" w:hAnsi="Baskerville"/>
          <w:sz w:val="20"/>
          <w:szCs w:val="20"/>
          <w:lang w:val="en-US"/>
        </w:rPr>
      </w:pPr>
    </w:p>
    <w:p w14:paraId="32464E50" w14:textId="77777777" w:rsidR="003822EB" w:rsidRDefault="003822EB" w:rsidP="003822EB">
      <w:pPr>
        <w:rPr>
          <w:rFonts w:ascii="Baskerville" w:hAnsi="Baskerville"/>
          <w:sz w:val="20"/>
          <w:szCs w:val="20"/>
          <w:lang w:val="en-US"/>
        </w:rPr>
      </w:pPr>
      <w:r w:rsidRPr="00D4734B">
        <w:rPr>
          <w:rFonts w:ascii="Baskerville" w:hAnsi="Baskerville"/>
          <w:sz w:val="20"/>
          <w:szCs w:val="20"/>
          <w:lang w:val="en-US"/>
        </w:rPr>
        <w:t>Pest Control Products Act S.C. 2002</w:t>
      </w:r>
    </w:p>
    <w:p w14:paraId="4E371B5E" w14:textId="77777777" w:rsidR="003822EB" w:rsidRDefault="003822EB" w:rsidP="003822EB">
      <w:pPr>
        <w:rPr>
          <w:rFonts w:ascii="Baskerville" w:hAnsi="Baskerville"/>
          <w:sz w:val="20"/>
          <w:szCs w:val="20"/>
          <w:lang w:val="en-US"/>
        </w:rPr>
      </w:pPr>
    </w:p>
    <w:p w14:paraId="3321C9DA" w14:textId="77777777" w:rsidR="003822EB" w:rsidRPr="002C2618" w:rsidRDefault="003822EB" w:rsidP="003822EB">
      <w:pPr>
        <w:rPr>
          <w:rFonts w:ascii="Baskerville" w:hAnsi="Baskerville"/>
          <w:sz w:val="20"/>
          <w:szCs w:val="20"/>
          <w:lang w:val="en-US"/>
        </w:rPr>
      </w:pPr>
      <w:r w:rsidRPr="002C2618">
        <w:rPr>
          <w:rFonts w:ascii="Baskerville" w:hAnsi="Baskerville"/>
          <w:sz w:val="20"/>
          <w:szCs w:val="20"/>
          <w:lang w:val="en-US"/>
        </w:rPr>
        <w:t>The Single European Act 1986</w:t>
      </w:r>
    </w:p>
    <w:p w14:paraId="32498ED5" w14:textId="77777777" w:rsidR="003822EB" w:rsidRDefault="003822EB" w:rsidP="003822EB">
      <w:pPr>
        <w:rPr>
          <w:rFonts w:ascii="Baskerville" w:hAnsi="Baskerville"/>
          <w:sz w:val="20"/>
          <w:szCs w:val="20"/>
          <w:lang w:val="en-US"/>
        </w:rPr>
      </w:pPr>
    </w:p>
    <w:p w14:paraId="4AF944AA" w14:textId="77777777" w:rsidR="003822EB" w:rsidRDefault="003822EB" w:rsidP="003822EB">
      <w:pPr>
        <w:rPr>
          <w:rFonts w:ascii="Baskerville" w:hAnsi="Baskerville"/>
          <w:b/>
          <w:lang w:val="en-US"/>
        </w:rPr>
      </w:pPr>
      <w:r>
        <w:rPr>
          <w:rFonts w:ascii="Baskerville" w:hAnsi="Baskerville"/>
          <w:b/>
          <w:lang w:val="en-US"/>
        </w:rPr>
        <w:t>Declarations</w:t>
      </w:r>
    </w:p>
    <w:p w14:paraId="57CC0BF1" w14:textId="77777777" w:rsidR="003822EB" w:rsidRDefault="003822EB" w:rsidP="003822EB">
      <w:pPr>
        <w:pStyle w:val="FootnoteText"/>
        <w:rPr>
          <w:rFonts w:ascii="Baskerville" w:hAnsi="Baskerville"/>
          <w:i/>
          <w:iCs/>
          <w:sz w:val="20"/>
          <w:szCs w:val="20"/>
          <w:lang w:val="en-US"/>
        </w:rPr>
      </w:pPr>
    </w:p>
    <w:p w14:paraId="49F302C1" w14:textId="77777777" w:rsidR="003822EB" w:rsidRDefault="003822EB" w:rsidP="003822EB">
      <w:pPr>
        <w:pStyle w:val="FootnoteText"/>
        <w:rPr>
          <w:rFonts w:ascii="Baskerville" w:hAnsi="Baskerville"/>
          <w:sz w:val="20"/>
          <w:szCs w:val="20"/>
          <w:lang w:val="en-US"/>
        </w:rPr>
      </w:pPr>
      <w:r w:rsidRPr="0095395D">
        <w:rPr>
          <w:rFonts w:ascii="Baskerville" w:hAnsi="Baskerville"/>
          <w:iCs/>
          <w:sz w:val="20"/>
          <w:szCs w:val="20"/>
          <w:lang w:val="en-US"/>
        </w:rPr>
        <w:t>Hague Declaration on the Environment</w:t>
      </w:r>
      <w:r>
        <w:rPr>
          <w:rFonts w:ascii="Baskerville" w:hAnsi="Baskerville"/>
          <w:iCs/>
          <w:sz w:val="20"/>
          <w:szCs w:val="20"/>
          <w:lang w:val="en-US"/>
        </w:rPr>
        <w:t xml:space="preserve"> (1989)</w:t>
      </w:r>
      <w:r w:rsidRPr="00E15050">
        <w:rPr>
          <w:rFonts w:ascii="Baskerville" w:hAnsi="Baskerville"/>
          <w:i/>
          <w:iCs/>
          <w:sz w:val="20"/>
          <w:szCs w:val="20"/>
          <w:lang w:val="en-US"/>
        </w:rPr>
        <w:t xml:space="preserve"> </w:t>
      </w:r>
      <w:r w:rsidRPr="00E15050">
        <w:rPr>
          <w:rFonts w:ascii="Baskerville" w:hAnsi="Baskerville"/>
          <w:iCs/>
          <w:sz w:val="20"/>
          <w:szCs w:val="20"/>
          <w:lang w:val="en-US"/>
        </w:rPr>
        <w:t>28</w:t>
      </w:r>
      <w:r w:rsidRPr="00E15050">
        <w:rPr>
          <w:rFonts w:ascii="Baskerville" w:hAnsi="Baskerville"/>
          <w:i/>
          <w:iCs/>
          <w:sz w:val="20"/>
          <w:szCs w:val="20"/>
          <w:lang w:val="en-US"/>
        </w:rPr>
        <w:t xml:space="preserve"> </w:t>
      </w:r>
      <w:r>
        <w:rPr>
          <w:rFonts w:ascii="Baskerville" w:hAnsi="Baskerville"/>
          <w:sz w:val="20"/>
          <w:szCs w:val="20"/>
          <w:lang w:val="en-US"/>
        </w:rPr>
        <w:t>ILM</w:t>
      </w:r>
      <w:r w:rsidRPr="00E15050">
        <w:rPr>
          <w:rFonts w:ascii="Baskerville" w:hAnsi="Baskerville"/>
          <w:sz w:val="20"/>
          <w:szCs w:val="20"/>
          <w:lang w:val="en-US"/>
        </w:rPr>
        <w:t xml:space="preserve"> 1308 </w:t>
      </w:r>
    </w:p>
    <w:p w14:paraId="0ABD76AA" w14:textId="77777777" w:rsidR="003822EB" w:rsidRDefault="003822EB" w:rsidP="003822EB">
      <w:pPr>
        <w:pStyle w:val="FootnoteText"/>
        <w:rPr>
          <w:rFonts w:ascii="Baskerville" w:hAnsi="Baskerville"/>
        </w:rPr>
      </w:pPr>
    </w:p>
    <w:p w14:paraId="217E155A" w14:textId="77777777" w:rsidR="003822EB" w:rsidRPr="0091002A" w:rsidRDefault="003822EB" w:rsidP="003822EB">
      <w:pPr>
        <w:pStyle w:val="FootnoteText"/>
        <w:rPr>
          <w:rFonts w:ascii="Baskerville" w:hAnsi="Baskerville"/>
          <w:sz w:val="20"/>
          <w:szCs w:val="20"/>
          <w:lang w:val="en-US"/>
        </w:rPr>
      </w:pPr>
      <w:r w:rsidRPr="0091002A">
        <w:rPr>
          <w:rFonts w:ascii="Baskerville" w:hAnsi="Baskerville"/>
          <w:sz w:val="20"/>
          <w:szCs w:val="20"/>
        </w:rPr>
        <w:t>United Nations, ‘</w:t>
      </w:r>
      <w:r w:rsidRPr="0091002A">
        <w:rPr>
          <w:rFonts w:ascii="Baskerville" w:hAnsi="Baskerville"/>
          <w:sz w:val="20"/>
          <w:szCs w:val="20"/>
          <w:lang w:val="en-US"/>
        </w:rPr>
        <w:t>The Rio Declaration on Environment and Development’</w:t>
      </w:r>
      <w:r w:rsidRPr="0091002A">
        <w:rPr>
          <w:rFonts w:ascii="Baskerville" w:hAnsi="Baskerville"/>
          <w:sz w:val="20"/>
          <w:szCs w:val="20"/>
        </w:rPr>
        <w:t xml:space="preserve"> (1992) 1</w:t>
      </w:r>
      <w:r w:rsidRPr="0091002A">
        <w:rPr>
          <w:rFonts w:ascii="Baskerville" w:hAnsi="Baskerville"/>
          <w:sz w:val="20"/>
          <w:szCs w:val="20"/>
          <w:lang w:val="en-US"/>
        </w:rPr>
        <w:t xml:space="preserve"> </w:t>
      </w:r>
    </w:p>
    <w:p w14:paraId="7D05DD02" w14:textId="77777777" w:rsidR="003822EB" w:rsidRPr="0091002A" w:rsidRDefault="003822EB" w:rsidP="003822EB">
      <w:pPr>
        <w:pStyle w:val="FootnoteText"/>
        <w:rPr>
          <w:rFonts w:ascii="Baskerville" w:hAnsi="Baskerville"/>
          <w:sz w:val="20"/>
          <w:szCs w:val="20"/>
        </w:rPr>
      </w:pPr>
      <w:r w:rsidRPr="0091002A">
        <w:rPr>
          <w:rFonts w:ascii="Baskerville" w:hAnsi="Baskerville"/>
          <w:sz w:val="20"/>
          <w:szCs w:val="20"/>
          <w:lang w:val="en-US"/>
        </w:rPr>
        <w:t>UN Doc A/CONF151/26 /31 ILM 874</w:t>
      </w:r>
    </w:p>
    <w:p w14:paraId="64FC8239" w14:textId="77777777" w:rsidR="003822EB" w:rsidRDefault="003822EB" w:rsidP="003822EB">
      <w:pPr>
        <w:pStyle w:val="FootnoteText"/>
        <w:rPr>
          <w:rFonts w:ascii="Baskerville" w:hAnsi="Baskerville"/>
          <w:sz w:val="20"/>
          <w:szCs w:val="20"/>
        </w:rPr>
      </w:pPr>
    </w:p>
    <w:p w14:paraId="461C9F25" w14:textId="77777777" w:rsidR="003822EB" w:rsidRDefault="003822EB" w:rsidP="003822EB">
      <w:pPr>
        <w:pStyle w:val="FootnoteText"/>
        <w:rPr>
          <w:rFonts w:ascii="Baskerville" w:hAnsi="Baskerville"/>
          <w:sz w:val="20"/>
          <w:szCs w:val="20"/>
          <w:lang w:val="en-US"/>
        </w:rPr>
      </w:pPr>
      <w:r w:rsidRPr="000B5374">
        <w:rPr>
          <w:rFonts w:ascii="Baskerville" w:hAnsi="Baskerville"/>
          <w:sz w:val="20"/>
          <w:szCs w:val="20"/>
        </w:rPr>
        <w:t>United Nations</w:t>
      </w:r>
      <w:r>
        <w:rPr>
          <w:rFonts w:ascii="Baskerville" w:hAnsi="Baskerville"/>
          <w:sz w:val="20"/>
          <w:szCs w:val="20"/>
        </w:rPr>
        <w:t>,</w:t>
      </w:r>
      <w:r w:rsidRPr="000B5374">
        <w:rPr>
          <w:rFonts w:ascii="Baskerville" w:hAnsi="Baskerville"/>
          <w:sz w:val="20"/>
          <w:szCs w:val="20"/>
        </w:rPr>
        <w:t xml:space="preserve"> </w:t>
      </w:r>
      <w:r>
        <w:rPr>
          <w:rFonts w:ascii="Baskerville" w:hAnsi="Baskerville"/>
          <w:sz w:val="20"/>
          <w:szCs w:val="20"/>
        </w:rPr>
        <w:t>‘</w:t>
      </w:r>
      <w:r w:rsidRPr="000B5374">
        <w:rPr>
          <w:rFonts w:ascii="Baskerville" w:hAnsi="Baskerville"/>
          <w:sz w:val="20"/>
          <w:szCs w:val="20"/>
        </w:rPr>
        <w:t xml:space="preserve">The Stockholm Declaration </w:t>
      </w:r>
      <w:r w:rsidRPr="000B5374">
        <w:rPr>
          <w:rFonts w:ascii="Baskerville" w:hAnsi="Baskerville"/>
          <w:sz w:val="20"/>
          <w:szCs w:val="20"/>
          <w:lang w:val="en-US"/>
        </w:rPr>
        <w:t>of the United Nations Conference on the Human Environment</w:t>
      </w:r>
      <w:r>
        <w:rPr>
          <w:rFonts w:ascii="Baskerville" w:hAnsi="Baskerville"/>
          <w:sz w:val="20"/>
          <w:szCs w:val="20"/>
          <w:lang w:val="en-US"/>
        </w:rPr>
        <w:t>’</w:t>
      </w:r>
      <w:r>
        <w:rPr>
          <w:rFonts w:ascii="Baskerville" w:hAnsi="Baskerville"/>
          <w:sz w:val="20"/>
          <w:szCs w:val="20"/>
        </w:rPr>
        <w:t xml:space="preserve"> </w:t>
      </w:r>
      <w:r>
        <w:rPr>
          <w:rFonts w:ascii="Baskerville" w:hAnsi="Baskerville"/>
          <w:sz w:val="20"/>
          <w:szCs w:val="20"/>
          <w:lang w:val="en-US"/>
        </w:rPr>
        <w:t>UN Doc A/CONF.48/14/Rev 1(1973)</w:t>
      </w:r>
      <w:r w:rsidRPr="00E4061D">
        <w:rPr>
          <w:rFonts w:ascii="Baskerville" w:hAnsi="Baskerville"/>
          <w:sz w:val="20"/>
          <w:szCs w:val="20"/>
          <w:lang w:val="en-US"/>
        </w:rPr>
        <w:t xml:space="preserve"> 11 ILM 1416 (1972)</w:t>
      </w:r>
    </w:p>
    <w:p w14:paraId="5312317F" w14:textId="77777777" w:rsidR="003822EB" w:rsidRPr="00AC11AD" w:rsidRDefault="003822EB" w:rsidP="003822EB">
      <w:pPr>
        <w:pStyle w:val="FootnoteText"/>
        <w:rPr>
          <w:rFonts w:ascii="Baskerville" w:hAnsi="Baskerville"/>
          <w:sz w:val="20"/>
          <w:szCs w:val="20"/>
          <w:lang w:val="en-US"/>
        </w:rPr>
      </w:pPr>
    </w:p>
    <w:p w14:paraId="7C01B3EB" w14:textId="77777777" w:rsidR="003822EB" w:rsidRDefault="003822EB" w:rsidP="003822EB">
      <w:pPr>
        <w:rPr>
          <w:rFonts w:ascii="Baskerville" w:hAnsi="Baskerville"/>
          <w:b/>
          <w:lang w:val="en-US"/>
        </w:rPr>
      </w:pPr>
      <w:r>
        <w:rPr>
          <w:rFonts w:ascii="Baskerville" w:hAnsi="Baskerville"/>
          <w:b/>
          <w:lang w:val="en-US"/>
        </w:rPr>
        <w:t>Treaties</w:t>
      </w:r>
    </w:p>
    <w:p w14:paraId="686035F4" w14:textId="77777777" w:rsidR="003822EB" w:rsidRDefault="003822EB" w:rsidP="003822EB">
      <w:pPr>
        <w:pStyle w:val="FootnoteText"/>
        <w:rPr>
          <w:rFonts w:ascii="Baskerville" w:hAnsi="Baskerville"/>
          <w:sz w:val="20"/>
          <w:szCs w:val="20"/>
        </w:rPr>
      </w:pPr>
    </w:p>
    <w:p w14:paraId="4E02CDF2" w14:textId="77777777" w:rsidR="003822EB" w:rsidRPr="008D566B" w:rsidRDefault="003822EB" w:rsidP="003822EB">
      <w:pPr>
        <w:pStyle w:val="FootnoteText"/>
        <w:rPr>
          <w:rFonts w:ascii="Baskerville" w:hAnsi="Baskerville"/>
          <w:sz w:val="20"/>
          <w:szCs w:val="20"/>
        </w:rPr>
      </w:pPr>
      <w:r w:rsidRPr="008D566B">
        <w:rPr>
          <w:rFonts w:ascii="Baskerville" w:hAnsi="Baskerville"/>
          <w:sz w:val="20"/>
          <w:szCs w:val="20"/>
        </w:rPr>
        <w:t>Treaty Establishing the European Economic Community, (25/3/1957), 298 U.N.T.S. 11.</w:t>
      </w:r>
    </w:p>
    <w:p w14:paraId="5CA3A3DD" w14:textId="77777777" w:rsidR="003822EB" w:rsidRPr="00430B90" w:rsidRDefault="003822EB" w:rsidP="003822EB">
      <w:pPr>
        <w:pStyle w:val="FootnoteText"/>
        <w:rPr>
          <w:rFonts w:ascii="Baskerville" w:hAnsi="Baskerville"/>
          <w:sz w:val="20"/>
          <w:szCs w:val="20"/>
          <w:lang w:val="en-US"/>
        </w:rPr>
      </w:pPr>
    </w:p>
    <w:p w14:paraId="0CD24528" w14:textId="77777777" w:rsidR="003822EB" w:rsidRDefault="003822EB" w:rsidP="003822EB">
      <w:pPr>
        <w:rPr>
          <w:rFonts w:ascii="Baskerville" w:hAnsi="Baskerville"/>
          <w:b/>
          <w:lang w:val="en-US"/>
        </w:rPr>
      </w:pPr>
      <w:r>
        <w:rPr>
          <w:rFonts w:ascii="Baskerville" w:hAnsi="Baskerville"/>
          <w:b/>
          <w:lang w:val="en-US"/>
        </w:rPr>
        <w:t>Conventions</w:t>
      </w:r>
    </w:p>
    <w:p w14:paraId="79B3CA46" w14:textId="77777777" w:rsidR="003822EB" w:rsidRDefault="003822EB" w:rsidP="003822EB">
      <w:pPr>
        <w:pStyle w:val="FootnoteText"/>
        <w:rPr>
          <w:rFonts w:ascii="Baskerville" w:hAnsi="Baskerville"/>
          <w:sz w:val="20"/>
          <w:szCs w:val="20"/>
          <w:lang w:val="en-US"/>
        </w:rPr>
      </w:pPr>
    </w:p>
    <w:p w14:paraId="0163C8DC" w14:textId="77777777" w:rsidR="003822EB" w:rsidRDefault="003822EB" w:rsidP="003822EB">
      <w:pPr>
        <w:pStyle w:val="FootnoteText"/>
        <w:rPr>
          <w:rFonts w:ascii="Baskerville" w:hAnsi="Baskerville"/>
          <w:sz w:val="20"/>
          <w:szCs w:val="20"/>
          <w:lang w:val="en-US"/>
        </w:rPr>
      </w:pPr>
      <w:r w:rsidRPr="002662B0">
        <w:rPr>
          <w:rFonts w:ascii="Baskerville" w:hAnsi="Baskerville"/>
          <w:sz w:val="20"/>
          <w:szCs w:val="20"/>
        </w:rPr>
        <w:t>Stockholm Convention on</w:t>
      </w:r>
      <w:r>
        <w:rPr>
          <w:rFonts w:ascii="Baskerville" w:hAnsi="Baskerville"/>
          <w:sz w:val="20"/>
          <w:szCs w:val="20"/>
          <w:lang w:val="en-US"/>
        </w:rPr>
        <w:t xml:space="preserve"> </w:t>
      </w:r>
      <w:r w:rsidRPr="002662B0">
        <w:rPr>
          <w:rFonts w:ascii="Baskerville" w:hAnsi="Baskerville"/>
          <w:sz w:val="20"/>
          <w:szCs w:val="20"/>
        </w:rPr>
        <w:t xml:space="preserve">Persistent Organic Pollutants, </w:t>
      </w:r>
      <w:r w:rsidRPr="002662B0">
        <w:rPr>
          <w:rFonts w:ascii="Baskerville" w:hAnsi="Baskerville"/>
          <w:sz w:val="20"/>
          <w:szCs w:val="20"/>
          <w:lang w:val="en-US"/>
        </w:rPr>
        <w:t>2256 UNTS 119; 40 ILM 532 (2001)</w:t>
      </w:r>
    </w:p>
    <w:p w14:paraId="6C1D42E9" w14:textId="77777777" w:rsidR="003822EB" w:rsidRDefault="003822EB" w:rsidP="003822EB">
      <w:pPr>
        <w:pStyle w:val="FootnoteText"/>
        <w:rPr>
          <w:rFonts w:ascii="Baskerville" w:hAnsi="Baskerville"/>
          <w:sz w:val="20"/>
          <w:szCs w:val="20"/>
          <w:lang w:val="en-US"/>
        </w:rPr>
      </w:pPr>
    </w:p>
    <w:p w14:paraId="399CDE2E" w14:textId="77777777" w:rsidR="003822EB" w:rsidRDefault="003822EB" w:rsidP="003822EB">
      <w:pPr>
        <w:pStyle w:val="FootnoteText"/>
        <w:rPr>
          <w:rFonts w:ascii="Baskerville" w:hAnsi="Baskerville"/>
          <w:sz w:val="20"/>
          <w:szCs w:val="20"/>
          <w:lang w:val="en-US"/>
        </w:rPr>
      </w:pPr>
      <w:r w:rsidRPr="0078602F">
        <w:rPr>
          <w:rFonts w:ascii="Baskerville" w:hAnsi="Baskerville"/>
          <w:sz w:val="20"/>
          <w:szCs w:val="20"/>
          <w:lang w:val="en-US"/>
        </w:rPr>
        <w:t>United Nations Conv</w:t>
      </w:r>
      <w:r>
        <w:rPr>
          <w:rFonts w:ascii="Baskerville" w:hAnsi="Baskerville"/>
          <w:sz w:val="20"/>
          <w:szCs w:val="20"/>
          <w:lang w:val="en-US"/>
        </w:rPr>
        <w:t xml:space="preserve">ention on the Law of the Sea (1982) UN Doc </w:t>
      </w:r>
      <w:r w:rsidRPr="0078602F">
        <w:rPr>
          <w:rFonts w:ascii="Baskerville" w:hAnsi="Baskerville"/>
          <w:sz w:val="20"/>
          <w:szCs w:val="20"/>
          <w:lang w:val="en-US"/>
        </w:rPr>
        <w:t>A</w:t>
      </w:r>
      <w:r>
        <w:rPr>
          <w:rFonts w:ascii="Baskerville" w:hAnsi="Baskerville"/>
          <w:sz w:val="20"/>
          <w:szCs w:val="20"/>
          <w:lang w:val="en-US"/>
        </w:rPr>
        <w:t>.</w:t>
      </w:r>
      <w:r w:rsidRPr="0078602F">
        <w:rPr>
          <w:rFonts w:ascii="Baskerville" w:hAnsi="Baskerville"/>
          <w:sz w:val="20"/>
          <w:szCs w:val="20"/>
          <w:lang w:val="en-US"/>
        </w:rPr>
        <w:t>l</w:t>
      </w:r>
      <w:r>
        <w:rPr>
          <w:rFonts w:ascii="Baskerville" w:hAnsi="Baskerville"/>
          <w:sz w:val="20"/>
          <w:szCs w:val="20"/>
          <w:lang w:val="en-US"/>
        </w:rPr>
        <w:t>/CONF.</w:t>
      </w:r>
      <w:r>
        <w:rPr>
          <w:rFonts w:ascii="Baskerville" w:hAnsi="Baskerville"/>
          <w:i/>
          <w:iCs/>
          <w:sz w:val="20"/>
          <w:szCs w:val="20"/>
          <w:lang w:val="en-US"/>
        </w:rPr>
        <w:t>62/122</w:t>
      </w:r>
      <w:r w:rsidRPr="0078602F">
        <w:rPr>
          <w:rFonts w:ascii="Baskerville" w:hAnsi="Baskerville"/>
          <w:i/>
          <w:iCs/>
          <w:sz w:val="20"/>
          <w:szCs w:val="20"/>
          <w:lang w:val="en-US"/>
        </w:rPr>
        <w:t xml:space="preserve"> </w:t>
      </w:r>
      <w:r>
        <w:rPr>
          <w:rFonts w:ascii="Baskerville" w:hAnsi="Baskerville"/>
          <w:sz w:val="20"/>
          <w:szCs w:val="20"/>
          <w:lang w:val="en-US"/>
        </w:rPr>
        <w:t>/</w:t>
      </w:r>
      <w:r w:rsidRPr="0078602F">
        <w:rPr>
          <w:rFonts w:ascii="Baskerville" w:hAnsi="Baskerville"/>
          <w:sz w:val="20"/>
          <w:szCs w:val="20"/>
          <w:lang w:val="en-US"/>
        </w:rPr>
        <w:t xml:space="preserve">21 </w:t>
      </w:r>
      <w:r>
        <w:rPr>
          <w:rFonts w:ascii="Baskerville" w:hAnsi="Baskerville"/>
          <w:sz w:val="20"/>
          <w:szCs w:val="20"/>
          <w:lang w:val="en-US"/>
        </w:rPr>
        <w:t xml:space="preserve">ILM </w:t>
      </w:r>
      <w:r w:rsidRPr="0078602F">
        <w:rPr>
          <w:rFonts w:ascii="Baskerville" w:hAnsi="Baskerville"/>
          <w:sz w:val="20"/>
          <w:szCs w:val="20"/>
          <w:lang w:val="en-US"/>
        </w:rPr>
        <w:t xml:space="preserve">1261 </w:t>
      </w:r>
    </w:p>
    <w:p w14:paraId="5204618D" w14:textId="77777777" w:rsidR="003822EB" w:rsidRDefault="003822EB" w:rsidP="003822EB">
      <w:pPr>
        <w:pStyle w:val="FootnoteText"/>
        <w:rPr>
          <w:rFonts w:ascii="Baskerville" w:hAnsi="Baskerville"/>
          <w:sz w:val="20"/>
          <w:szCs w:val="20"/>
          <w:lang w:val="en-US"/>
        </w:rPr>
      </w:pPr>
    </w:p>
    <w:p w14:paraId="0D1F4C12" w14:textId="77777777" w:rsidR="003822EB" w:rsidRPr="0078602F" w:rsidRDefault="003822EB" w:rsidP="003822EB">
      <w:pPr>
        <w:pStyle w:val="FootnoteText"/>
        <w:rPr>
          <w:rFonts w:ascii="Baskerville" w:hAnsi="Baskerville"/>
          <w:sz w:val="20"/>
          <w:szCs w:val="20"/>
          <w:lang w:val="en-US"/>
        </w:rPr>
      </w:pPr>
      <w:r w:rsidRPr="00141AA8">
        <w:rPr>
          <w:rFonts w:ascii="Baskerville" w:hAnsi="Baskerville"/>
          <w:sz w:val="20"/>
          <w:szCs w:val="20"/>
        </w:rPr>
        <w:t xml:space="preserve">United Nations Framework Convention on Climate Change (UNFCCC), </w:t>
      </w:r>
      <w:r w:rsidRPr="00141AA8">
        <w:rPr>
          <w:rFonts w:ascii="Baskerville" w:hAnsi="Baskerville"/>
          <w:sz w:val="20"/>
          <w:szCs w:val="20"/>
          <w:lang w:val="en-US"/>
        </w:rPr>
        <w:t>1771 UNTS 107; S. Treaty Doc No. 102-38; U.N. Doc. A/AC.237/18 (Part II)/Add.1; 31 ILM 849 (1992)</w:t>
      </w:r>
    </w:p>
    <w:p w14:paraId="04B60CF5" w14:textId="77777777" w:rsidR="003822EB" w:rsidRDefault="003822EB" w:rsidP="003822EB">
      <w:pPr>
        <w:pStyle w:val="FootnoteText"/>
        <w:rPr>
          <w:rFonts w:ascii="Baskerville" w:hAnsi="Baskerville"/>
        </w:rPr>
      </w:pPr>
    </w:p>
    <w:p w14:paraId="571BD23E" w14:textId="77777777" w:rsidR="003822EB" w:rsidRDefault="003822EB" w:rsidP="003822EB">
      <w:pPr>
        <w:pStyle w:val="FootnoteText"/>
        <w:rPr>
          <w:rFonts w:ascii="Baskerville" w:hAnsi="Baskerville"/>
          <w:sz w:val="20"/>
          <w:szCs w:val="20"/>
          <w:lang w:val="en-US"/>
        </w:rPr>
      </w:pPr>
      <w:r w:rsidRPr="00AC11AD">
        <w:rPr>
          <w:rStyle w:val="FootnoteReference"/>
          <w:rFonts w:ascii="Baskerville" w:hAnsi="Baskerville"/>
          <w:sz w:val="20"/>
          <w:szCs w:val="20"/>
          <w:vertAlign w:val="baseline"/>
        </w:rPr>
        <w:t>United Nations</w:t>
      </w:r>
      <w:r>
        <w:rPr>
          <w:rFonts w:ascii="Baskerville" w:hAnsi="Baskerville"/>
          <w:sz w:val="20"/>
          <w:szCs w:val="20"/>
        </w:rPr>
        <w:t xml:space="preserve"> </w:t>
      </w:r>
      <w:r w:rsidRPr="00AC11AD">
        <w:rPr>
          <w:rFonts w:ascii="Baskerville" w:hAnsi="Baskerville"/>
          <w:sz w:val="20"/>
          <w:szCs w:val="20"/>
          <w:lang w:val="en-US"/>
        </w:rPr>
        <w:t>Paris Convention for the Protection of the Marine Environm</w:t>
      </w:r>
      <w:r>
        <w:rPr>
          <w:rFonts w:ascii="Baskerville" w:hAnsi="Baskerville"/>
          <w:sz w:val="20"/>
          <w:szCs w:val="20"/>
          <w:lang w:val="en-US"/>
        </w:rPr>
        <w:t xml:space="preserve">ent of the North East Atlantic (1993) </w:t>
      </w:r>
      <w:r w:rsidRPr="00AC11AD">
        <w:rPr>
          <w:rFonts w:ascii="Baskerville" w:hAnsi="Baskerville"/>
          <w:sz w:val="20"/>
          <w:szCs w:val="20"/>
          <w:lang w:val="en-US"/>
        </w:rPr>
        <w:t>2</w:t>
      </w:r>
      <w:r>
        <w:rPr>
          <w:rFonts w:ascii="Baskerville" w:hAnsi="Baskerville"/>
          <w:sz w:val="20"/>
          <w:szCs w:val="20"/>
          <w:lang w:val="en-US"/>
        </w:rPr>
        <w:t>354 UNTS 67/</w:t>
      </w:r>
      <w:r w:rsidRPr="00AC11AD">
        <w:rPr>
          <w:rFonts w:ascii="Baskerville" w:hAnsi="Baskerville"/>
          <w:sz w:val="20"/>
          <w:szCs w:val="20"/>
          <w:lang w:val="en-US"/>
        </w:rPr>
        <w:t xml:space="preserve">32 ILM 1069 </w:t>
      </w:r>
    </w:p>
    <w:p w14:paraId="1CF5091E" w14:textId="77777777" w:rsidR="0002058B" w:rsidRDefault="0002058B" w:rsidP="003822EB">
      <w:pPr>
        <w:pStyle w:val="FootnoteText"/>
        <w:rPr>
          <w:rFonts w:ascii="Baskerville" w:hAnsi="Baskerville"/>
          <w:sz w:val="20"/>
          <w:szCs w:val="20"/>
          <w:lang w:val="en-US"/>
        </w:rPr>
      </w:pPr>
    </w:p>
    <w:p w14:paraId="7F6B8B3A" w14:textId="624B70EB" w:rsidR="0002058B" w:rsidRPr="0002058B" w:rsidRDefault="0002058B" w:rsidP="0002058B">
      <w:pPr>
        <w:rPr>
          <w:rFonts w:ascii="Baskerville" w:hAnsi="Baskerville"/>
          <w:b/>
          <w:lang w:val="en-US"/>
        </w:rPr>
      </w:pPr>
      <w:r>
        <w:rPr>
          <w:rFonts w:ascii="Baskerville" w:hAnsi="Baskerville"/>
          <w:b/>
          <w:lang w:val="en-US"/>
        </w:rPr>
        <w:t>Communications</w:t>
      </w:r>
    </w:p>
    <w:p w14:paraId="61B35D08" w14:textId="77777777" w:rsidR="0002058B" w:rsidRDefault="0002058B" w:rsidP="003822EB">
      <w:pPr>
        <w:pStyle w:val="FootnoteText"/>
        <w:rPr>
          <w:rFonts w:ascii="Baskerville" w:hAnsi="Baskerville"/>
          <w:sz w:val="20"/>
          <w:szCs w:val="20"/>
          <w:lang w:val="en-US"/>
        </w:rPr>
      </w:pPr>
    </w:p>
    <w:p w14:paraId="615D7A0D" w14:textId="0337DBD0" w:rsidR="003822EB" w:rsidRPr="0002058B" w:rsidRDefault="0002058B" w:rsidP="0002058B">
      <w:pPr>
        <w:pStyle w:val="FootnoteText"/>
        <w:rPr>
          <w:rFonts w:ascii="Baskerville" w:hAnsi="Baskerville"/>
          <w:sz w:val="20"/>
          <w:szCs w:val="20"/>
          <w:lang w:val="en-US"/>
        </w:rPr>
      </w:pPr>
      <w:r w:rsidRPr="0002058B">
        <w:rPr>
          <w:rFonts w:ascii="Baskerville" w:hAnsi="Baskerville"/>
          <w:sz w:val="20"/>
          <w:szCs w:val="20"/>
          <w:lang w:val="en-US"/>
        </w:rPr>
        <w:t>Communication from the Commission on the Precautionary Principle COM (2000) 1. Available at:  &lt;http://ec.europa.eu/dgs/health_consumer/library/pub/pub07_en.pdf&gt;.  </w:t>
      </w:r>
    </w:p>
    <w:p w14:paraId="5A202348" w14:textId="77777777" w:rsidR="003822EB" w:rsidRDefault="003822EB" w:rsidP="003822EB">
      <w:pPr>
        <w:rPr>
          <w:rFonts w:ascii="Baskerville" w:hAnsi="Baskerville"/>
          <w:b/>
          <w:u w:val="single"/>
          <w:lang w:val="en-US"/>
        </w:rPr>
      </w:pPr>
      <w:r>
        <w:rPr>
          <w:rFonts w:ascii="Baskerville" w:hAnsi="Baskerville"/>
          <w:b/>
          <w:u w:val="single"/>
          <w:lang w:val="en-US"/>
        </w:rPr>
        <w:t>Secondary sources</w:t>
      </w:r>
    </w:p>
    <w:p w14:paraId="1DF663D7" w14:textId="77777777" w:rsidR="003822EB" w:rsidRDefault="003822EB" w:rsidP="003822EB">
      <w:pPr>
        <w:rPr>
          <w:rFonts w:ascii="Baskerville" w:hAnsi="Baskerville"/>
          <w:b/>
          <w:u w:val="single"/>
          <w:lang w:val="en-US"/>
        </w:rPr>
      </w:pPr>
    </w:p>
    <w:p w14:paraId="1060EB0D" w14:textId="77777777" w:rsidR="003822EB" w:rsidRDefault="003822EB" w:rsidP="003822EB">
      <w:pPr>
        <w:rPr>
          <w:rFonts w:ascii="Baskerville" w:hAnsi="Baskerville"/>
          <w:b/>
          <w:lang w:val="en-US"/>
        </w:rPr>
      </w:pPr>
      <w:r w:rsidRPr="004B7F7C">
        <w:rPr>
          <w:rFonts w:ascii="Baskerville" w:hAnsi="Baskerville"/>
          <w:b/>
          <w:lang w:val="en-US"/>
        </w:rPr>
        <w:t>Book</w:t>
      </w:r>
      <w:r>
        <w:rPr>
          <w:rFonts w:ascii="Baskerville" w:hAnsi="Baskerville"/>
          <w:b/>
          <w:lang w:val="en-US"/>
        </w:rPr>
        <w:t>s</w:t>
      </w:r>
    </w:p>
    <w:p w14:paraId="7126112F" w14:textId="77777777" w:rsidR="003822EB" w:rsidRDefault="003822EB" w:rsidP="003822EB">
      <w:pPr>
        <w:rPr>
          <w:rFonts w:ascii="Baskerville" w:hAnsi="Baskerville"/>
          <w:b/>
          <w:lang w:val="en-US"/>
        </w:rPr>
      </w:pPr>
    </w:p>
    <w:p w14:paraId="5C6E3281" w14:textId="77777777" w:rsidR="003822EB" w:rsidRDefault="003822EB" w:rsidP="003822EB">
      <w:pPr>
        <w:pStyle w:val="FootnoteText"/>
        <w:rPr>
          <w:rFonts w:ascii="Baskerville" w:hAnsi="Baskerville"/>
          <w:sz w:val="20"/>
          <w:szCs w:val="20"/>
        </w:rPr>
      </w:pPr>
      <w:r w:rsidRPr="00CA7D22">
        <w:rPr>
          <w:rFonts w:ascii="Baskerville" w:hAnsi="Baskerville"/>
          <w:sz w:val="20"/>
          <w:szCs w:val="20"/>
        </w:rPr>
        <w:t>Birnie</w:t>
      </w:r>
      <w:r>
        <w:rPr>
          <w:rFonts w:ascii="Baskerville" w:hAnsi="Baskerville"/>
          <w:sz w:val="20"/>
          <w:szCs w:val="20"/>
        </w:rPr>
        <w:t xml:space="preserve"> P and </w:t>
      </w:r>
      <w:r w:rsidRPr="00CA7D22">
        <w:rPr>
          <w:rFonts w:ascii="Baskerville" w:hAnsi="Baskerville"/>
          <w:sz w:val="20"/>
          <w:szCs w:val="20"/>
        </w:rPr>
        <w:t>Boyle</w:t>
      </w:r>
      <w:r>
        <w:rPr>
          <w:rFonts w:ascii="Baskerville" w:hAnsi="Baskerville"/>
          <w:sz w:val="20"/>
          <w:szCs w:val="20"/>
        </w:rPr>
        <w:t xml:space="preserve"> A,</w:t>
      </w:r>
      <w:r w:rsidRPr="00CA7D22">
        <w:rPr>
          <w:rFonts w:ascii="Baskerville" w:hAnsi="Baskerville"/>
          <w:sz w:val="20"/>
          <w:szCs w:val="20"/>
        </w:rPr>
        <w:t xml:space="preserve"> </w:t>
      </w:r>
      <w:r w:rsidRPr="00CA7D22">
        <w:rPr>
          <w:rFonts w:ascii="Baskerville" w:hAnsi="Baskerville"/>
          <w:i/>
          <w:iCs/>
          <w:sz w:val="20"/>
          <w:szCs w:val="20"/>
        </w:rPr>
        <w:t>International Law and the Environment</w:t>
      </w:r>
      <w:r>
        <w:rPr>
          <w:rFonts w:ascii="Baskerville" w:hAnsi="Baskerville"/>
          <w:sz w:val="20"/>
          <w:szCs w:val="20"/>
        </w:rPr>
        <w:t xml:space="preserve"> (OUP</w:t>
      </w:r>
      <w:r w:rsidRPr="00CA7D22">
        <w:rPr>
          <w:rFonts w:ascii="Baskerville" w:hAnsi="Baskerville"/>
          <w:sz w:val="20"/>
          <w:szCs w:val="20"/>
        </w:rPr>
        <w:t xml:space="preserve"> 2002</w:t>
      </w:r>
      <w:r>
        <w:rPr>
          <w:rFonts w:ascii="Baskerville" w:hAnsi="Baskerville"/>
          <w:sz w:val="20"/>
          <w:szCs w:val="20"/>
        </w:rPr>
        <w:t>)</w:t>
      </w:r>
    </w:p>
    <w:p w14:paraId="0A947794" w14:textId="77777777" w:rsidR="003822EB" w:rsidRDefault="003822EB" w:rsidP="003822EB">
      <w:pPr>
        <w:pStyle w:val="FootnoteText"/>
        <w:rPr>
          <w:rFonts w:ascii="Baskerville" w:hAnsi="Baskerville"/>
          <w:sz w:val="20"/>
          <w:szCs w:val="20"/>
          <w:lang w:val="en-US"/>
        </w:rPr>
      </w:pPr>
    </w:p>
    <w:p w14:paraId="7CBC0DC7" w14:textId="77777777" w:rsidR="003822EB" w:rsidRDefault="003822EB" w:rsidP="003822EB">
      <w:pPr>
        <w:pStyle w:val="FootnoteText"/>
        <w:rPr>
          <w:rFonts w:ascii="Baskerville" w:hAnsi="Baskerville"/>
          <w:sz w:val="20"/>
          <w:szCs w:val="20"/>
          <w:lang w:val="en-US"/>
        </w:rPr>
      </w:pPr>
      <w:r w:rsidRPr="00B41F30">
        <w:rPr>
          <w:rFonts w:ascii="Baskerville" w:hAnsi="Baskerville"/>
          <w:sz w:val="20"/>
          <w:szCs w:val="20"/>
          <w:lang w:val="en-US"/>
        </w:rPr>
        <w:t>Cameron</w:t>
      </w:r>
      <w:r>
        <w:rPr>
          <w:rFonts w:ascii="Baskerville" w:hAnsi="Baskerville"/>
          <w:sz w:val="20"/>
          <w:szCs w:val="20"/>
          <w:lang w:val="en-US"/>
        </w:rPr>
        <w:t xml:space="preserve"> J</w:t>
      </w:r>
      <w:r w:rsidRPr="00B41F30">
        <w:rPr>
          <w:rFonts w:ascii="Baskerville" w:hAnsi="Baskerville"/>
          <w:sz w:val="20"/>
          <w:szCs w:val="20"/>
          <w:lang w:val="en-US"/>
        </w:rPr>
        <w:t xml:space="preserve">, </w:t>
      </w:r>
      <w:r>
        <w:rPr>
          <w:rFonts w:ascii="Baskerville" w:hAnsi="Baskerville"/>
          <w:sz w:val="20"/>
          <w:szCs w:val="20"/>
          <w:lang w:val="en-US"/>
        </w:rPr>
        <w:t>‘</w:t>
      </w:r>
      <w:r w:rsidRPr="00B41F30">
        <w:rPr>
          <w:rFonts w:ascii="Baskerville" w:hAnsi="Baskerville"/>
          <w:sz w:val="20"/>
          <w:szCs w:val="20"/>
          <w:lang w:val="en-US"/>
        </w:rPr>
        <w:t>The Precautionary Principle: Core Meaning, Constitutional Framework and Procedures for Implementation</w:t>
      </w:r>
      <w:r>
        <w:rPr>
          <w:rFonts w:ascii="Baskerville" w:hAnsi="Baskerville"/>
          <w:sz w:val="20"/>
          <w:szCs w:val="20"/>
          <w:lang w:val="en-US"/>
        </w:rPr>
        <w:t xml:space="preserve">’ </w:t>
      </w:r>
      <w:r w:rsidRPr="00B41F30">
        <w:rPr>
          <w:rFonts w:ascii="Baskerville" w:hAnsi="Baskerville"/>
          <w:sz w:val="20"/>
          <w:szCs w:val="20"/>
          <w:lang w:val="en-US"/>
        </w:rPr>
        <w:t xml:space="preserve">in </w:t>
      </w:r>
      <w:r>
        <w:rPr>
          <w:rFonts w:ascii="Baskerville" w:hAnsi="Baskerville"/>
          <w:sz w:val="20"/>
          <w:szCs w:val="20"/>
          <w:lang w:val="en-US"/>
        </w:rPr>
        <w:t>Harding R and</w:t>
      </w:r>
      <w:r w:rsidRPr="00B41F30">
        <w:rPr>
          <w:rFonts w:ascii="Baskerville" w:hAnsi="Baskerville"/>
          <w:sz w:val="20"/>
          <w:szCs w:val="20"/>
          <w:lang w:val="en-US"/>
        </w:rPr>
        <w:t xml:space="preserve"> </w:t>
      </w:r>
      <w:r>
        <w:rPr>
          <w:rFonts w:ascii="Baskerville" w:hAnsi="Baskerville"/>
          <w:sz w:val="20"/>
          <w:szCs w:val="20"/>
          <w:lang w:val="en-US"/>
        </w:rPr>
        <w:t>Fisher E (eds),</w:t>
      </w:r>
      <w:r w:rsidRPr="00B41F30">
        <w:rPr>
          <w:rFonts w:ascii="Baskerville" w:hAnsi="Baskerville"/>
          <w:sz w:val="20"/>
          <w:szCs w:val="20"/>
          <w:lang w:val="en-US"/>
        </w:rPr>
        <w:t xml:space="preserve"> </w:t>
      </w:r>
      <w:r w:rsidRPr="00BE164F">
        <w:rPr>
          <w:rFonts w:ascii="Baskerville" w:hAnsi="Baskerville"/>
          <w:i/>
          <w:sz w:val="20"/>
          <w:szCs w:val="20"/>
          <w:lang w:val="en-US"/>
        </w:rPr>
        <w:t>Perspectives on the Precautionary Principle</w:t>
      </w:r>
      <w:r>
        <w:rPr>
          <w:rFonts w:ascii="Baskerville" w:hAnsi="Baskerville"/>
          <w:sz w:val="20"/>
          <w:szCs w:val="20"/>
          <w:lang w:val="en-US"/>
        </w:rPr>
        <w:t xml:space="preserve"> (Federation Press 1999) </w:t>
      </w:r>
    </w:p>
    <w:p w14:paraId="55698127" w14:textId="77777777" w:rsidR="003822EB" w:rsidRDefault="003822EB" w:rsidP="003822EB">
      <w:pPr>
        <w:pStyle w:val="FootnoteText"/>
        <w:rPr>
          <w:rFonts w:ascii="Baskerville" w:hAnsi="Baskerville"/>
          <w:sz w:val="20"/>
          <w:szCs w:val="20"/>
          <w:lang w:val="en-US"/>
        </w:rPr>
      </w:pPr>
    </w:p>
    <w:p w14:paraId="4B8CAABB" w14:textId="77777777" w:rsidR="003822EB" w:rsidRDefault="003822EB" w:rsidP="003822EB">
      <w:pPr>
        <w:pStyle w:val="FootnoteText"/>
        <w:rPr>
          <w:rFonts w:ascii="Baskerville" w:hAnsi="Baskerville"/>
          <w:b/>
          <w:lang w:val="en-US"/>
        </w:rPr>
      </w:pPr>
      <w:r w:rsidRPr="001C5579">
        <w:rPr>
          <w:rFonts w:ascii="Baskerville" w:hAnsi="Baskerville"/>
          <w:b/>
          <w:lang w:val="en-US"/>
        </w:rPr>
        <w:t xml:space="preserve">Books </w:t>
      </w:r>
    </w:p>
    <w:p w14:paraId="6E7EA18C" w14:textId="77777777" w:rsidR="003822EB" w:rsidRPr="001C5579" w:rsidRDefault="003822EB" w:rsidP="003822EB">
      <w:pPr>
        <w:pStyle w:val="FootnoteText"/>
        <w:rPr>
          <w:rFonts w:ascii="Baskerville" w:hAnsi="Baskerville"/>
          <w:b/>
          <w:lang w:val="en-US"/>
        </w:rPr>
      </w:pPr>
    </w:p>
    <w:p w14:paraId="0B085AFE" w14:textId="77777777" w:rsidR="003822EB" w:rsidRPr="00DD4A71" w:rsidRDefault="003822EB" w:rsidP="003822EB">
      <w:pPr>
        <w:pStyle w:val="FootnoteText"/>
        <w:rPr>
          <w:rFonts w:ascii="Baskerville" w:hAnsi="Baskerville"/>
          <w:color w:val="FF0000"/>
          <w:sz w:val="20"/>
          <w:szCs w:val="20"/>
          <w:lang w:val="en-US"/>
        </w:rPr>
      </w:pPr>
      <w:r w:rsidRPr="00144D12">
        <w:rPr>
          <w:rFonts w:ascii="Baskerville" w:hAnsi="Baskerville"/>
          <w:sz w:val="20"/>
          <w:szCs w:val="20"/>
          <w:lang w:val="en-US"/>
        </w:rPr>
        <w:t>Cheng</w:t>
      </w:r>
      <w:r>
        <w:rPr>
          <w:rFonts w:ascii="Baskerville" w:hAnsi="Baskerville"/>
          <w:sz w:val="20"/>
          <w:szCs w:val="20"/>
          <w:lang w:val="en-US"/>
        </w:rPr>
        <w:t xml:space="preserve"> B</w:t>
      </w:r>
      <w:r w:rsidRPr="00144D12">
        <w:rPr>
          <w:rFonts w:ascii="Baskerville" w:hAnsi="Baskerville"/>
          <w:sz w:val="20"/>
          <w:szCs w:val="20"/>
          <w:lang w:val="en-US"/>
        </w:rPr>
        <w:t xml:space="preserve">, </w:t>
      </w:r>
      <w:r>
        <w:rPr>
          <w:rFonts w:ascii="Baskerville" w:hAnsi="Baskerville"/>
          <w:sz w:val="20"/>
          <w:szCs w:val="20"/>
          <w:lang w:val="en-US"/>
        </w:rPr>
        <w:t>‘</w:t>
      </w:r>
      <w:r w:rsidRPr="00AC11AD">
        <w:rPr>
          <w:rFonts w:ascii="Baskerville" w:hAnsi="Baskerville"/>
          <w:iCs/>
          <w:sz w:val="20"/>
          <w:szCs w:val="20"/>
          <w:lang w:val="en-US"/>
        </w:rPr>
        <w:t>Custom: The Future of General State Practice in a Divided World</w:t>
      </w:r>
      <w:r>
        <w:rPr>
          <w:rFonts w:ascii="Baskerville" w:hAnsi="Baskerville"/>
          <w:iCs/>
          <w:sz w:val="20"/>
          <w:szCs w:val="20"/>
          <w:lang w:val="en-US"/>
        </w:rPr>
        <w:t>’</w:t>
      </w:r>
      <w:r w:rsidRPr="00144D12">
        <w:rPr>
          <w:rFonts w:ascii="Baskerville" w:hAnsi="Baskerville"/>
          <w:i/>
          <w:iCs/>
          <w:sz w:val="20"/>
          <w:szCs w:val="20"/>
          <w:lang w:val="en-US"/>
        </w:rPr>
        <w:t xml:space="preserve"> </w:t>
      </w:r>
      <w:r w:rsidRPr="00144D12">
        <w:rPr>
          <w:rFonts w:ascii="Baskerville" w:hAnsi="Baskerville"/>
          <w:sz w:val="20"/>
          <w:szCs w:val="20"/>
          <w:lang w:val="en-US"/>
        </w:rPr>
        <w:t>in D. M. Johnston</w:t>
      </w:r>
      <w:r>
        <w:rPr>
          <w:rFonts w:ascii="Baskerville" w:hAnsi="Baskerville"/>
          <w:sz w:val="20"/>
          <w:szCs w:val="20"/>
          <w:lang w:val="en-US"/>
        </w:rPr>
        <w:t xml:space="preserve"> DM</w:t>
      </w:r>
      <w:r w:rsidRPr="00144D12">
        <w:rPr>
          <w:rFonts w:ascii="Baskerville" w:hAnsi="Baskerville"/>
          <w:sz w:val="20"/>
          <w:szCs w:val="20"/>
          <w:lang w:val="en-US"/>
        </w:rPr>
        <w:t xml:space="preserve"> </w:t>
      </w:r>
      <w:r>
        <w:rPr>
          <w:rFonts w:ascii="Baskerville" w:hAnsi="Baskerville"/>
          <w:sz w:val="20"/>
          <w:szCs w:val="20"/>
          <w:lang w:val="en-US"/>
        </w:rPr>
        <w:t>and</w:t>
      </w:r>
      <w:r w:rsidRPr="00144D12">
        <w:rPr>
          <w:rFonts w:ascii="Baskerville" w:hAnsi="Baskerville"/>
          <w:sz w:val="20"/>
          <w:szCs w:val="20"/>
          <w:lang w:val="en-US"/>
        </w:rPr>
        <w:t xml:space="preserve"> St. MacDonald</w:t>
      </w:r>
      <w:r>
        <w:rPr>
          <w:rFonts w:ascii="Baskerville" w:hAnsi="Baskerville"/>
          <w:sz w:val="20"/>
          <w:szCs w:val="20"/>
          <w:lang w:val="en-US"/>
        </w:rPr>
        <w:t xml:space="preserve"> R (eds</w:t>
      </w:r>
      <w:r w:rsidRPr="00144D12">
        <w:rPr>
          <w:rFonts w:ascii="Baskerville" w:hAnsi="Baskerville"/>
          <w:sz w:val="20"/>
          <w:szCs w:val="20"/>
          <w:lang w:val="en-US"/>
        </w:rPr>
        <w:t>),</w:t>
      </w:r>
      <w:r w:rsidRPr="00DD4A71">
        <w:rPr>
          <w:rFonts w:ascii="Baskerville" w:hAnsi="Baskerville"/>
          <w:color w:val="FF0000"/>
          <w:sz w:val="20"/>
          <w:szCs w:val="20"/>
          <w:lang w:val="en-US"/>
        </w:rPr>
        <w:t xml:space="preserve"> </w:t>
      </w:r>
      <w:r w:rsidRPr="00E56E0C">
        <w:rPr>
          <w:rFonts w:ascii="Baskerville" w:hAnsi="Baskerville"/>
          <w:sz w:val="20"/>
          <w:szCs w:val="20"/>
          <w:lang w:val="en-US"/>
        </w:rPr>
        <w:t>‘</w:t>
      </w:r>
      <w:r w:rsidRPr="00AC11AD">
        <w:rPr>
          <w:rFonts w:ascii="Baskerville" w:hAnsi="Baskerville"/>
          <w:i/>
          <w:sz w:val="20"/>
          <w:szCs w:val="20"/>
          <w:lang w:val="en-US"/>
        </w:rPr>
        <w:t>The Structure and Process of International Law’</w:t>
      </w:r>
      <w:r w:rsidRPr="00E56E0C">
        <w:rPr>
          <w:rFonts w:ascii="Baskerville" w:hAnsi="Baskerville"/>
          <w:sz w:val="20"/>
          <w:szCs w:val="20"/>
          <w:lang w:val="en-US"/>
        </w:rPr>
        <w:t xml:space="preserve"> (Dordrecht 1983) </w:t>
      </w:r>
    </w:p>
    <w:p w14:paraId="5A9781BD" w14:textId="77777777" w:rsidR="003822EB" w:rsidRPr="00B41F30" w:rsidRDefault="003822EB" w:rsidP="003822EB">
      <w:pPr>
        <w:pStyle w:val="FootnoteText"/>
        <w:rPr>
          <w:rFonts w:ascii="Baskerville" w:hAnsi="Baskerville"/>
          <w:sz w:val="20"/>
          <w:szCs w:val="20"/>
          <w:lang w:val="en-US"/>
        </w:rPr>
      </w:pPr>
    </w:p>
    <w:p w14:paraId="015903BC" w14:textId="77777777" w:rsidR="003822EB" w:rsidRDefault="003822EB" w:rsidP="003822EB">
      <w:pPr>
        <w:pStyle w:val="FootnoteText"/>
        <w:rPr>
          <w:rFonts w:ascii="Baskerville" w:hAnsi="Baskerville"/>
          <w:sz w:val="20"/>
          <w:szCs w:val="20"/>
        </w:rPr>
      </w:pPr>
      <w:r w:rsidRPr="00BC4472">
        <w:rPr>
          <w:rFonts w:ascii="Baskerville" w:hAnsi="Baskerville"/>
          <w:sz w:val="20"/>
          <w:szCs w:val="20"/>
          <w:lang w:val="en-US"/>
        </w:rPr>
        <w:t>Guruswamy</w:t>
      </w:r>
      <w:r>
        <w:rPr>
          <w:rFonts w:ascii="Baskerville" w:hAnsi="Baskerville"/>
          <w:sz w:val="20"/>
          <w:szCs w:val="20"/>
          <w:lang w:val="en-US"/>
        </w:rPr>
        <w:t xml:space="preserve"> L,</w:t>
      </w:r>
      <w:r w:rsidRPr="00BC4472">
        <w:rPr>
          <w:rFonts w:ascii="Baskerville" w:hAnsi="Baskerville"/>
          <w:b/>
          <w:bCs/>
          <w:sz w:val="20"/>
          <w:szCs w:val="20"/>
          <w:lang w:val="en-US"/>
        </w:rPr>
        <w:t xml:space="preserve"> </w:t>
      </w:r>
      <w:r w:rsidRPr="00BC4472">
        <w:rPr>
          <w:rFonts w:ascii="Baskerville" w:hAnsi="Baskerville"/>
          <w:bCs/>
          <w:i/>
          <w:sz w:val="20"/>
          <w:szCs w:val="20"/>
          <w:lang w:val="en-US"/>
        </w:rPr>
        <w:t xml:space="preserve">International Environmental Law in a </w:t>
      </w:r>
      <w:r w:rsidRPr="006D7A5C">
        <w:rPr>
          <w:rFonts w:ascii="Baskerville" w:hAnsi="Baskerville"/>
          <w:bCs/>
          <w:i/>
          <w:sz w:val="20"/>
          <w:szCs w:val="20"/>
          <w:lang w:val="en-US"/>
        </w:rPr>
        <w:t>Nutshell</w:t>
      </w:r>
      <w:r w:rsidRPr="006D7A5C">
        <w:rPr>
          <w:rFonts w:ascii="Baskerville" w:hAnsi="Baskerville"/>
          <w:sz w:val="20"/>
          <w:szCs w:val="20"/>
        </w:rPr>
        <w:t xml:space="preserve"> (4</w:t>
      </w:r>
      <w:r w:rsidRPr="006D7A5C">
        <w:rPr>
          <w:rFonts w:ascii="Baskerville" w:hAnsi="Baskerville"/>
          <w:sz w:val="20"/>
          <w:szCs w:val="20"/>
          <w:vertAlign w:val="superscript"/>
        </w:rPr>
        <w:t>th</w:t>
      </w:r>
      <w:r>
        <w:rPr>
          <w:rFonts w:ascii="Baskerville" w:hAnsi="Baskerville"/>
          <w:sz w:val="20"/>
          <w:szCs w:val="20"/>
        </w:rPr>
        <w:t xml:space="preserve"> edn, Thomson Reuters 2012) </w:t>
      </w:r>
    </w:p>
    <w:p w14:paraId="4EF0EF21" w14:textId="77777777" w:rsidR="003822EB" w:rsidRDefault="003822EB" w:rsidP="003822EB">
      <w:pPr>
        <w:pStyle w:val="FootnoteText"/>
        <w:rPr>
          <w:rFonts w:ascii="Baskerville" w:hAnsi="Baskerville"/>
          <w:lang w:val="en-US"/>
        </w:rPr>
      </w:pPr>
    </w:p>
    <w:p w14:paraId="0C12A8CC" w14:textId="77777777" w:rsidR="003822EB" w:rsidRDefault="003822EB" w:rsidP="003822EB">
      <w:pPr>
        <w:pStyle w:val="FootnoteText"/>
        <w:rPr>
          <w:rFonts w:ascii="Baskerville" w:hAnsi="Baskerville"/>
          <w:lang w:val="en-US"/>
        </w:rPr>
      </w:pPr>
      <w:r w:rsidRPr="00EF7020">
        <w:rPr>
          <w:rFonts w:ascii="Baskerville" w:hAnsi="Baskerville"/>
          <w:sz w:val="20"/>
          <w:szCs w:val="20"/>
          <w:lang w:val="en-US"/>
        </w:rPr>
        <w:t>Nollkaemper</w:t>
      </w:r>
      <w:r>
        <w:rPr>
          <w:rFonts w:ascii="Baskerville" w:hAnsi="Baskerville"/>
          <w:sz w:val="20"/>
          <w:szCs w:val="20"/>
          <w:lang w:val="en-US"/>
        </w:rPr>
        <w:t xml:space="preserve"> A,  ‘</w:t>
      </w:r>
      <w:r w:rsidRPr="00EF7020">
        <w:rPr>
          <w:rFonts w:ascii="Baskerville" w:hAnsi="Baskerville"/>
          <w:sz w:val="20"/>
          <w:szCs w:val="20"/>
          <w:lang w:val="en-US"/>
        </w:rPr>
        <w:t xml:space="preserve">What </w:t>
      </w:r>
      <w:r>
        <w:rPr>
          <w:rFonts w:ascii="Baskerville" w:hAnsi="Baskerville"/>
          <w:sz w:val="20"/>
          <w:szCs w:val="20"/>
          <w:lang w:val="en-US"/>
        </w:rPr>
        <w:t>You Risk Reveals What You Value</w:t>
      </w:r>
      <w:r w:rsidRPr="00EF7020">
        <w:rPr>
          <w:rFonts w:ascii="Baskerville" w:hAnsi="Baskerville"/>
          <w:sz w:val="20"/>
          <w:szCs w:val="20"/>
          <w:lang w:val="en-US"/>
        </w:rPr>
        <w:t xml:space="preserve"> and Other Dilemmas Encountered in the Legal Assaults on Risks’ in Freestone</w:t>
      </w:r>
      <w:r>
        <w:rPr>
          <w:rFonts w:ascii="Baskerville" w:hAnsi="Baskerville"/>
          <w:sz w:val="20"/>
          <w:szCs w:val="20"/>
          <w:lang w:val="en-US"/>
        </w:rPr>
        <w:t xml:space="preserve"> D and &amp; E</w:t>
      </w:r>
      <w:r w:rsidRPr="00EF7020">
        <w:rPr>
          <w:rFonts w:ascii="Baskerville" w:hAnsi="Baskerville"/>
          <w:sz w:val="20"/>
          <w:szCs w:val="20"/>
          <w:lang w:val="en-US"/>
        </w:rPr>
        <w:t xml:space="preserve"> Hey</w:t>
      </w:r>
      <w:r>
        <w:rPr>
          <w:rFonts w:ascii="Baskerville" w:hAnsi="Baskerville"/>
          <w:sz w:val="20"/>
          <w:szCs w:val="20"/>
          <w:lang w:val="en-US"/>
        </w:rPr>
        <w:t xml:space="preserve"> E (eds</w:t>
      </w:r>
      <w:r w:rsidRPr="00EF7020">
        <w:rPr>
          <w:rFonts w:ascii="Baskerville" w:hAnsi="Baskerville"/>
          <w:sz w:val="20"/>
          <w:szCs w:val="20"/>
          <w:lang w:val="en-US"/>
        </w:rPr>
        <w:t xml:space="preserve">), </w:t>
      </w:r>
      <w:r w:rsidRPr="00EF7020">
        <w:rPr>
          <w:rFonts w:ascii="Baskerville" w:hAnsi="Baskerville"/>
          <w:i/>
          <w:iCs/>
          <w:sz w:val="20"/>
          <w:szCs w:val="20"/>
          <w:lang w:val="en-US"/>
        </w:rPr>
        <w:t>The Precautionary Principle and International Law: The Challenge of Implementation</w:t>
      </w:r>
      <w:r w:rsidRPr="00EF7020">
        <w:rPr>
          <w:rFonts w:ascii="Baskerville" w:hAnsi="Baskerville"/>
          <w:sz w:val="20"/>
          <w:szCs w:val="20"/>
          <w:lang w:val="en-US"/>
        </w:rPr>
        <w:t xml:space="preserve"> (Kluwer Law International 1996)</w:t>
      </w:r>
    </w:p>
    <w:p w14:paraId="42E256F4" w14:textId="77777777" w:rsidR="003822EB" w:rsidRDefault="003822EB" w:rsidP="003822EB">
      <w:pPr>
        <w:pStyle w:val="FootnoteText"/>
        <w:rPr>
          <w:rFonts w:ascii="Baskerville" w:hAnsi="Baskerville"/>
          <w:sz w:val="20"/>
          <w:szCs w:val="20"/>
          <w:lang w:val="en-US"/>
        </w:rPr>
      </w:pPr>
    </w:p>
    <w:p w14:paraId="002E9501" w14:textId="77777777" w:rsidR="003822EB" w:rsidRPr="007E0BDE" w:rsidRDefault="003822EB" w:rsidP="003822EB">
      <w:pPr>
        <w:pStyle w:val="FootnoteText"/>
        <w:rPr>
          <w:rFonts w:ascii="Baskerville" w:hAnsi="Baskerville"/>
          <w:sz w:val="20"/>
          <w:szCs w:val="20"/>
          <w:lang w:val="en-US"/>
        </w:rPr>
      </w:pPr>
      <w:r>
        <w:rPr>
          <w:rFonts w:ascii="Baskerville" w:hAnsi="Baskerville"/>
          <w:sz w:val="20"/>
          <w:szCs w:val="20"/>
          <w:lang w:val="en-US"/>
        </w:rPr>
        <w:t xml:space="preserve">Martuzzi M and Tickner JA, </w:t>
      </w:r>
      <w:r w:rsidRPr="00B55ED4">
        <w:rPr>
          <w:rFonts w:ascii="Baskerville" w:hAnsi="Baskerville"/>
          <w:i/>
          <w:sz w:val="20"/>
          <w:szCs w:val="20"/>
        </w:rPr>
        <w:t>‘</w:t>
      </w:r>
      <w:r w:rsidRPr="000565E9">
        <w:rPr>
          <w:rFonts w:ascii="Baskerville" w:hAnsi="Baskerville"/>
          <w:i/>
          <w:sz w:val="20"/>
          <w:szCs w:val="20"/>
          <w:lang w:val="en-US"/>
        </w:rPr>
        <w:t>The precautionary principle: protecting public health, the environment and the future of our children’</w:t>
      </w:r>
      <w:r w:rsidRPr="000565E9">
        <w:rPr>
          <w:rFonts w:ascii="Baskerville" w:hAnsi="Baskerville"/>
          <w:sz w:val="20"/>
          <w:szCs w:val="20"/>
          <w:lang w:val="en-US"/>
        </w:rPr>
        <w:t xml:space="preserve"> (</w:t>
      </w:r>
      <w:r w:rsidRPr="000565E9">
        <w:rPr>
          <w:rFonts w:ascii="Baskerville" w:hAnsi="Baskerville"/>
          <w:bCs/>
          <w:sz w:val="20"/>
          <w:szCs w:val="20"/>
          <w:lang w:val="en-US"/>
        </w:rPr>
        <w:t>World Health Organization 2004</w:t>
      </w:r>
      <w:r>
        <w:rPr>
          <w:rFonts w:ascii="Baskerville" w:hAnsi="Baskerville"/>
          <w:bCs/>
          <w:sz w:val="20"/>
          <w:szCs w:val="20"/>
          <w:lang w:val="en-US"/>
        </w:rPr>
        <w:t>)</w:t>
      </w:r>
    </w:p>
    <w:p w14:paraId="1616E9FC" w14:textId="77777777" w:rsidR="003822EB" w:rsidRDefault="003822EB" w:rsidP="003822EB">
      <w:pPr>
        <w:pStyle w:val="FootnoteText"/>
        <w:rPr>
          <w:rFonts w:ascii="Baskerville" w:hAnsi="Baskerville"/>
          <w:lang w:val="en-US"/>
        </w:rPr>
      </w:pPr>
    </w:p>
    <w:p w14:paraId="081B18E1" w14:textId="77777777" w:rsidR="003822EB" w:rsidRDefault="003822EB" w:rsidP="003822EB">
      <w:pPr>
        <w:pStyle w:val="FootnoteText"/>
        <w:rPr>
          <w:rFonts w:ascii="Baskerville" w:hAnsi="Baskerville"/>
          <w:b/>
          <w:lang w:val="en-US"/>
        </w:rPr>
      </w:pPr>
      <w:r>
        <w:rPr>
          <w:rFonts w:ascii="Baskerville" w:hAnsi="Baskerville"/>
          <w:b/>
          <w:lang w:val="en-US"/>
        </w:rPr>
        <w:t>Chapters in a Book</w:t>
      </w:r>
    </w:p>
    <w:p w14:paraId="129637A7" w14:textId="77777777" w:rsidR="003822EB" w:rsidRDefault="003822EB" w:rsidP="003822EB">
      <w:pPr>
        <w:pStyle w:val="FootnoteText"/>
        <w:rPr>
          <w:rFonts w:ascii="Baskerville" w:hAnsi="Baskerville"/>
          <w:lang w:val="en-US"/>
        </w:rPr>
      </w:pPr>
    </w:p>
    <w:p w14:paraId="27E1CB61" w14:textId="77777777" w:rsidR="003822EB" w:rsidRDefault="003822EB" w:rsidP="003822EB">
      <w:pPr>
        <w:pStyle w:val="FootnoteText"/>
        <w:rPr>
          <w:rFonts w:ascii="Baskerville" w:hAnsi="Baskerville"/>
          <w:sz w:val="20"/>
          <w:szCs w:val="20"/>
        </w:rPr>
      </w:pPr>
      <w:r w:rsidRPr="007C61A2">
        <w:rPr>
          <w:rFonts w:ascii="Baskerville" w:hAnsi="Baskerville"/>
          <w:sz w:val="20"/>
          <w:szCs w:val="20"/>
        </w:rPr>
        <w:t xml:space="preserve">Abouchar </w:t>
      </w:r>
      <w:r>
        <w:rPr>
          <w:rFonts w:ascii="Baskerville" w:hAnsi="Baskerville"/>
          <w:sz w:val="20"/>
          <w:szCs w:val="20"/>
        </w:rPr>
        <w:t>J and Cameron J</w:t>
      </w:r>
      <w:r w:rsidRPr="007C61A2">
        <w:rPr>
          <w:rFonts w:ascii="Baskerville" w:hAnsi="Baskerville"/>
          <w:sz w:val="20"/>
          <w:szCs w:val="20"/>
        </w:rPr>
        <w:t>, “The Status of the Precautionary Princip</w:t>
      </w:r>
      <w:r>
        <w:rPr>
          <w:rFonts w:ascii="Baskerville" w:hAnsi="Baskerville"/>
          <w:sz w:val="20"/>
          <w:szCs w:val="20"/>
        </w:rPr>
        <w:t xml:space="preserve">le in International Law,” in </w:t>
      </w:r>
      <w:r w:rsidRPr="007C61A2">
        <w:rPr>
          <w:rFonts w:ascii="Baskerville" w:hAnsi="Baskerville"/>
          <w:sz w:val="20"/>
          <w:szCs w:val="20"/>
        </w:rPr>
        <w:t xml:space="preserve">Freestone </w:t>
      </w:r>
      <w:r>
        <w:rPr>
          <w:rFonts w:ascii="Baskerville" w:hAnsi="Baskerville"/>
          <w:sz w:val="20"/>
          <w:szCs w:val="20"/>
        </w:rPr>
        <w:t xml:space="preserve">D and </w:t>
      </w:r>
      <w:r w:rsidRPr="007C61A2">
        <w:rPr>
          <w:rFonts w:ascii="Baskerville" w:hAnsi="Baskerville"/>
          <w:sz w:val="20"/>
          <w:szCs w:val="20"/>
        </w:rPr>
        <w:t xml:space="preserve">Hey </w:t>
      </w:r>
      <w:r>
        <w:rPr>
          <w:rFonts w:ascii="Baskerville" w:hAnsi="Baskerville"/>
          <w:sz w:val="20"/>
          <w:szCs w:val="20"/>
        </w:rPr>
        <w:t xml:space="preserve">E </w:t>
      </w:r>
      <w:r w:rsidRPr="007C61A2">
        <w:rPr>
          <w:rFonts w:ascii="Baskerville" w:hAnsi="Baskerville"/>
          <w:sz w:val="20"/>
          <w:szCs w:val="20"/>
        </w:rPr>
        <w:t xml:space="preserve">(eds.), </w:t>
      </w:r>
      <w:r w:rsidRPr="007C61A2">
        <w:rPr>
          <w:rFonts w:ascii="Baskerville" w:hAnsi="Baskerville"/>
          <w:i/>
          <w:iCs/>
          <w:sz w:val="20"/>
          <w:szCs w:val="20"/>
        </w:rPr>
        <w:t>The Precautionary Principle in International Law</w:t>
      </w:r>
      <w:r w:rsidRPr="007C61A2">
        <w:rPr>
          <w:rFonts w:ascii="Baskerville" w:hAnsi="Baskerville"/>
          <w:sz w:val="20"/>
          <w:szCs w:val="20"/>
        </w:rPr>
        <w:t xml:space="preserve"> (Kluwer 1996)</w:t>
      </w:r>
    </w:p>
    <w:p w14:paraId="1C441FBD" w14:textId="77777777" w:rsidR="003822EB" w:rsidRDefault="003822EB" w:rsidP="003822EB">
      <w:pPr>
        <w:pStyle w:val="FootnoteText"/>
        <w:rPr>
          <w:rFonts w:ascii="Baskerville" w:hAnsi="Baskerville"/>
          <w:sz w:val="20"/>
          <w:szCs w:val="20"/>
          <w:lang w:val="en-US"/>
        </w:rPr>
      </w:pPr>
    </w:p>
    <w:p w14:paraId="7C8256FF" w14:textId="77777777" w:rsidR="003822EB" w:rsidRDefault="003822EB" w:rsidP="003822EB">
      <w:pPr>
        <w:pStyle w:val="FootnoteText"/>
        <w:rPr>
          <w:rFonts w:ascii="Baskerville" w:hAnsi="Baskerville"/>
          <w:sz w:val="20"/>
          <w:szCs w:val="20"/>
          <w:lang w:val="en-US"/>
        </w:rPr>
      </w:pPr>
      <w:r w:rsidRPr="00351A8A">
        <w:rPr>
          <w:rFonts w:ascii="Baskerville" w:hAnsi="Baskerville"/>
          <w:sz w:val="20"/>
          <w:szCs w:val="20"/>
          <w:lang w:val="en-US"/>
        </w:rPr>
        <w:t>Cameron</w:t>
      </w:r>
      <w:r>
        <w:rPr>
          <w:rFonts w:ascii="Baskerville" w:hAnsi="Baskerville"/>
          <w:sz w:val="20"/>
          <w:szCs w:val="20"/>
          <w:lang w:val="en-US"/>
        </w:rPr>
        <w:t xml:space="preserve"> J</w:t>
      </w:r>
      <w:r w:rsidRPr="00351A8A">
        <w:rPr>
          <w:rFonts w:ascii="Baskerville" w:hAnsi="Baskerville"/>
          <w:sz w:val="20"/>
          <w:szCs w:val="20"/>
          <w:lang w:val="en-US"/>
        </w:rPr>
        <w:t xml:space="preserve"> </w:t>
      </w:r>
      <w:r>
        <w:rPr>
          <w:rFonts w:ascii="Baskerville" w:hAnsi="Baskerville"/>
          <w:sz w:val="20"/>
          <w:szCs w:val="20"/>
          <w:lang w:val="en-US"/>
        </w:rPr>
        <w:t xml:space="preserve">and </w:t>
      </w:r>
      <w:r w:rsidRPr="00351A8A">
        <w:rPr>
          <w:rFonts w:ascii="Baskerville" w:hAnsi="Baskerville"/>
          <w:sz w:val="20"/>
          <w:szCs w:val="20"/>
          <w:lang w:val="en-US"/>
        </w:rPr>
        <w:t>O’Riordan</w:t>
      </w:r>
      <w:r>
        <w:rPr>
          <w:rFonts w:ascii="Baskerville" w:hAnsi="Baskerville"/>
          <w:sz w:val="20"/>
          <w:szCs w:val="20"/>
          <w:lang w:val="en-US"/>
        </w:rPr>
        <w:t xml:space="preserve"> T</w:t>
      </w:r>
      <w:r w:rsidRPr="00351A8A">
        <w:rPr>
          <w:rFonts w:ascii="Baskerville" w:hAnsi="Baskerville"/>
          <w:sz w:val="20"/>
          <w:szCs w:val="20"/>
          <w:lang w:val="en-US"/>
        </w:rPr>
        <w:t xml:space="preserve">, </w:t>
      </w:r>
      <w:r>
        <w:rPr>
          <w:rFonts w:ascii="Baskerville" w:hAnsi="Baskerville"/>
          <w:sz w:val="20"/>
          <w:szCs w:val="20"/>
          <w:lang w:val="en-US"/>
        </w:rPr>
        <w:t>‘</w:t>
      </w:r>
      <w:r w:rsidRPr="00351A8A">
        <w:rPr>
          <w:rFonts w:ascii="Baskerville" w:hAnsi="Baskerville"/>
          <w:sz w:val="20"/>
          <w:szCs w:val="20"/>
          <w:lang w:val="en-US"/>
        </w:rPr>
        <w:t>The History and Contemporary Significance of the Precautionary Principle</w:t>
      </w:r>
      <w:r>
        <w:rPr>
          <w:rFonts w:ascii="Baskerville" w:hAnsi="Baskerville"/>
          <w:sz w:val="20"/>
          <w:szCs w:val="20"/>
          <w:lang w:val="en-US"/>
        </w:rPr>
        <w:t>’</w:t>
      </w:r>
      <w:r w:rsidRPr="00351A8A">
        <w:rPr>
          <w:rFonts w:ascii="Baskerville" w:hAnsi="Baskerville"/>
          <w:sz w:val="20"/>
          <w:szCs w:val="20"/>
          <w:lang w:val="en-US"/>
        </w:rPr>
        <w:t xml:space="preserve"> in O’Riordan</w:t>
      </w:r>
      <w:r>
        <w:rPr>
          <w:rFonts w:ascii="Baskerville" w:hAnsi="Baskerville"/>
          <w:sz w:val="20"/>
          <w:szCs w:val="20"/>
          <w:lang w:val="en-US"/>
        </w:rPr>
        <w:t xml:space="preserve"> T</w:t>
      </w:r>
      <w:r w:rsidRPr="00351A8A">
        <w:rPr>
          <w:rFonts w:ascii="Baskerville" w:hAnsi="Baskerville"/>
          <w:sz w:val="20"/>
          <w:szCs w:val="20"/>
          <w:lang w:val="en-US"/>
        </w:rPr>
        <w:t xml:space="preserve"> </w:t>
      </w:r>
      <w:r>
        <w:rPr>
          <w:rFonts w:ascii="Baskerville" w:hAnsi="Baskerville"/>
          <w:sz w:val="20"/>
          <w:szCs w:val="20"/>
          <w:lang w:val="en-US"/>
        </w:rPr>
        <w:t>and</w:t>
      </w:r>
      <w:r w:rsidRPr="00351A8A">
        <w:rPr>
          <w:rFonts w:ascii="Baskerville" w:hAnsi="Baskerville"/>
          <w:sz w:val="20"/>
          <w:szCs w:val="20"/>
          <w:lang w:val="en-US"/>
        </w:rPr>
        <w:t xml:space="preserve"> Cameron</w:t>
      </w:r>
      <w:r>
        <w:rPr>
          <w:rFonts w:ascii="Baskerville" w:hAnsi="Baskerville"/>
          <w:sz w:val="20"/>
          <w:szCs w:val="20"/>
          <w:lang w:val="en-US"/>
        </w:rPr>
        <w:t xml:space="preserve"> J (eds)</w:t>
      </w:r>
      <w:r w:rsidRPr="00351A8A">
        <w:rPr>
          <w:rFonts w:ascii="Baskerville" w:hAnsi="Baskerville"/>
          <w:sz w:val="20"/>
          <w:szCs w:val="20"/>
          <w:lang w:val="en-US"/>
        </w:rPr>
        <w:t xml:space="preserve">, </w:t>
      </w:r>
      <w:r>
        <w:rPr>
          <w:rFonts w:ascii="Baskerville" w:hAnsi="Baskerville"/>
          <w:i/>
          <w:sz w:val="20"/>
          <w:szCs w:val="20"/>
          <w:lang w:val="en-US"/>
        </w:rPr>
        <w:t xml:space="preserve">Interpreting the Precautionary Principle </w:t>
      </w:r>
      <w:r w:rsidRPr="00351A8A">
        <w:rPr>
          <w:rFonts w:ascii="Baskerville" w:hAnsi="Baskerville"/>
          <w:sz w:val="20"/>
          <w:szCs w:val="20"/>
          <w:lang w:val="en-US"/>
        </w:rPr>
        <w:t>(</w:t>
      </w:r>
      <w:r>
        <w:rPr>
          <w:rFonts w:ascii="Baskerville" w:hAnsi="Baskerville"/>
          <w:sz w:val="20"/>
          <w:szCs w:val="20"/>
        </w:rPr>
        <w:t xml:space="preserve">Graham &amp; Trotman </w:t>
      </w:r>
      <w:r w:rsidRPr="00351A8A">
        <w:rPr>
          <w:rFonts w:ascii="Baskerville" w:hAnsi="Baskerville"/>
          <w:sz w:val="20"/>
          <w:szCs w:val="20"/>
          <w:lang w:val="en-US"/>
        </w:rPr>
        <w:t>1994)</w:t>
      </w:r>
      <w:r>
        <w:rPr>
          <w:rFonts w:ascii="Baskerville" w:hAnsi="Baskerville"/>
          <w:sz w:val="20"/>
          <w:szCs w:val="20"/>
          <w:lang w:val="en-US"/>
        </w:rPr>
        <w:t xml:space="preserve"> </w:t>
      </w:r>
    </w:p>
    <w:p w14:paraId="2F505D76" w14:textId="77777777" w:rsidR="003822EB" w:rsidRPr="00537C5C" w:rsidRDefault="003822EB" w:rsidP="003822EB">
      <w:pPr>
        <w:pStyle w:val="FootnoteText"/>
        <w:rPr>
          <w:rFonts w:ascii="Baskerville" w:hAnsi="Baskerville"/>
          <w:sz w:val="20"/>
          <w:szCs w:val="20"/>
        </w:rPr>
      </w:pPr>
    </w:p>
    <w:p w14:paraId="391E5634" w14:textId="77777777" w:rsidR="003822EB" w:rsidRDefault="003822EB" w:rsidP="003822EB">
      <w:pPr>
        <w:pStyle w:val="FootnoteText"/>
        <w:rPr>
          <w:rFonts w:ascii="Baskerville" w:hAnsi="Baskerville"/>
          <w:sz w:val="20"/>
          <w:szCs w:val="20"/>
        </w:rPr>
      </w:pPr>
      <w:r w:rsidRPr="00CA7D22">
        <w:rPr>
          <w:rFonts w:ascii="Baskerville" w:hAnsi="Baskerville"/>
          <w:sz w:val="20"/>
          <w:szCs w:val="20"/>
        </w:rPr>
        <w:t>Christoforou</w:t>
      </w:r>
      <w:r>
        <w:rPr>
          <w:rFonts w:ascii="Baskerville" w:hAnsi="Baskerville"/>
          <w:sz w:val="20"/>
          <w:szCs w:val="20"/>
        </w:rPr>
        <w:t xml:space="preserve"> T, ‘</w:t>
      </w:r>
      <w:r w:rsidRPr="00CA7D22">
        <w:rPr>
          <w:rFonts w:ascii="Baskerville" w:hAnsi="Baskerville"/>
          <w:sz w:val="20"/>
          <w:szCs w:val="20"/>
        </w:rPr>
        <w:t xml:space="preserve">The Precautionary Principle in </w:t>
      </w:r>
      <w:r>
        <w:rPr>
          <w:rFonts w:ascii="Baskerville" w:hAnsi="Baskerville"/>
          <w:sz w:val="20"/>
          <w:szCs w:val="20"/>
        </w:rPr>
        <w:t>EC Law and the WTO Legal System’</w:t>
      </w:r>
      <w:r w:rsidRPr="00CA7D22">
        <w:rPr>
          <w:rFonts w:ascii="Baskerville" w:hAnsi="Baskerville"/>
          <w:sz w:val="20"/>
          <w:szCs w:val="20"/>
        </w:rPr>
        <w:t xml:space="preserve"> in</w:t>
      </w:r>
      <w:r>
        <w:rPr>
          <w:rFonts w:ascii="Baskerville" w:hAnsi="Baskerville"/>
          <w:sz w:val="20"/>
          <w:szCs w:val="20"/>
        </w:rPr>
        <w:t xml:space="preserve"> </w:t>
      </w:r>
      <w:r w:rsidRPr="00CA7D22">
        <w:rPr>
          <w:rFonts w:ascii="Baskerville" w:hAnsi="Baskerville"/>
          <w:sz w:val="20"/>
          <w:szCs w:val="20"/>
        </w:rPr>
        <w:t>Kremlis</w:t>
      </w:r>
      <w:r>
        <w:rPr>
          <w:rFonts w:ascii="Baskerville" w:hAnsi="Baskerville"/>
          <w:sz w:val="20"/>
          <w:szCs w:val="20"/>
        </w:rPr>
        <w:t xml:space="preserve"> G</w:t>
      </w:r>
      <w:r w:rsidRPr="00CA7D22">
        <w:rPr>
          <w:rFonts w:ascii="Baskerville" w:hAnsi="Baskerville"/>
          <w:sz w:val="20"/>
          <w:szCs w:val="20"/>
        </w:rPr>
        <w:t>, Balias</w:t>
      </w:r>
      <w:r>
        <w:rPr>
          <w:rFonts w:ascii="Baskerville" w:hAnsi="Baskerville"/>
          <w:sz w:val="20"/>
          <w:szCs w:val="20"/>
        </w:rPr>
        <w:t xml:space="preserve"> G and A. Sifakis (eds</w:t>
      </w:r>
      <w:r w:rsidRPr="00CA7D22">
        <w:rPr>
          <w:rFonts w:ascii="Baskerville" w:hAnsi="Baskerville"/>
          <w:sz w:val="20"/>
          <w:szCs w:val="20"/>
        </w:rPr>
        <w:t xml:space="preserve">), </w:t>
      </w:r>
      <w:r w:rsidRPr="00CA7D22">
        <w:rPr>
          <w:rFonts w:ascii="Baskerville" w:hAnsi="Baskerville"/>
          <w:i/>
          <w:iCs/>
          <w:sz w:val="20"/>
          <w:szCs w:val="20"/>
        </w:rPr>
        <w:t>The Precautionary Principle</w:t>
      </w:r>
      <w:r w:rsidRPr="00CA7D22">
        <w:rPr>
          <w:rFonts w:ascii="Baskerville" w:hAnsi="Baskerville"/>
          <w:sz w:val="20"/>
          <w:szCs w:val="20"/>
        </w:rPr>
        <w:t xml:space="preserve"> </w:t>
      </w:r>
      <w:r>
        <w:rPr>
          <w:rFonts w:ascii="Baskerville" w:hAnsi="Baskerville"/>
          <w:sz w:val="20"/>
          <w:szCs w:val="20"/>
        </w:rPr>
        <w:t>(Sakkoulas</w:t>
      </w:r>
      <w:r w:rsidRPr="00CA7D22">
        <w:rPr>
          <w:rFonts w:ascii="Baskerville" w:hAnsi="Baskerville"/>
          <w:sz w:val="20"/>
          <w:szCs w:val="20"/>
        </w:rPr>
        <w:t xml:space="preserve"> 2004</w:t>
      </w:r>
      <w:r>
        <w:rPr>
          <w:rFonts w:ascii="Baskerville" w:hAnsi="Baskerville"/>
          <w:sz w:val="20"/>
          <w:szCs w:val="20"/>
        </w:rPr>
        <w:t>)</w:t>
      </w:r>
      <w:r w:rsidRPr="00CA7D22">
        <w:rPr>
          <w:rFonts w:ascii="Baskerville" w:hAnsi="Baskerville"/>
          <w:sz w:val="20"/>
          <w:szCs w:val="20"/>
        </w:rPr>
        <w:t xml:space="preserve"> </w:t>
      </w:r>
    </w:p>
    <w:p w14:paraId="5BDDD6AA" w14:textId="77777777" w:rsidR="003822EB" w:rsidRDefault="003822EB" w:rsidP="003822EB">
      <w:pPr>
        <w:pStyle w:val="FootnoteText"/>
        <w:rPr>
          <w:rFonts w:ascii="Baskerville" w:hAnsi="Baskerville"/>
          <w:sz w:val="20"/>
          <w:szCs w:val="20"/>
        </w:rPr>
      </w:pPr>
    </w:p>
    <w:p w14:paraId="6881266D" w14:textId="77777777" w:rsidR="003822EB" w:rsidRPr="00CA7D22" w:rsidRDefault="003822EB" w:rsidP="003822EB">
      <w:pPr>
        <w:pStyle w:val="FootnoteText"/>
        <w:rPr>
          <w:rFonts w:ascii="Baskerville" w:hAnsi="Baskerville"/>
          <w:sz w:val="20"/>
          <w:szCs w:val="20"/>
        </w:rPr>
      </w:pPr>
      <w:r w:rsidRPr="003C4711">
        <w:rPr>
          <w:rFonts w:ascii="Baskerville" w:hAnsi="Baskerville"/>
          <w:sz w:val="20"/>
          <w:szCs w:val="20"/>
        </w:rPr>
        <w:t>Christoforou</w:t>
      </w:r>
      <w:r>
        <w:rPr>
          <w:rFonts w:ascii="Baskerville" w:hAnsi="Baskerville"/>
          <w:sz w:val="20"/>
          <w:szCs w:val="20"/>
        </w:rPr>
        <w:t xml:space="preserve"> T</w:t>
      </w:r>
      <w:r w:rsidRPr="003C4711">
        <w:rPr>
          <w:rFonts w:ascii="Baskerville" w:hAnsi="Baskerville"/>
          <w:sz w:val="20"/>
          <w:szCs w:val="20"/>
        </w:rPr>
        <w:t>, “The Precautionary Principle in EC Law and Science</w:t>
      </w:r>
      <w:r>
        <w:rPr>
          <w:rFonts w:ascii="Baskerville" w:hAnsi="Baskerville"/>
          <w:sz w:val="20"/>
          <w:szCs w:val="20"/>
        </w:rPr>
        <w:t xml:space="preserve">” in </w:t>
      </w:r>
      <w:r w:rsidRPr="003C4711">
        <w:rPr>
          <w:rFonts w:ascii="Baskerville" w:hAnsi="Baskerville"/>
          <w:sz w:val="20"/>
          <w:szCs w:val="20"/>
        </w:rPr>
        <w:t>Tickner</w:t>
      </w:r>
      <w:r>
        <w:rPr>
          <w:rFonts w:ascii="Baskerville" w:hAnsi="Baskerville"/>
          <w:sz w:val="20"/>
          <w:szCs w:val="20"/>
        </w:rPr>
        <w:t xml:space="preserve"> J</w:t>
      </w:r>
      <w:r w:rsidRPr="003C4711">
        <w:rPr>
          <w:rFonts w:ascii="Baskerville" w:hAnsi="Baskerville"/>
          <w:sz w:val="20"/>
          <w:szCs w:val="20"/>
        </w:rPr>
        <w:t xml:space="preserve"> (ed.), </w:t>
      </w:r>
      <w:r w:rsidRPr="003C4711">
        <w:rPr>
          <w:rFonts w:ascii="Baskerville" w:hAnsi="Baskerville"/>
          <w:i/>
          <w:iCs/>
          <w:sz w:val="20"/>
          <w:szCs w:val="20"/>
        </w:rPr>
        <w:t>Environmental Science and Preventive Public Policy</w:t>
      </w:r>
      <w:r w:rsidRPr="003C4711">
        <w:rPr>
          <w:rFonts w:ascii="Baskerville" w:hAnsi="Baskerville"/>
          <w:sz w:val="20"/>
          <w:szCs w:val="20"/>
        </w:rPr>
        <w:t xml:space="preserve"> (Island Press 2003)</w:t>
      </w:r>
    </w:p>
    <w:p w14:paraId="3DAC084D" w14:textId="77777777" w:rsidR="003822EB" w:rsidRDefault="003822EB" w:rsidP="003822EB">
      <w:pPr>
        <w:pStyle w:val="FootnoteText"/>
        <w:rPr>
          <w:rFonts w:ascii="Baskerville" w:hAnsi="Baskerville"/>
          <w:lang w:val="en-US"/>
        </w:rPr>
      </w:pPr>
    </w:p>
    <w:p w14:paraId="0BC7509C" w14:textId="77777777" w:rsidR="003822EB" w:rsidRDefault="003822EB" w:rsidP="003822EB">
      <w:pPr>
        <w:pStyle w:val="FootnoteText"/>
        <w:rPr>
          <w:rFonts w:ascii="Baskerville" w:hAnsi="Baskerville"/>
          <w:lang w:val="en-US"/>
        </w:rPr>
      </w:pPr>
      <w:r w:rsidRPr="00EB5276">
        <w:rPr>
          <w:rFonts w:ascii="Baskerville" w:hAnsi="Baskerville"/>
          <w:sz w:val="20"/>
          <w:szCs w:val="20"/>
          <w:lang w:val="en-US"/>
        </w:rPr>
        <w:t>Tickner</w:t>
      </w:r>
      <w:r>
        <w:rPr>
          <w:rFonts w:ascii="Baskerville" w:hAnsi="Baskerville"/>
          <w:sz w:val="20"/>
          <w:szCs w:val="20"/>
          <w:lang w:val="en-US"/>
        </w:rPr>
        <w:t xml:space="preserve"> JA</w:t>
      </w:r>
      <w:r w:rsidRPr="00EB5276">
        <w:rPr>
          <w:rFonts w:ascii="Baskerville" w:hAnsi="Baskerville"/>
          <w:sz w:val="20"/>
          <w:szCs w:val="20"/>
          <w:lang w:val="en-US"/>
        </w:rPr>
        <w:t>, ‘Precautionary Assessment: A Framework for Integrating Science, Uncertainty</w:t>
      </w:r>
      <w:r>
        <w:rPr>
          <w:rFonts w:ascii="Baskerville" w:hAnsi="Baskerville"/>
          <w:sz w:val="20"/>
          <w:szCs w:val="20"/>
          <w:lang w:val="en-US"/>
        </w:rPr>
        <w:t>, and Preventative Policy’ in</w:t>
      </w:r>
      <w:r w:rsidRPr="00EB5276">
        <w:rPr>
          <w:rFonts w:ascii="Baskerville" w:hAnsi="Baskerville"/>
          <w:sz w:val="20"/>
          <w:szCs w:val="20"/>
          <w:lang w:val="en-US"/>
        </w:rPr>
        <w:t xml:space="preserve"> Tickner</w:t>
      </w:r>
      <w:r>
        <w:rPr>
          <w:rFonts w:ascii="Baskerville" w:hAnsi="Baskerville"/>
          <w:sz w:val="20"/>
          <w:szCs w:val="20"/>
          <w:lang w:val="en-US"/>
        </w:rPr>
        <w:t xml:space="preserve"> J (ed</w:t>
      </w:r>
      <w:r w:rsidRPr="00EB5276">
        <w:rPr>
          <w:rFonts w:ascii="Baskerville" w:hAnsi="Baskerville"/>
          <w:sz w:val="20"/>
          <w:szCs w:val="20"/>
          <w:lang w:val="en-US"/>
        </w:rPr>
        <w:t xml:space="preserve">), </w:t>
      </w:r>
      <w:r w:rsidRPr="00EB5276">
        <w:rPr>
          <w:rFonts w:ascii="Baskerville" w:hAnsi="Baskerville"/>
          <w:i/>
          <w:iCs/>
          <w:sz w:val="20"/>
          <w:szCs w:val="20"/>
          <w:lang w:val="en-US"/>
        </w:rPr>
        <w:t>Precaution, Environmental Science, and Preventive Public Policy</w:t>
      </w:r>
      <w:r w:rsidRPr="00EB5276">
        <w:rPr>
          <w:rFonts w:ascii="Baskerville" w:hAnsi="Baskerville"/>
          <w:sz w:val="20"/>
          <w:szCs w:val="20"/>
          <w:lang w:val="en-US"/>
        </w:rPr>
        <w:t xml:space="preserve"> (Island Press 2003)</w:t>
      </w:r>
    </w:p>
    <w:p w14:paraId="786C33F4" w14:textId="77777777" w:rsidR="003822EB" w:rsidRDefault="003822EB" w:rsidP="003822EB">
      <w:pPr>
        <w:pStyle w:val="FootnoteText"/>
        <w:rPr>
          <w:rFonts w:ascii="Baskerville" w:hAnsi="Baskerville"/>
          <w:lang w:val="en-US"/>
        </w:rPr>
      </w:pPr>
    </w:p>
    <w:p w14:paraId="6A121C30" w14:textId="77777777" w:rsidR="003822EB" w:rsidRPr="001D0B6F" w:rsidRDefault="003822EB" w:rsidP="003822EB">
      <w:pPr>
        <w:pStyle w:val="FootnoteText"/>
        <w:rPr>
          <w:rFonts w:ascii="Baskerville" w:hAnsi="Baskerville"/>
          <w:sz w:val="20"/>
          <w:szCs w:val="20"/>
          <w:lang w:val="en-US"/>
        </w:rPr>
      </w:pPr>
      <w:r w:rsidRPr="001D0B6F">
        <w:rPr>
          <w:rFonts w:ascii="Baskerville" w:hAnsi="Baskerville"/>
          <w:sz w:val="20"/>
          <w:szCs w:val="20"/>
          <w:lang w:val="en-US"/>
        </w:rPr>
        <w:t>Tinker</w:t>
      </w:r>
      <w:r>
        <w:rPr>
          <w:rFonts w:ascii="Baskerville" w:hAnsi="Baskerville"/>
          <w:sz w:val="20"/>
          <w:szCs w:val="20"/>
          <w:lang w:val="en-US"/>
        </w:rPr>
        <w:t xml:space="preserve"> C</w:t>
      </w:r>
      <w:r w:rsidRPr="001D0B6F">
        <w:rPr>
          <w:rFonts w:ascii="Baskerville" w:hAnsi="Baskerville"/>
          <w:sz w:val="20"/>
          <w:szCs w:val="20"/>
          <w:lang w:val="en-US"/>
        </w:rPr>
        <w:t xml:space="preserve">, </w:t>
      </w:r>
      <w:r>
        <w:rPr>
          <w:rFonts w:ascii="Baskerville" w:hAnsi="Baskerville"/>
          <w:sz w:val="20"/>
          <w:szCs w:val="20"/>
          <w:lang w:val="en-US"/>
        </w:rPr>
        <w:t>‘</w:t>
      </w:r>
      <w:r w:rsidRPr="00876D1C">
        <w:rPr>
          <w:rFonts w:ascii="Baskerville" w:hAnsi="Baskerville"/>
          <w:sz w:val="20"/>
          <w:szCs w:val="20"/>
          <w:lang w:val="en-US"/>
        </w:rPr>
        <w:t>State Responsibility and the Precautionary Principle</w:t>
      </w:r>
      <w:r>
        <w:rPr>
          <w:rFonts w:ascii="Baskerville" w:hAnsi="Baskerville"/>
          <w:sz w:val="20"/>
          <w:szCs w:val="20"/>
          <w:lang w:val="en-US"/>
        </w:rPr>
        <w:t>’</w:t>
      </w:r>
      <w:r w:rsidRPr="001D0B6F">
        <w:rPr>
          <w:rFonts w:ascii="Baskerville" w:hAnsi="Baskerville"/>
          <w:sz w:val="20"/>
          <w:szCs w:val="20"/>
          <w:lang w:val="en-US"/>
        </w:rPr>
        <w:t xml:space="preserve"> in </w:t>
      </w:r>
      <w:r>
        <w:rPr>
          <w:rFonts w:ascii="Baskerville" w:hAnsi="Baskerville"/>
          <w:sz w:val="20"/>
          <w:szCs w:val="20"/>
          <w:lang w:val="en-US"/>
        </w:rPr>
        <w:t>Freestone D and Hay E (eds)</w:t>
      </w:r>
      <w:r w:rsidRPr="001D0B6F">
        <w:rPr>
          <w:rFonts w:ascii="Baskerville" w:hAnsi="Baskerville"/>
          <w:sz w:val="20"/>
          <w:szCs w:val="20"/>
          <w:lang w:val="en-US"/>
        </w:rPr>
        <w:t xml:space="preserve">, </w:t>
      </w:r>
      <w:r w:rsidRPr="00876D1C">
        <w:rPr>
          <w:rFonts w:ascii="Baskerville" w:hAnsi="Baskerville"/>
          <w:i/>
          <w:sz w:val="20"/>
          <w:szCs w:val="20"/>
          <w:lang w:val="en-US"/>
        </w:rPr>
        <w:t>The Precautionary Principle and International Law - The Challenge of Implementation</w:t>
      </w:r>
      <w:r w:rsidRPr="001D0B6F">
        <w:rPr>
          <w:rFonts w:ascii="Baskerville" w:hAnsi="Baskerville"/>
          <w:sz w:val="20"/>
          <w:szCs w:val="20"/>
          <w:lang w:val="en-US"/>
        </w:rPr>
        <w:t xml:space="preserve"> </w:t>
      </w:r>
      <w:r>
        <w:rPr>
          <w:rFonts w:ascii="Baskerville" w:hAnsi="Baskerville"/>
          <w:sz w:val="20"/>
          <w:szCs w:val="20"/>
          <w:lang w:val="en-US"/>
        </w:rPr>
        <w:t>(Kluwer Law International 1996)</w:t>
      </w:r>
      <w:r w:rsidRPr="00876D1C">
        <w:rPr>
          <w:rFonts w:ascii="Baskerville" w:hAnsi="Baskerville"/>
          <w:sz w:val="20"/>
          <w:szCs w:val="20"/>
          <w:lang w:val="en-US"/>
        </w:rPr>
        <w:t> </w:t>
      </w:r>
    </w:p>
    <w:p w14:paraId="53D043B7" w14:textId="77777777" w:rsidR="003822EB" w:rsidRPr="00F761DF" w:rsidRDefault="003822EB" w:rsidP="003822EB">
      <w:pPr>
        <w:pStyle w:val="FootnoteText"/>
        <w:rPr>
          <w:rFonts w:ascii="Baskerville" w:hAnsi="Baskerville"/>
          <w:lang w:val="en-US"/>
        </w:rPr>
      </w:pPr>
    </w:p>
    <w:p w14:paraId="77C29AFE" w14:textId="77777777" w:rsidR="003822EB" w:rsidRDefault="003822EB" w:rsidP="003822EB">
      <w:pPr>
        <w:pStyle w:val="FootnoteText"/>
        <w:rPr>
          <w:rFonts w:ascii="Baskerville" w:hAnsi="Baskerville"/>
          <w:b/>
        </w:rPr>
      </w:pPr>
      <w:r w:rsidRPr="00F761DF">
        <w:rPr>
          <w:rFonts w:ascii="Baskerville" w:hAnsi="Baskerville"/>
          <w:b/>
        </w:rPr>
        <w:t>Journals</w:t>
      </w:r>
    </w:p>
    <w:p w14:paraId="7FC10877" w14:textId="77777777" w:rsidR="003822EB" w:rsidRDefault="003822EB" w:rsidP="003822EB">
      <w:pPr>
        <w:pStyle w:val="FootnoteText"/>
        <w:rPr>
          <w:rFonts w:ascii="Baskerville" w:hAnsi="Baskerville"/>
          <w:b/>
        </w:rPr>
      </w:pPr>
    </w:p>
    <w:p w14:paraId="2B6EC9B9" w14:textId="77777777" w:rsidR="003822EB" w:rsidRDefault="003822EB" w:rsidP="003822EB">
      <w:pPr>
        <w:pStyle w:val="FootnoteText"/>
        <w:rPr>
          <w:rFonts w:ascii="Baskerville" w:hAnsi="Baskerville"/>
          <w:sz w:val="20"/>
          <w:szCs w:val="20"/>
        </w:rPr>
      </w:pPr>
      <w:r>
        <w:rPr>
          <w:rFonts w:ascii="Baskerville" w:hAnsi="Baskerville"/>
          <w:sz w:val="20"/>
          <w:szCs w:val="20"/>
        </w:rPr>
        <w:t>Abouchar J and Cameron J, ‘</w:t>
      </w:r>
      <w:r w:rsidRPr="00277796">
        <w:rPr>
          <w:rFonts w:ascii="Baskerville" w:hAnsi="Baskerville"/>
          <w:sz w:val="20"/>
          <w:szCs w:val="20"/>
          <w:lang w:val="en-US"/>
        </w:rPr>
        <w:t>The Precautionary Principle: A Fundamental Principle of Law and Policy for the Protection of the Global Environment</w:t>
      </w:r>
      <w:r>
        <w:rPr>
          <w:rFonts w:ascii="Baskerville" w:hAnsi="Baskerville"/>
          <w:sz w:val="20"/>
          <w:szCs w:val="20"/>
          <w:lang w:val="en-US"/>
        </w:rPr>
        <w:t xml:space="preserve">’ (1991) 14 (1) </w:t>
      </w:r>
      <w:r w:rsidRPr="00816632">
        <w:rPr>
          <w:rFonts w:ascii="Baskerville" w:hAnsi="Baskerville"/>
          <w:sz w:val="20"/>
          <w:szCs w:val="20"/>
          <w:lang w:val="en-US"/>
        </w:rPr>
        <w:t>Boston College International and Comparative Law</w:t>
      </w:r>
      <w:r w:rsidRPr="00277796">
        <w:rPr>
          <w:rFonts w:ascii="Baskerville" w:hAnsi="Baskerville"/>
          <w:i/>
          <w:sz w:val="20"/>
          <w:szCs w:val="20"/>
          <w:lang w:val="en-US"/>
        </w:rPr>
        <w:t xml:space="preserve"> </w:t>
      </w:r>
      <w:r w:rsidRPr="00816632">
        <w:rPr>
          <w:rFonts w:ascii="Baskerville" w:hAnsi="Baskerville"/>
          <w:sz w:val="20"/>
          <w:szCs w:val="20"/>
          <w:lang w:val="en-US"/>
        </w:rPr>
        <w:t>Review</w:t>
      </w:r>
      <w:r w:rsidRPr="00277796">
        <w:rPr>
          <w:rFonts w:ascii="Baskerville" w:hAnsi="Baskerville"/>
          <w:sz w:val="20"/>
          <w:szCs w:val="20"/>
          <w:lang w:val="en-US"/>
        </w:rPr>
        <w:t xml:space="preserve"> </w:t>
      </w:r>
      <w:r w:rsidRPr="009D11B2">
        <w:rPr>
          <w:rFonts w:ascii="Baskerville" w:hAnsi="Baskerville"/>
          <w:sz w:val="20"/>
          <w:szCs w:val="20"/>
        </w:rPr>
        <w:t>20</w:t>
      </w:r>
    </w:p>
    <w:p w14:paraId="543D87DC" w14:textId="77777777" w:rsidR="003822EB" w:rsidRDefault="003822EB" w:rsidP="003822EB">
      <w:pPr>
        <w:pStyle w:val="FootnoteText"/>
        <w:rPr>
          <w:rFonts w:ascii="Baskerville" w:hAnsi="Baskerville"/>
          <w:sz w:val="20"/>
          <w:szCs w:val="20"/>
        </w:rPr>
      </w:pPr>
    </w:p>
    <w:p w14:paraId="5791F1F7" w14:textId="77777777" w:rsidR="003822EB" w:rsidRDefault="003822EB" w:rsidP="003822EB">
      <w:pPr>
        <w:pStyle w:val="FootnoteText"/>
        <w:rPr>
          <w:rFonts w:ascii="Baskerville" w:hAnsi="Baskerville"/>
          <w:bCs/>
          <w:sz w:val="20"/>
          <w:szCs w:val="20"/>
        </w:rPr>
      </w:pPr>
      <w:r w:rsidRPr="005318BC">
        <w:rPr>
          <w:rFonts w:ascii="Baskerville" w:hAnsi="Baskerville"/>
          <w:sz w:val="20"/>
          <w:szCs w:val="20"/>
          <w:lang w:val="en-US"/>
        </w:rPr>
        <w:t>Ahteensuu</w:t>
      </w:r>
      <w:r>
        <w:rPr>
          <w:rFonts w:ascii="Baskerville" w:hAnsi="Baskerville"/>
          <w:sz w:val="20"/>
          <w:szCs w:val="20"/>
          <w:lang w:val="en-US"/>
        </w:rPr>
        <w:t xml:space="preserve"> M</w:t>
      </w:r>
      <w:r w:rsidRPr="005318BC">
        <w:rPr>
          <w:rFonts w:ascii="Baskerville" w:hAnsi="Baskerville"/>
          <w:sz w:val="20"/>
          <w:szCs w:val="20"/>
        </w:rPr>
        <w:t>, ‘</w:t>
      </w:r>
      <w:r w:rsidRPr="005318BC">
        <w:rPr>
          <w:rFonts w:ascii="Baskerville" w:hAnsi="Baskerville"/>
          <w:bCs/>
          <w:sz w:val="20"/>
          <w:szCs w:val="20"/>
          <w:lang w:val="en-US"/>
        </w:rPr>
        <w:t>Rationale for Taking Precautions: Normative Choices and Commitments in the Implementation of the Precautionary Principle’, (</w:t>
      </w:r>
      <w:r w:rsidRPr="005318BC">
        <w:rPr>
          <w:rFonts w:ascii="Baskerville" w:hAnsi="Baskerville"/>
          <w:bCs/>
          <w:iCs/>
          <w:sz w:val="20"/>
          <w:szCs w:val="20"/>
        </w:rPr>
        <w:t xml:space="preserve">University of Turku: </w:t>
      </w:r>
      <w:r w:rsidRPr="005318BC">
        <w:rPr>
          <w:rFonts w:ascii="Baskerville" w:hAnsi="Baskerville"/>
          <w:bCs/>
          <w:sz w:val="20"/>
          <w:szCs w:val="20"/>
        </w:rPr>
        <w:t>TRAMES 2007), 11(61/56)</w:t>
      </w:r>
    </w:p>
    <w:p w14:paraId="14FC71EA" w14:textId="77777777" w:rsidR="003822EB" w:rsidRDefault="003822EB" w:rsidP="003822EB">
      <w:pPr>
        <w:pStyle w:val="FootnoteText"/>
        <w:rPr>
          <w:rFonts w:ascii="Baskerville" w:hAnsi="Baskerville"/>
          <w:bCs/>
          <w:sz w:val="20"/>
          <w:szCs w:val="20"/>
        </w:rPr>
      </w:pPr>
    </w:p>
    <w:p w14:paraId="33AAE80A" w14:textId="77777777" w:rsidR="003822EB" w:rsidRPr="009D11B2" w:rsidRDefault="003822EB" w:rsidP="003822EB">
      <w:pPr>
        <w:pStyle w:val="FootnoteText"/>
        <w:rPr>
          <w:rFonts w:ascii="Baskerville" w:hAnsi="Baskerville"/>
          <w:color w:val="FF0000"/>
          <w:sz w:val="20"/>
          <w:szCs w:val="20"/>
          <w:lang w:val="en-US"/>
        </w:rPr>
      </w:pPr>
      <w:r w:rsidRPr="00CC0179">
        <w:rPr>
          <w:rFonts w:ascii="Baskerville" w:hAnsi="Baskerville"/>
          <w:sz w:val="20"/>
          <w:szCs w:val="20"/>
          <w:lang w:val="en-US"/>
        </w:rPr>
        <w:t>Cheng</w:t>
      </w:r>
      <w:r>
        <w:rPr>
          <w:rFonts w:ascii="Baskerville" w:hAnsi="Baskerville"/>
          <w:sz w:val="20"/>
          <w:szCs w:val="20"/>
          <w:lang w:val="en-US"/>
        </w:rPr>
        <w:t xml:space="preserve"> B</w:t>
      </w:r>
      <w:r w:rsidRPr="00CC0179">
        <w:rPr>
          <w:rFonts w:ascii="Baskerville" w:hAnsi="Baskerville"/>
          <w:sz w:val="20"/>
          <w:szCs w:val="20"/>
          <w:lang w:val="en-US"/>
        </w:rPr>
        <w:t xml:space="preserve">, </w:t>
      </w:r>
      <w:r>
        <w:rPr>
          <w:rFonts w:ascii="Baskerville" w:hAnsi="Baskerville"/>
          <w:sz w:val="20"/>
          <w:szCs w:val="20"/>
          <w:lang w:val="en-US"/>
        </w:rPr>
        <w:t>‘</w:t>
      </w:r>
      <w:r w:rsidRPr="00816632">
        <w:rPr>
          <w:rFonts w:ascii="Baskerville" w:hAnsi="Baskerville"/>
          <w:iCs/>
          <w:sz w:val="20"/>
          <w:szCs w:val="20"/>
          <w:lang w:val="en-US"/>
        </w:rPr>
        <w:t>United Nations Resolutions on Outer Space: Instant International</w:t>
      </w:r>
      <w:r w:rsidRPr="00CC0179">
        <w:rPr>
          <w:rFonts w:ascii="Baskerville" w:hAnsi="Baskerville"/>
          <w:i/>
          <w:iCs/>
          <w:sz w:val="20"/>
          <w:szCs w:val="20"/>
          <w:lang w:val="en-US"/>
        </w:rPr>
        <w:t xml:space="preserve"> </w:t>
      </w:r>
      <w:r w:rsidRPr="00816632">
        <w:rPr>
          <w:rFonts w:ascii="Baskerville" w:hAnsi="Baskerville"/>
          <w:iCs/>
          <w:sz w:val="20"/>
          <w:szCs w:val="20"/>
          <w:lang w:val="en-US"/>
        </w:rPr>
        <w:t>Customary Law</w:t>
      </w:r>
      <w:r>
        <w:rPr>
          <w:rFonts w:ascii="Baskerville" w:hAnsi="Baskerville"/>
          <w:iCs/>
          <w:sz w:val="20"/>
          <w:szCs w:val="20"/>
          <w:lang w:val="en-US"/>
        </w:rPr>
        <w:t>’</w:t>
      </w:r>
      <w:r w:rsidRPr="00CC0179">
        <w:rPr>
          <w:rFonts w:ascii="Baskerville" w:hAnsi="Baskerville"/>
          <w:i/>
          <w:iCs/>
          <w:sz w:val="20"/>
          <w:szCs w:val="20"/>
          <w:lang w:val="en-US"/>
        </w:rPr>
        <w:t xml:space="preserve">, </w:t>
      </w:r>
      <w:r>
        <w:rPr>
          <w:rFonts w:ascii="Baskerville" w:hAnsi="Baskerville"/>
          <w:iCs/>
          <w:sz w:val="20"/>
          <w:szCs w:val="20"/>
          <w:lang w:val="en-US"/>
        </w:rPr>
        <w:t>(1965)</w:t>
      </w:r>
      <w:r>
        <w:rPr>
          <w:rFonts w:ascii="Baskerville" w:hAnsi="Baskerville"/>
          <w:sz w:val="20"/>
          <w:szCs w:val="20"/>
          <w:lang w:val="en-US"/>
        </w:rPr>
        <w:t xml:space="preserve"> 23 </w:t>
      </w:r>
      <w:r w:rsidRPr="00CC0179">
        <w:rPr>
          <w:rFonts w:ascii="Baskerville" w:hAnsi="Baskerville"/>
          <w:sz w:val="20"/>
          <w:szCs w:val="20"/>
          <w:lang w:val="en-US"/>
        </w:rPr>
        <w:t>Indian J</w:t>
      </w:r>
      <w:r>
        <w:rPr>
          <w:rFonts w:ascii="Baskerville" w:hAnsi="Baskerville"/>
          <w:sz w:val="20"/>
          <w:szCs w:val="20"/>
          <w:lang w:val="en-US"/>
        </w:rPr>
        <w:t>ournal of International Law</w:t>
      </w:r>
      <w:r w:rsidRPr="00CC0179">
        <w:rPr>
          <w:rFonts w:ascii="Baskerville" w:hAnsi="Baskerville"/>
          <w:sz w:val="20"/>
          <w:szCs w:val="20"/>
          <w:lang w:val="en-US"/>
        </w:rPr>
        <w:t xml:space="preserve"> 35</w:t>
      </w:r>
    </w:p>
    <w:p w14:paraId="3E948CCB" w14:textId="77777777" w:rsidR="003822EB" w:rsidRDefault="003822EB" w:rsidP="003822EB">
      <w:pPr>
        <w:pStyle w:val="FootnoteText"/>
        <w:rPr>
          <w:rFonts w:ascii="Baskerville" w:hAnsi="Baskerville"/>
          <w:bCs/>
          <w:sz w:val="20"/>
          <w:szCs w:val="20"/>
          <w:lang w:val="en-US"/>
        </w:rPr>
      </w:pPr>
    </w:p>
    <w:p w14:paraId="63EA1452" w14:textId="77777777" w:rsidR="003822EB" w:rsidRPr="003137B4" w:rsidRDefault="003822EB" w:rsidP="003822EB">
      <w:pPr>
        <w:pStyle w:val="FootnoteText"/>
        <w:rPr>
          <w:rFonts w:ascii="Baskerville" w:hAnsi="Baskerville"/>
          <w:sz w:val="20"/>
          <w:szCs w:val="20"/>
          <w:lang w:val="en-US"/>
        </w:rPr>
      </w:pPr>
      <w:r w:rsidRPr="00DB64BE">
        <w:rPr>
          <w:rFonts w:ascii="Baskerville" w:hAnsi="Baskerville"/>
          <w:sz w:val="20"/>
          <w:szCs w:val="20"/>
          <w:lang w:val="en-US"/>
        </w:rPr>
        <w:t>Kriebel</w:t>
      </w:r>
      <w:r>
        <w:rPr>
          <w:rFonts w:ascii="Baskerville" w:hAnsi="Baskerville"/>
          <w:sz w:val="20"/>
          <w:szCs w:val="20"/>
          <w:lang w:val="en-US"/>
        </w:rPr>
        <w:t xml:space="preserve"> D and others,</w:t>
      </w:r>
      <w:r>
        <w:rPr>
          <w:rFonts w:ascii="Baskerville" w:hAnsi="Baskerville"/>
          <w:sz w:val="20"/>
          <w:szCs w:val="20"/>
        </w:rPr>
        <w:t>‘</w:t>
      </w:r>
      <w:r w:rsidRPr="00DB64BE">
        <w:rPr>
          <w:rFonts w:ascii="Baskerville" w:hAnsi="Baskerville"/>
          <w:sz w:val="20"/>
          <w:szCs w:val="20"/>
          <w:lang w:val="en-US"/>
        </w:rPr>
        <w:t>The Precautionary Principle in Environmental Science</w:t>
      </w:r>
      <w:r>
        <w:rPr>
          <w:rFonts w:ascii="Baskerville" w:hAnsi="Baskerville"/>
          <w:sz w:val="20"/>
          <w:szCs w:val="20"/>
          <w:lang w:val="en-US"/>
        </w:rPr>
        <w:t>’</w:t>
      </w:r>
      <w:r w:rsidRPr="00DB64BE">
        <w:rPr>
          <w:rFonts w:ascii="Baskerville" w:hAnsi="Baskerville"/>
          <w:sz w:val="20"/>
          <w:szCs w:val="20"/>
          <w:lang w:val="en-US"/>
        </w:rPr>
        <w:t> </w:t>
      </w:r>
      <w:r>
        <w:rPr>
          <w:rFonts w:ascii="Baskerville" w:hAnsi="Baskerville"/>
          <w:sz w:val="20"/>
          <w:szCs w:val="20"/>
          <w:lang w:val="en-US"/>
        </w:rPr>
        <w:t xml:space="preserve"> (2003) 109(9) </w:t>
      </w:r>
      <w:r w:rsidRPr="00D47E36">
        <w:rPr>
          <w:rFonts w:ascii="Baskerville" w:hAnsi="Baskerville"/>
          <w:sz w:val="20"/>
          <w:szCs w:val="20"/>
          <w:lang w:val="en-US"/>
        </w:rPr>
        <w:t xml:space="preserve">Environmental Health </w:t>
      </w:r>
      <w:r>
        <w:rPr>
          <w:rFonts w:ascii="Baskerville" w:hAnsi="Baskerville"/>
          <w:sz w:val="20"/>
          <w:szCs w:val="20"/>
        </w:rPr>
        <w:t>871</w:t>
      </w:r>
    </w:p>
    <w:p w14:paraId="261A800E" w14:textId="77777777" w:rsidR="003822EB" w:rsidRDefault="003822EB" w:rsidP="003822EB">
      <w:pPr>
        <w:pStyle w:val="FootnoteText"/>
        <w:rPr>
          <w:rFonts w:ascii="Baskerville" w:hAnsi="Baskerville"/>
          <w:bCs/>
          <w:sz w:val="20"/>
          <w:szCs w:val="20"/>
          <w:lang w:val="en-US"/>
        </w:rPr>
      </w:pPr>
    </w:p>
    <w:p w14:paraId="61AF7300" w14:textId="77777777" w:rsidR="003822EB" w:rsidRDefault="003822EB" w:rsidP="003822EB">
      <w:pPr>
        <w:pStyle w:val="FootnoteText"/>
        <w:rPr>
          <w:rFonts w:ascii="Baskerville" w:hAnsi="Baskerville"/>
          <w:sz w:val="20"/>
          <w:szCs w:val="20"/>
        </w:rPr>
      </w:pPr>
      <w:r w:rsidRPr="00B748AB">
        <w:rPr>
          <w:rFonts w:ascii="Baskerville" w:hAnsi="Baskerville"/>
          <w:sz w:val="20"/>
          <w:szCs w:val="20"/>
          <w:lang w:val="en-US"/>
        </w:rPr>
        <w:t>Manson</w:t>
      </w:r>
      <w:r>
        <w:rPr>
          <w:rFonts w:ascii="Baskerville" w:hAnsi="Baskerville"/>
          <w:sz w:val="20"/>
          <w:szCs w:val="20"/>
          <w:lang w:val="en-US"/>
        </w:rPr>
        <w:t xml:space="preserve"> NA</w:t>
      </w:r>
      <w:r w:rsidRPr="00B748AB">
        <w:rPr>
          <w:rFonts w:ascii="Baskerville" w:hAnsi="Baskerville"/>
          <w:sz w:val="20"/>
          <w:szCs w:val="20"/>
          <w:lang w:val="en-US"/>
        </w:rPr>
        <w:t>, ‘Formulati</w:t>
      </w:r>
      <w:r>
        <w:rPr>
          <w:rFonts w:ascii="Baskerville" w:hAnsi="Baskerville"/>
          <w:sz w:val="20"/>
          <w:szCs w:val="20"/>
          <w:lang w:val="en-US"/>
        </w:rPr>
        <w:t>ng the Precautionary Principle’</w:t>
      </w:r>
      <w:r w:rsidRPr="00B748AB">
        <w:rPr>
          <w:rFonts w:ascii="Baskerville" w:hAnsi="Baskerville"/>
          <w:sz w:val="20"/>
          <w:szCs w:val="20"/>
          <w:lang w:val="en-US"/>
        </w:rPr>
        <w:t xml:space="preserve"> </w:t>
      </w:r>
      <w:r>
        <w:rPr>
          <w:rFonts w:ascii="Baskerville" w:hAnsi="Baskerville"/>
          <w:sz w:val="20"/>
          <w:szCs w:val="20"/>
          <w:lang w:val="en-US"/>
        </w:rPr>
        <w:t xml:space="preserve">(2002) 24 </w:t>
      </w:r>
      <w:r w:rsidRPr="00D47E36">
        <w:rPr>
          <w:rFonts w:ascii="Baskerville" w:hAnsi="Baskerville"/>
          <w:iCs/>
          <w:sz w:val="20"/>
          <w:szCs w:val="20"/>
          <w:lang w:val="en-US"/>
        </w:rPr>
        <w:t>Environmental Ethics</w:t>
      </w:r>
      <w:r w:rsidRPr="00B748AB">
        <w:rPr>
          <w:rFonts w:ascii="Baskerville" w:hAnsi="Baskerville"/>
          <w:sz w:val="20"/>
          <w:szCs w:val="20"/>
          <w:lang w:val="en-US"/>
        </w:rPr>
        <w:t xml:space="preserve"> 264</w:t>
      </w:r>
    </w:p>
    <w:p w14:paraId="22DB9FA4" w14:textId="77777777" w:rsidR="003822EB" w:rsidRDefault="003822EB" w:rsidP="003822EB">
      <w:pPr>
        <w:pStyle w:val="FootnoteText"/>
        <w:rPr>
          <w:rFonts w:ascii="Baskerville" w:hAnsi="Baskerville"/>
          <w:sz w:val="20"/>
          <w:szCs w:val="20"/>
        </w:rPr>
      </w:pPr>
    </w:p>
    <w:p w14:paraId="5E882BD8" w14:textId="77777777" w:rsidR="003822EB" w:rsidRPr="00D47E36" w:rsidRDefault="003822EB" w:rsidP="003822EB">
      <w:pPr>
        <w:pStyle w:val="FootnoteText"/>
        <w:rPr>
          <w:rFonts w:ascii="Baskerville" w:hAnsi="Baskerville"/>
          <w:bCs/>
          <w:sz w:val="20"/>
          <w:szCs w:val="20"/>
          <w:lang w:val="en-US"/>
        </w:rPr>
      </w:pPr>
      <w:r w:rsidRPr="00A46252">
        <w:rPr>
          <w:rFonts w:ascii="Baskerville" w:hAnsi="Baskerville"/>
          <w:sz w:val="20"/>
          <w:szCs w:val="20"/>
        </w:rPr>
        <w:t>Nollkaemper</w:t>
      </w:r>
      <w:r>
        <w:rPr>
          <w:rFonts w:ascii="Baskerville" w:hAnsi="Baskerville"/>
          <w:sz w:val="20"/>
          <w:szCs w:val="20"/>
        </w:rPr>
        <w:t xml:space="preserve"> A</w:t>
      </w:r>
      <w:r w:rsidRPr="00A46252">
        <w:rPr>
          <w:rFonts w:ascii="Baskerville" w:hAnsi="Baskerville"/>
          <w:sz w:val="20"/>
          <w:szCs w:val="20"/>
        </w:rPr>
        <w:t>, ‘The Precautionary Principle in International Environmental Law: What’s Ne</w:t>
      </w:r>
      <w:r>
        <w:rPr>
          <w:rFonts w:ascii="Baskerville" w:hAnsi="Baskerville"/>
          <w:sz w:val="20"/>
          <w:szCs w:val="20"/>
        </w:rPr>
        <w:t xml:space="preserve">w Under the Sun?’ (1991) 22(3) </w:t>
      </w:r>
      <w:r w:rsidRPr="005B0E79">
        <w:rPr>
          <w:rFonts w:ascii="Baskerville" w:hAnsi="Baskerville"/>
          <w:sz w:val="20"/>
          <w:szCs w:val="20"/>
        </w:rPr>
        <w:t>Marine Pollution Bulletin</w:t>
      </w:r>
      <w:r>
        <w:rPr>
          <w:rFonts w:ascii="Baskerville" w:hAnsi="Baskerville"/>
          <w:sz w:val="20"/>
          <w:szCs w:val="20"/>
        </w:rPr>
        <w:t xml:space="preserve"> 107</w:t>
      </w:r>
    </w:p>
    <w:p w14:paraId="2906F26F" w14:textId="77777777" w:rsidR="003822EB" w:rsidRDefault="003822EB" w:rsidP="003822EB">
      <w:pPr>
        <w:pStyle w:val="FootnoteText"/>
        <w:rPr>
          <w:rFonts w:ascii="Baskerville" w:hAnsi="Baskerville"/>
          <w:bCs/>
          <w:sz w:val="20"/>
          <w:szCs w:val="20"/>
          <w:lang w:val="en-US"/>
        </w:rPr>
      </w:pPr>
    </w:p>
    <w:p w14:paraId="0A8F548F" w14:textId="77777777" w:rsidR="003822EB" w:rsidRPr="00956EC3" w:rsidRDefault="003822EB" w:rsidP="003822EB">
      <w:pPr>
        <w:pStyle w:val="FootnoteText"/>
        <w:rPr>
          <w:rFonts w:ascii="Baskerville" w:hAnsi="Baskerville"/>
          <w:b/>
          <w:bCs/>
          <w:sz w:val="20"/>
          <w:szCs w:val="20"/>
          <w:lang w:val="en-US"/>
        </w:rPr>
      </w:pPr>
      <w:r w:rsidRPr="00E372AF">
        <w:rPr>
          <w:rFonts w:ascii="Baskerville" w:hAnsi="Baskerville"/>
          <w:bCs/>
          <w:sz w:val="20"/>
          <w:szCs w:val="20"/>
          <w:lang w:val="en-US"/>
        </w:rPr>
        <w:t>Rogers</w:t>
      </w:r>
      <w:r>
        <w:rPr>
          <w:rFonts w:ascii="Baskerville" w:hAnsi="Baskerville"/>
          <w:bCs/>
          <w:sz w:val="20"/>
          <w:szCs w:val="20"/>
          <w:lang w:val="en-US"/>
        </w:rPr>
        <w:t xml:space="preserve"> MF</w:t>
      </w:r>
      <w:r w:rsidRPr="00E372AF">
        <w:rPr>
          <w:rFonts w:ascii="Baskerville" w:hAnsi="Baskerville"/>
          <w:bCs/>
          <w:sz w:val="20"/>
          <w:szCs w:val="20"/>
          <w:lang w:val="en-US"/>
        </w:rPr>
        <w:t>, Sinden</w:t>
      </w:r>
      <w:r>
        <w:rPr>
          <w:rFonts w:ascii="Baskerville" w:hAnsi="Baskerville"/>
          <w:bCs/>
          <w:sz w:val="20"/>
          <w:szCs w:val="20"/>
          <w:lang w:val="en-US"/>
        </w:rPr>
        <w:t xml:space="preserve"> JA</w:t>
      </w:r>
      <w:r w:rsidRPr="00E372AF">
        <w:rPr>
          <w:rFonts w:ascii="Baskerville" w:hAnsi="Baskerville"/>
          <w:sz w:val="20"/>
          <w:szCs w:val="20"/>
          <w:lang w:val="en-US"/>
        </w:rPr>
        <w:t xml:space="preserve"> </w:t>
      </w:r>
      <w:r w:rsidRPr="00E372AF">
        <w:rPr>
          <w:rFonts w:ascii="Baskerville" w:hAnsi="Baskerville"/>
          <w:bCs/>
          <w:sz w:val="20"/>
          <w:szCs w:val="20"/>
          <w:lang w:val="en-US"/>
        </w:rPr>
        <w:t>and De Lacy</w:t>
      </w:r>
      <w:r>
        <w:rPr>
          <w:rFonts w:ascii="Baskerville" w:hAnsi="Baskerville"/>
          <w:bCs/>
          <w:sz w:val="20"/>
          <w:szCs w:val="20"/>
          <w:lang w:val="en-US"/>
        </w:rPr>
        <w:t xml:space="preserve"> T</w:t>
      </w:r>
      <w:r w:rsidRPr="00E372AF">
        <w:rPr>
          <w:rFonts w:ascii="Baskerville" w:hAnsi="Baskerville"/>
          <w:bCs/>
          <w:sz w:val="20"/>
          <w:szCs w:val="20"/>
          <w:lang w:val="en-US"/>
        </w:rPr>
        <w:t>,</w:t>
      </w:r>
      <w:r>
        <w:rPr>
          <w:rFonts w:ascii="Baskerville" w:hAnsi="Baskerville"/>
          <w:bCs/>
          <w:sz w:val="20"/>
          <w:szCs w:val="20"/>
          <w:lang w:val="en-US"/>
        </w:rPr>
        <w:t xml:space="preserve"> ‘</w:t>
      </w:r>
      <w:r w:rsidRPr="00956EC3">
        <w:rPr>
          <w:rFonts w:ascii="Baskerville" w:hAnsi="Baskerville"/>
          <w:bCs/>
          <w:sz w:val="20"/>
          <w:szCs w:val="20"/>
          <w:lang w:val="en-US"/>
        </w:rPr>
        <w:t>The Precautionary Principle for Environmental Management: A Defensive-expenditure Application</w:t>
      </w:r>
      <w:r>
        <w:rPr>
          <w:rFonts w:ascii="Baskerville" w:hAnsi="Baskerville"/>
          <w:bCs/>
          <w:sz w:val="20"/>
          <w:szCs w:val="20"/>
          <w:lang w:val="en-US"/>
        </w:rPr>
        <w:t xml:space="preserve">’ (1997) 51 </w:t>
      </w:r>
      <w:r w:rsidRPr="00300424">
        <w:rPr>
          <w:rFonts w:ascii="Baskerville" w:hAnsi="Baskerville"/>
          <w:bCs/>
          <w:iCs/>
          <w:sz w:val="20"/>
          <w:szCs w:val="20"/>
          <w:lang w:val="en-US"/>
        </w:rPr>
        <w:t>Journal of Environmental Management</w:t>
      </w:r>
      <w:r>
        <w:rPr>
          <w:rFonts w:ascii="Baskerville" w:hAnsi="Baskerville"/>
          <w:bCs/>
          <w:sz w:val="20"/>
          <w:szCs w:val="20"/>
          <w:lang w:val="en-US"/>
        </w:rPr>
        <w:t xml:space="preserve"> 343</w:t>
      </w:r>
    </w:p>
    <w:p w14:paraId="37ABA952" w14:textId="77777777" w:rsidR="003822EB" w:rsidRDefault="003822EB" w:rsidP="003822EB">
      <w:pPr>
        <w:pStyle w:val="FootnoteText"/>
        <w:rPr>
          <w:rFonts w:ascii="Baskerville" w:hAnsi="Baskerville"/>
        </w:rPr>
      </w:pPr>
    </w:p>
    <w:p w14:paraId="4F8B918B" w14:textId="77777777" w:rsidR="003822EB" w:rsidRDefault="003822EB" w:rsidP="003822EB">
      <w:pPr>
        <w:rPr>
          <w:rFonts w:ascii="Baskerville" w:hAnsi="Baskerville"/>
          <w:sz w:val="20"/>
          <w:szCs w:val="20"/>
        </w:rPr>
      </w:pPr>
      <w:r>
        <w:rPr>
          <w:rFonts w:ascii="Baskerville" w:hAnsi="Baskerville"/>
          <w:sz w:val="20"/>
          <w:szCs w:val="20"/>
        </w:rPr>
        <w:t>Smith C (ed.</w:t>
      </w:r>
      <w:r w:rsidRPr="00CA7D22">
        <w:rPr>
          <w:rFonts w:ascii="Baskerville" w:hAnsi="Baskerville"/>
          <w:sz w:val="20"/>
          <w:szCs w:val="20"/>
        </w:rPr>
        <w:t>), ‘T</w:t>
      </w:r>
      <w:r w:rsidRPr="00CA7D22">
        <w:rPr>
          <w:rFonts w:ascii="Baskerville" w:hAnsi="Baskerville"/>
          <w:bCs/>
          <w:sz w:val="20"/>
          <w:szCs w:val="20"/>
        </w:rPr>
        <w:t>he Precautionary Principle and Environmental Policy: Science, Uncertainty, and Sustainability’</w:t>
      </w:r>
      <w:r>
        <w:rPr>
          <w:rFonts w:ascii="Baskerville" w:hAnsi="Baskerville"/>
          <w:bCs/>
          <w:sz w:val="20"/>
          <w:szCs w:val="20"/>
        </w:rPr>
        <w:t xml:space="preserve"> (2000) 6 (4)</w:t>
      </w:r>
      <w:r w:rsidRPr="00CA7D22">
        <w:rPr>
          <w:rFonts w:ascii="Baskerville" w:hAnsi="Baskerville"/>
          <w:bCs/>
          <w:i/>
          <w:sz w:val="20"/>
          <w:szCs w:val="20"/>
        </w:rPr>
        <w:t xml:space="preserve"> </w:t>
      </w:r>
      <w:r w:rsidRPr="00463C92">
        <w:rPr>
          <w:rFonts w:ascii="Baskerville" w:hAnsi="Baskerville"/>
          <w:bCs/>
          <w:sz w:val="20"/>
          <w:szCs w:val="20"/>
          <w:lang w:val="en-US"/>
        </w:rPr>
        <w:t>International Journal of Occupational and Environmental Health</w:t>
      </w:r>
      <w:r w:rsidRPr="00CA7D22">
        <w:rPr>
          <w:rFonts w:ascii="Baskerville" w:hAnsi="Baskerville"/>
          <w:bCs/>
          <w:sz w:val="20"/>
          <w:szCs w:val="20"/>
          <w:lang w:val="en-US"/>
        </w:rPr>
        <w:t xml:space="preserve"> </w:t>
      </w:r>
      <w:r w:rsidRPr="00CA7D22">
        <w:rPr>
          <w:rFonts w:ascii="Baskerville" w:hAnsi="Baskerville"/>
          <w:sz w:val="20"/>
          <w:szCs w:val="20"/>
        </w:rPr>
        <w:t>263</w:t>
      </w:r>
    </w:p>
    <w:p w14:paraId="385B6AC5" w14:textId="77777777" w:rsidR="003822EB" w:rsidRDefault="003822EB" w:rsidP="003822EB">
      <w:pPr>
        <w:rPr>
          <w:rFonts w:ascii="Baskerville" w:hAnsi="Baskerville"/>
          <w:sz w:val="20"/>
          <w:szCs w:val="20"/>
        </w:rPr>
      </w:pPr>
    </w:p>
    <w:p w14:paraId="261BE946" w14:textId="77777777" w:rsidR="003822EB" w:rsidRDefault="003822EB" w:rsidP="003822EB">
      <w:pPr>
        <w:pStyle w:val="FootnoteText"/>
        <w:rPr>
          <w:rFonts w:ascii="Baskerville" w:hAnsi="Baskerville"/>
          <w:sz w:val="20"/>
          <w:szCs w:val="20"/>
          <w:lang w:val="en-US"/>
        </w:rPr>
      </w:pPr>
      <w:r w:rsidRPr="006F15A0">
        <w:rPr>
          <w:rFonts w:ascii="Baskerville" w:hAnsi="Baskerville"/>
          <w:sz w:val="20"/>
          <w:szCs w:val="20"/>
          <w:lang w:val="en-US"/>
        </w:rPr>
        <w:t>Soule</w:t>
      </w:r>
      <w:r>
        <w:rPr>
          <w:rFonts w:ascii="Baskerville" w:hAnsi="Baskerville"/>
          <w:sz w:val="20"/>
          <w:szCs w:val="20"/>
          <w:lang w:val="en-US"/>
        </w:rPr>
        <w:t xml:space="preserve"> E</w:t>
      </w:r>
      <w:r w:rsidRPr="006F15A0">
        <w:rPr>
          <w:rFonts w:ascii="Baskerville" w:hAnsi="Baskerville"/>
          <w:sz w:val="20"/>
          <w:szCs w:val="20"/>
          <w:lang w:val="en-US"/>
        </w:rPr>
        <w:t>, ‘Assessing the Precautionary Principle in the Regulation of Genetically Modif</w:t>
      </w:r>
      <w:r>
        <w:rPr>
          <w:rFonts w:ascii="Baskerville" w:hAnsi="Baskerville"/>
          <w:sz w:val="20"/>
          <w:szCs w:val="20"/>
          <w:lang w:val="en-US"/>
        </w:rPr>
        <w:t xml:space="preserve">ied Organisms’ (2002) 4 (1) </w:t>
      </w:r>
      <w:r w:rsidRPr="00463C92">
        <w:rPr>
          <w:rFonts w:ascii="Baskerville" w:hAnsi="Baskerville"/>
          <w:iCs/>
          <w:sz w:val="20"/>
          <w:szCs w:val="20"/>
          <w:lang w:val="en-US"/>
        </w:rPr>
        <w:t>International Journal of Biotechnology</w:t>
      </w:r>
      <w:r w:rsidRPr="006F15A0">
        <w:rPr>
          <w:rFonts w:ascii="Baskerville" w:hAnsi="Baskerville"/>
          <w:sz w:val="20"/>
          <w:szCs w:val="20"/>
          <w:lang w:val="en-US"/>
        </w:rPr>
        <w:t xml:space="preserve"> </w:t>
      </w:r>
      <w:r>
        <w:rPr>
          <w:rFonts w:ascii="Baskerville" w:hAnsi="Baskerville"/>
          <w:sz w:val="20"/>
          <w:szCs w:val="20"/>
          <w:lang w:val="en-US"/>
        </w:rPr>
        <w:t>21</w:t>
      </w:r>
      <w:r w:rsidRPr="006F15A0">
        <w:rPr>
          <w:rFonts w:ascii="Baskerville" w:hAnsi="Baskerville"/>
          <w:sz w:val="20"/>
          <w:szCs w:val="20"/>
          <w:lang w:val="en-US"/>
        </w:rPr>
        <w:t xml:space="preserve"> </w:t>
      </w:r>
    </w:p>
    <w:p w14:paraId="17D0F6E0" w14:textId="77777777" w:rsidR="003822EB" w:rsidRDefault="003822EB" w:rsidP="003822EB">
      <w:pPr>
        <w:pStyle w:val="FootnoteText"/>
        <w:rPr>
          <w:rFonts w:ascii="Baskerville" w:hAnsi="Baskerville"/>
          <w:sz w:val="20"/>
          <w:szCs w:val="20"/>
          <w:lang w:val="en-US"/>
        </w:rPr>
      </w:pPr>
    </w:p>
    <w:p w14:paraId="469BBE0D" w14:textId="77777777" w:rsidR="003822EB" w:rsidRPr="007C628B" w:rsidRDefault="003822EB" w:rsidP="003822EB">
      <w:pPr>
        <w:pStyle w:val="FootnoteText"/>
        <w:rPr>
          <w:rFonts w:ascii="Baskerville" w:hAnsi="Baskerville"/>
          <w:sz w:val="20"/>
          <w:szCs w:val="20"/>
          <w:lang w:val="en-US"/>
        </w:rPr>
      </w:pPr>
      <w:r>
        <w:rPr>
          <w:rFonts w:ascii="Baskerville" w:hAnsi="Baskerville"/>
          <w:sz w:val="20"/>
          <w:szCs w:val="20"/>
        </w:rPr>
        <w:t>Stevens M, ‘</w:t>
      </w:r>
      <w:r w:rsidRPr="00A05297">
        <w:rPr>
          <w:rFonts w:ascii="Baskerville" w:hAnsi="Baskerville"/>
          <w:sz w:val="20"/>
          <w:szCs w:val="20"/>
          <w:lang w:val="en-US"/>
        </w:rPr>
        <w:t>The Precautionary Principle in the International Arena</w:t>
      </w:r>
      <w:r>
        <w:rPr>
          <w:rFonts w:ascii="Baskerville" w:hAnsi="Baskerville"/>
          <w:sz w:val="20"/>
          <w:szCs w:val="20"/>
          <w:lang w:val="en-US"/>
        </w:rPr>
        <w:t xml:space="preserve">’ (2002) 2 (2) </w:t>
      </w:r>
      <w:r w:rsidRPr="000C53F4">
        <w:rPr>
          <w:rFonts w:ascii="Baskerville" w:hAnsi="Baskerville"/>
          <w:sz w:val="20"/>
          <w:szCs w:val="20"/>
          <w:lang w:val="en-US"/>
        </w:rPr>
        <w:t>Sustainable Development</w:t>
      </w:r>
      <w:r>
        <w:rPr>
          <w:rFonts w:ascii="Baskerville" w:hAnsi="Baskerville"/>
          <w:i/>
          <w:sz w:val="20"/>
          <w:szCs w:val="20"/>
          <w:lang w:val="en-US"/>
        </w:rPr>
        <w:t xml:space="preserve"> </w:t>
      </w:r>
      <w:r w:rsidRPr="000C53F4">
        <w:rPr>
          <w:rFonts w:ascii="Baskerville" w:hAnsi="Baskerville"/>
          <w:sz w:val="20"/>
          <w:szCs w:val="20"/>
          <w:lang w:val="en-US"/>
        </w:rPr>
        <w:t>Law &amp; Policy</w:t>
      </w:r>
      <w:r>
        <w:rPr>
          <w:rFonts w:ascii="Baskerville" w:hAnsi="Baskerville"/>
          <w:i/>
          <w:sz w:val="20"/>
          <w:szCs w:val="20"/>
          <w:lang w:val="en-US"/>
        </w:rPr>
        <w:t xml:space="preserve"> </w:t>
      </w:r>
      <w:r>
        <w:rPr>
          <w:rFonts w:ascii="Baskerville" w:hAnsi="Baskerville"/>
          <w:sz w:val="20"/>
          <w:szCs w:val="20"/>
        </w:rPr>
        <w:t>15</w:t>
      </w:r>
    </w:p>
    <w:p w14:paraId="5FD6C7EC" w14:textId="77777777" w:rsidR="003822EB" w:rsidRPr="006F15A0" w:rsidRDefault="003822EB" w:rsidP="003822EB">
      <w:pPr>
        <w:pStyle w:val="FootnoteText"/>
        <w:rPr>
          <w:rFonts w:ascii="Baskerville" w:hAnsi="Baskerville"/>
          <w:sz w:val="20"/>
          <w:szCs w:val="20"/>
          <w:lang w:val="en-US"/>
        </w:rPr>
      </w:pPr>
    </w:p>
    <w:p w14:paraId="4DC08259" w14:textId="77777777" w:rsidR="003822EB" w:rsidRPr="000A4983" w:rsidRDefault="003822EB" w:rsidP="003822EB">
      <w:pPr>
        <w:rPr>
          <w:rFonts w:ascii="Baskerville" w:hAnsi="Baskerville"/>
          <w:b/>
          <w:u w:val="single"/>
        </w:rPr>
      </w:pPr>
      <w:r>
        <w:rPr>
          <w:rFonts w:ascii="Baskerville" w:hAnsi="Baskerville"/>
          <w:sz w:val="20"/>
          <w:szCs w:val="20"/>
          <w:lang w:val="en-US"/>
        </w:rPr>
        <w:t>Levidow L, Carr S and</w:t>
      </w:r>
      <w:r w:rsidRPr="00294766">
        <w:rPr>
          <w:rFonts w:ascii="Baskerville" w:hAnsi="Baskerville"/>
          <w:sz w:val="20"/>
          <w:szCs w:val="20"/>
          <w:lang w:val="en-US"/>
        </w:rPr>
        <w:t xml:space="preserve"> </w:t>
      </w:r>
      <w:r>
        <w:rPr>
          <w:rFonts w:ascii="Baskerville" w:hAnsi="Baskerville"/>
          <w:sz w:val="20"/>
          <w:szCs w:val="20"/>
          <w:lang w:val="en-US"/>
        </w:rPr>
        <w:t>Wield D, ‘</w:t>
      </w:r>
      <w:r w:rsidRPr="00294766">
        <w:rPr>
          <w:rFonts w:ascii="Baskerville" w:hAnsi="Baskerville"/>
          <w:sz w:val="20"/>
          <w:szCs w:val="20"/>
          <w:lang w:val="en-US"/>
        </w:rPr>
        <w:t>European Union Regulation of Agri-Biotechnology: Precautionary Links betwee</w:t>
      </w:r>
      <w:r>
        <w:rPr>
          <w:rFonts w:ascii="Baskerville" w:hAnsi="Baskerville"/>
          <w:sz w:val="20"/>
          <w:szCs w:val="20"/>
          <w:lang w:val="en-US"/>
        </w:rPr>
        <w:t xml:space="preserve">n Science, Expertise and Policy’ (2005) </w:t>
      </w:r>
      <w:r w:rsidRPr="005B0E79">
        <w:rPr>
          <w:rFonts w:ascii="Baskerville" w:hAnsi="Baskerville"/>
          <w:iCs/>
          <w:sz w:val="20"/>
          <w:szCs w:val="20"/>
          <w:lang w:val="en-US"/>
        </w:rPr>
        <w:t>Science and Public Policy</w:t>
      </w:r>
      <w:r>
        <w:rPr>
          <w:rFonts w:ascii="Baskerville" w:hAnsi="Baskerville"/>
          <w:sz w:val="20"/>
          <w:szCs w:val="20"/>
          <w:lang w:val="en-US"/>
        </w:rPr>
        <w:t xml:space="preserve"> </w:t>
      </w:r>
      <w:r w:rsidRPr="00294766">
        <w:rPr>
          <w:rFonts w:ascii="Baskerville" w:hAnsi="Baskerville"/>
          <w:sz w:val="20"/>
          <w:szCs w:val="20"/>
          <w:lang w:val="en-US"/>
        </w:rPr>
        <w:t>32 (4)</w:t>
      </w:r>
    </w:p>
    <w:p w14:paraId="6D557376" w14:textId="77777777" w:rsidR="003822EB" w:rsidRDefault="003822EB" w:rsidP="003822EB">
      <w:pPr>
        <w:pStyle w:val="FootnoteText"/>
        <w:rPr>
          <w:rFonts w:ascii="Baskerville" w:hAnsi="Baskerville"/>
          <w:sz w:val="20"/>
          <w:szCs w:val="20"/>
        </w:rPr>
      </w:pPr>
    </w:p>
    <w:p w14:paraId="023B5BA0" w14:textId="77777777" w:rsidR="003822EB" w:rsidRDefault="003822EB" w:rsidP="003822EB">
      <w:pPr>
        <w:pStyle w:val="FootnoteText"/>
        <w:rPr>
          <w:rFonts w:ascii="Baskerville" w:hAnsi="Baskerville"/>
          <w:sz w:val="20"/>
          <w:szCs w:val="20"/>
          <w:lang w:val="en-US"/>
        </w:rPr>
      </w:pPr>
      <w:r w:rsidRPr="00EF177E">
        <w:rPr>
          <w:rFonts w:ascii="Baskerville" w:hAnsi="Baskerville"/>
          <w:sz w:val="20"/>
          <w:szCs w:val="20"/>
          <w:lang w:val="en-US"/>
        </w:rPr>
        <w:t>Douma</w:t>
      </w:r>
      <w:r>
        <w:rPr>
          <w:rFonts w:ascii="Baskerville" w:hAnsi="Baskerville"/>
          <w:sz w:val="20"/>
          <w:szCs w:val="20"/>
          <w:lang w:val="en-US"/>
        </w:rPr>
        <w:t xml:space="preserve"> WT</w:t>
      </w:r>
      <w:r w:rsidRPr="00EF177E">
        <w:rPr>
          <w:rFonts w:ascii="Baskerville" w:hAnsi="Baskerville"/>
          <w:sz w:val="20"/>
          <w:szCs w:val="20"/>
          <w:lang w:val="en-US"/>
        </w:rPr>
        <w:t>,  </w:t>
      </w:r>
      <w:r>
        <w:rPr>
          <w:rFonts w:ascii="Baskerville" w:hAnsi="Baskerville"/>
          <w:sz w:val="20"/>
          <w:szCs w:val="20"/>
          <w:lang w:val="en-US"/>
        </w:rPr>
        <w:t>’</w:t>
      </w:r>
      <w:r w:rsidRPr="00EF177E">
        <w:rPr>
          <w:rFonts w:ascii="Baskerville" w:hAnsi="Baskerville"/>
          <w:i/>
          <w:sz w:val="20"/>
          <w:szCs w:val="20"/>
          <w:lang w:val="en-US"/>
        </w:rPr>
        <w:t>The Precautionary Principle</w:t>
      </w:r>
      <w:r>
        <w:rPr>
          <w:rFonts w:ascii="Baskerville" w:hAnsi="Baskerville"/>
          <w:i/>
          <w:sz w:val="20"/>
          <w:szCs w:val="20"/>
          <w:lang w:val="en-US"/>
        </w:rPr>
        <w:t>’</w:t>
      </w:r>
      <w:r w:rsidRPr="00EF177E">
        <w:rPr>
          <w:rFonts w:ascii="Baskerville" w:hAnsi="Baskerville"/>
          <w:sz w:val="20"/>
          <w:szCs w:val="20"/>
          <w:lang w:val="en-US"/>
        </w:rPr>
        <w:t xml:space="preserve"> </w:t>
      </w:r>
      <w:r>
        <w:rPr>
          <w:rFonts w:ascii="Baskerville" w:hAnsi="Baskerville"/>
          <w:sz w:val="20"/>
          <w:szCs w:val="20"/>
          <w:lang w:val="en-US"/>
        </w:rPr>
        <w:t xml:space="preserve">(1996) 49 Ulfljotur </w:t>
      </w:r>
      <w:r w:rsidRPr="00EF177E">
        <w:rPr>
          <w:rFonts w:ascii="Baskerville" w:hAnsi="Baskerville"/>
          <w:sz w:val="20"/>
          <w:szCs w:val="20"/>
          <w:lang w:val="en-US"/>
        </w:rPr>
        <w:t>(</w:t>
      </w:r>
      <w:r>
        <w:rPr>
          <w:rFonts w:ascii="Baskerville" w:hAnsi="Baskerville"/>
          <w:sz w:val="20"/>
          <w:szCs w:val="20"/>
          <w:lang w:val="en-US"/>
        </w:rPr>
        <w:t xml:space="preserve">TMC </w:t>
      </w:r>
      <w:r w:rsidRPr="00EF177E">
        <w:rPr>
          <w:rFonts w:ascii="Baskerville" w:hAnsi="Baskerville"/>
          <w:sz w:val="20"/>
          <w:szCs w:val="20"/>
          <w:lang w:val="en-US"/>
        </w:rPr>
        <w:t>Asser Institute</w:t>
      </w:r>
      <w:r>
        <w:rPr>
          <w:rFonts w:ascii="Baskerville" w:hAnsi="Baskerville"/>
          <w:sz w:val="20"/>
          <w:szCs w:val="20"/>
          <w:lang w:val="en-US"/>
        </w:rPr>
        <w:t>) 417</w:t>
      </w:r>
    </w:p>
    <w:p w14:paraId="3A36B003" w14:textId="77777777" w:rsidR="003822EB" w:rsidRPr="00F761DF" w:rsidRDefault="003822EB" w:rsidP="003822EB">
      <w:pPr>
        <w:pStyle w:val="FootnoteText"/>
        <w:rPr>
          <w:rFonts w:ascii="Baskerville" w:hAnsi="Baskerville"/>
        </w:rPr>
      </w:pPr>
    </w:p>
    <w:p w14:paraId="5F0B4758" w14:textId="77777777" w:rsidR="003822EB" w:rsidRPr="00B04631" w:rsidRDefault="003822EB" w:rsidP="003822EB">
      <w:pPr>
        <w:rPr>
          <w:rFonts w:ascii="Baskerville" w:hAnsi="Baskerville"/>
          <w:b/>
          <w:u w:val="single"/>
        </w:rPr>
      </w:pPr>
      <w:r w:rsidRPr="00B04631">
        <w:rPr>
          <w:rFonts w:ascii="Baskerville" w:hAnsi="Baskerville"/>
          <w:b/>
          <w:u w:val="single"/>
        </w:rPr>
        <w:t>Other secondary sources</w:t>
      </w:r>
    </w:p>
    <w:p w14:paraId="4EBCED29" w14:textId="77777777" w:rsidR="003822EB" w:rsidRDefault="003822EB" w:rsidP="003822EB">
      <w:pPr>
        <w:rPr>
          <w:rFonts w:ascii="Baskerville" w:hAnsi="Baskerville"/>
          <w:b/>
        </w:rPr>
      </w:pPr>
    </w:p>
    <w:p w14:paraId="40E310D7" w14:textId="77777777" w:rsidR="003822EB" w:rsidRDefault="003822EB" w:rsidP="003822EB">
      <w:pPr>
        <w:pStyle w:val="FootnoteText"/>
        <w:rPr>
          <w:rFonts w:ascii="Baskerville" w:hAnsi="Baskerville"/>
          <w:sz w:val="20"/>
          <w:szCs w:val="20"/>
          <w:lang w:val="en-US"/>
        </w:rPr>
      </w:pPr>
      <w:r w:rsidRPr="00D97B21">
        <w:rPr>
          <w:rFonts w:ascii="Baskerville" w:hAnsi="Baskerville"/>
          <w:sz w:val="20"/>
          <w:szCs w:val="20"/>
          <w:lang w:val="en-US"/>
        </w:rPr>
        <w:t>Campbell</w:t>
      </w:r>
      <w:r>
        <w:rPr>
          <w:rFonts w:ascii="Baskerville" w:hAnsi="Baskerville"/>
          <w:sz w:val="20"/>
          <w:szCs w:val="20"/>
          <w:lang w:val="en-US"/>
        </w:rPr>
        <w:t xml:space="preserve"> A</w:t>
      </w:r>
      <w:r w:rsidRPr="00D97B21">
        <w:rPr>
          <w:rFonts w:ascii="Baskerville" w:hAnsi="Baskerville"/>
          <w:sz w:val="20"/>
          <w:szCs w:val="20"/>
          <w:lang w:val="en-US"/>
        </w:rPr>
        <w:t xml:space="preserve">, </w:t>
      </w:r>
      <w:r>
        <w:rPr>
          <w:rFonts w:ascii="Baskerville" w:hAnsi="Baskerville"/>
          <w:sz w:val="20"/>
          <w:szCs w:val="20"/>
          <w:lang w:val="en-US"/>
        </w:rPr>
        <w:t>‘</w:t>
      </w:r>
      <w:r w:rsidRPr="00D97B21">
        <w:rPr>
          <w:rFonts w:ascii="Baskerville" w:hAnsi="Baskerville"/>
          <w:sz w:val="20"/>
          <w:szCs w:val="20"/>
          <w:lang w:val="en-US"/>
        </w:rPr>
        <w:t>Symposium on Application and Enforcement of Environmental Law</w:t>
      </w:r>
      <w:r>
        <w:rPr>
          <w:rFonts w:ascii="Baskerville" w:hAnsi="Baskerville"/>
          <w:sz w:val="20"/>
          <w:szCs w:val="20"/>
          <w:lang w:val="en-US"/>
        </w:rPr>
        <w:t>’ (</w:t>
      </w:r>
      <w:r w:rsidRPr="00D97B21">
        <w:rPr>
          <w:rFonts w:ascii="Baskerville" w:hAnsi="Baskerville"/>
          <w:sz w:val="20"/>
          <w:szCs w:val="20"/>
          <w:lang w:val="en-US"/>
        </w:rPr>
        <w:t xml:space="preserve">Department of the Environment </w:t>
      </w:r>
      <w:r>
        <w:rPr>
          <w:rFonts w:ascii="Baskerville" w:hAnsi="Baskerville"/>
          <w:sz w:val="20"/>
          <w:szCs w:val="20"/>
          <w:lang w:val="en-US"/>
        </w:rPr>
        <w:t xml:space="preserve">address, </w:t>
      </w:r>
      <w:r w:rsidRPr="00D97B21">
        <w:rPr>
          <w:rFonts w:ascii="Baskerville" w:hAnsi="Baskerville"/>
          <w:sz w:val="20"/>
          <w:szCs w:val="20"/>
          <w:lang w:val="en-US"/>
        </w:rPr>
        <w:t>King</w:t>
      </w:r>
      <w:r>
        <w:rPr>
          <w:rFonts w:ascii="Baskerville" w:hAnsi="Baskerville"/>
          <w:sz w:val="20"/>
          <w:szCs w:val="20"/>
          <w:lang w:val="en-US"/>
        </w:rPr>
        <w:t>’</w:t>
      </w:r>
      <w:r w:rsidRPr="00D97B21">
        <w:rPr>
          <w:rFonts w:ascii="Baskerville" w:hAnsi="Baskerville"/>
          <w:sz w:val="20"/>
          <w:szCs w:val="20"/>
          <w:lang w:val="en-US"/>
        </w:rPr>
        <w:t xml:space="preserve">s College, London </w:t>
      </w:r>
      <w:r>
        <w:rPr>
          <w:rFonts w:ascii="Baskerville" w:hAnsi="Baskerville"/>
          <w:sz w:val="20"/>
          <w:szCs w:val="20"/>
          <w:lang w:val="en-US"/>
        </w:rPr>
        <w:t>30 May 1990</w:t>
      </w:r>
    </w:p>
    <w:p w14:paraId="6209E4DD" w14:textId="77777777" w:rsidR="003822EB" w:rsidRDefault="003822EB" w:rsidP="003822EB">
      <w:pPr>
        <w:pStyle w:val="FootnoteText"/>
        <w:rPr>
          <w:rFonts w:ascii="Baskerville" w:hAnsi="Baskerville"/>
          <w:sz w:val="20"/>
          <w:szCs w:val="20"/>
          <w:lang w:val="en-US"/>
        </w:rPr>
      </w:pPr>
    </w:p>
    <w:p w14:paraId="309DED8B" w14:textId="77777777" w:rsidR="003822EB" w:rsidRPr="0051339F" w:rsidRDefault="003822EB" w:rsidP="003822EB">
      <w:pPr>
        <w:pStyle w:val="FootnoteText"/>
        <w:rPr>
          <w:rFonts w:ascii="Baskerville" w:hAnsi="Baskerville"/>
          <w:sz w:val="20"/>
          <w:szCs w:val="20"/>
          <w:lang w:val="en-US"/>
        </w:rPr>
      </w:pPr>
      <w:r w:rsidRPr="0051339F">
        <w:rPr>
          <w:rFonts w:ascii="Baskerville" w:hAnsi="Baskerville"/>
          <w:sz w:val="20"/>
          <w:szCs w:val="20"/>
          <w:lang w:val="en-US"/>
        </w:rPr>
        <w:t>Address by Secretary of State Baker</w:t>
      </w:r>
      <w:r>
        <w:rPr>
          <w:rFonts w:ascii="Baskerville" w:hAnsi="Baskerville"/>
          <w:sz w:val="20"/>
          <w:szCs w:val="20"/>
          <w:lang w:val="en-US"/>
        </w:rPr>
        <w:t xml:space="preserve"> J</w:t>
      </w:r>
      <w:r w:rsidRPr="0051339F">
        <w:rPr>
          <w:rFonts w:ascii="Baskerville" w:hAnsi="Baskerville"/>
          <w:sz w:val="20"/>
          <w:szCs w:val="20"/>
          <w:lang w:val="en-US"/>
        </w:rPr>
        <w:t xml:space="preserve">, </w:t>
      </w:r>
      <w:r>
        <w:rPr>
          <w:rFonts w:ascii="Baskerville" w:hAnsi="Baskerville"/>
          <w:sz w:val="20"/>
          <w:szCs w:val="20"/>
          <w:lang w:val="en-US"/>
        </w:rPr>
        <w:t>(</w:t>
      </w:r>
      <w:r w:rsidRPr="0051339F">
        <w:rPr>
          <w:rFonts w:ascii="Baskerville" w:hAnsi="Baskerville"/>
          <w:sz w:val="20"/>
          <w:szCs w:val="20"/>
          <w:lang w:val="en-US"/>
        </w:rPr>
        <w:t>National Governors A</w:t>
      </w:r>
      <w:r>
        <w:rPr>
          <w:rFonts w:ascii="Baskerville" w:hAnsi="Baskerville"/>
          <w:sz w:val="20"/>
          <w:szCs w:val="20"/>
          <w:lang w:val="en-US"/>
        </w:rPr>
        <w:t>ssociation, Washington DC 26</w:t>
      </w:r>
      <w:r>
        <w:rPr>
          <w:rFonts w:ascii="Baskerville" w:hAnsi="Baskerville"/>
          <w:sz w:val="20"/>
          <w:szCs w:val="20"/>
          <w:vertAlign w:val="superscript"/>
          <w:lang w:val="en-US"/>
        </w:rPr>
        <w:t xml:space="preserve"> </w:t>
      </w:r>
      <w:r>
        <w:rPr>
          <w:rFonts w:ascii="Baskerville" w:hAnsi="Baskerville"/>
          <w:sz w:val="20"/>
          <w:szCs w:val="20"/>
          <w:lang w:val="en-US"/>
        </w:rPr>
        <w:t>February 1990)</w:t>
      </w:r>
      <w:r w:rsidRPr="0051339F">
        <w:rPr>
          <w:rFonts w:ascii="Baskerville" w:hAnsi="Baskerville"/>
          <w:sz w:val="20"/>
          <w:szCs w:val="20"/>
          <w:lang w:val="en-US"/>
        </w:rPr>
        <w:t xml:space="preserve"> </w:t>
      </w:r>
    </w:p>
    <w:p w14:paraId="35AEBF9E" w14:textId="77777777" w:rsidR="003822EB" w:rsidRPr="00F761DF" w:rsidRDefault="003822EB" w:rsidP="003822EB">
      <w:pPr>
        <w:rPr>
          <w:rFonts w:ascii="Baskerville" w:hAnsi="Baskerville"/>
          <w:b/>
        </w:rPr>
      </w:pPr>
    </w:p>
    <w:p w14:paraId="0BF9ED3D" w14:textId="77777777" w:rsidR="003822EB" w:rsidRDefault="003822EB" w:rsidP="003822EB">
      <w:pPr>
        <w:pStyle w:val="FootnoteText"/>
        <w:rPr>
          <w:rFonts w:ascii="Baskerville" w:hAnsi="Baskerville"/>
          <w:sz w:val="20"/>
          <w:szCs w:val="20"/>
        </w:rPr>
      </w:pPr>
      <w:r>
        <w:rPr>
          <w:rFonts w:ascii="Baskerville" w:hAnsi="Baskerville"/>
          <w:sz w:val="20"/>
          <w:szCs w:val="20"/>
        </w:rPr>
        <w:t>European Commission</w:t>
      </w:r>
      <w:r w:rsidRPr="00EB54D2">
        <w:rPr>
          <w:rFonts w:ascii="Baskerville" w:hAnsi="Baskerville"/>
          <w:sz w:val="20"/>
          <w:szCs w:val="20"/>
        </w:rPr>
        <w:t xml:space="preserve"> </w:t>
      </w:r>
      <w:r>
        <w:rPr>
          <w:rFonts w:ascii="Baskerville" w:hAnsi="Baskerville"/>
          <w:sz w:val="20"/>
          <w:szCs w:val="20"/>
        </w:rPr>
        <w:t xml:space="preserve">and European Environment Agency </w:t>
      </w:r>
      <w:r w:rsidRPr="00EB54D2">
        <w:rPr>
          <w:rFonts w:ascii="Baskerville" w:hAnsi="Baskerville"/>
          <w:sz w:val="20"/>
          <w:szCs w:val="20"/>
        </w:rPr>
        <w:t>‘Workshop on EU Legislation: Prin</w:t>
      </w:r>
      <w:r>
        <w:rPr>
          <w:rFonts w:ascii="Baskerville" w:hAnsi="Baskerville"/>
          <w:sz w:val="20"/>
          <w:szCs w:val="20"/>
        </w:rPr>
        <w:t>ciples of EU Environmental Law’</w:t>
      </w:r>
      <w:r w:rsidRPr="00EB54D2">
        <w:rPr>
          <w:rFonts w:ascii="Baskerville" w:hAnsi="Baskerville"/>
          <w:i/>
          <w:sz w:val="20"/>
          <w:szCs w:val="20"/>
        </w:rPr>
        <w:t xml:space="preserve"> </w:t>
      </w:r>
      <w:r w:rsidRPr="00EB54D2">
        <w:rPr>
          <w:rFonts w:ascii="Baskerville" w:hAnsi="Baskerville"/>
          <w:sz w:val="20"/>
          <w:szCs w:val="20"/>
        </w:rPr>
        <w:t>(</w:t>
      </w:r>
      <w:r>
        <w:rPr>
          <w:rFonts w:ascii="Baskerville" w:hAnsi="Baskerville"/>
          <w:sz w:val="20"/>
          <w:szCs w:val="20"/>
        </w:rPr>
        <w:t>2012)</w:t>
      </w:r>
    </w:p>
    <w:p w14:paraId="0E0EF2AA" w14:textId="77777777" w:rsidR="003822EB" w:rsidRDefault="003822EB" w:rsidP="003822EB">
      <w:pPr>
        <w:pStyle w:val="FootnoteText"/>
        <w:rPr>
          <w:rFonts w:ascii="Baskerville" w:hAnsi="Baskerville"/>
          <w:sz w:val="20"/>
          <w:szCs w:val="20"/>
        </w:rPr>
      </w:pPr>
    </w:p>
    <w:p w14:paraId="6E800B64" w14:textId="77777777" w:rsidR="003822EB" w:rsidRDefault="003822EB" w:rsidP="003822EB">
      <w:pPr>
        <w:pStyle w:val="FootnoteText"/>
        <w:rPr>
          <w:rFonts w:ascii="Baskerville" w:hAnsi="Baskerville"/>
          <w:sz w:val="20"/>
          <w:szCs w:val="20"/>
        </w:rPr>
      </w:pPr>
      <w:r w:rsidRPr="00E37C9B">
        <w:rPr>
          <w:rFonts w:ascii="Baskerville" w:hAnsi="Baskerville"/>
          <w:sz w:val="20"/>
          <w:szCs w:val="20"/>
          <w:lang w:val="en-US"/>
        </w:rPr>
        <w:t>World Commission on the Ethics of Scientific Knowledge and Technology</w:t>
      </w:r>
      <w:r>
        <w:rPr>
          <w:rFonts w:ascii="Baskerville" w:hAnsi="Baskerville"/>
          <w:sz w:val="20"/>
          <w:szCs w:val="20"/>
          <w:lang w:val="en-US"/>
        </w:rPr>
        <w:t>,</w:t>
      </w:r>
      <w:r w:rsidRPr="00E37C9B">
        <w:rPr>
          <w:rFonts w:ascii="Baskerville" w:hAnsi="Baskerville"/>
          <w:sz w:val="20"/>
          <w:szCs w:val="20"/>
          <w:lang w:val="en-US"/>
        </w:rPr>
        <w:t xml:space="preserve"> </w:t>
      </w:r>
      <w:r>
        <w:rPr>
          <w:rFonts w:ascii="Baskerville" w:hAnsi="Baskerville"/>
          <w:sz w:val="20"/>
          <w:szCs w:val="20"/>
          <w:lang w:val="en-US"/>
        </w:rPr>
        <w:t>‘</w:t>
      </w:r>
      <w:r w:rsidRPr="004B37D7">
        <w:rPr>
          <w:rFonts w:ascii="Baskerville" w:hAnsi="Baskerville"/>
          <w:sz w:val="20"/>
          <w:szCs w:val="20"/>
        </w:rPr>
        <w:t>The Precautionary Principle</w:t>
      </w:r>
      <w:r>
        <w:rPr>
          <w:rFonts w:ascii="Baskerville" w:hAnsi="Baskerville"/>
          <w:sz w:val="20"/>
          <w:szCs w:val="20"/>
        </w:rPr>
        <w:t>’ (</w:t>
      </w:r>
      <w:r w:rsidRPr="00875288">
        <w:rPr>
          <w:rFonts w:ascii="Baskerville" w:hAnsi="Baskerville"/>
          <w:bCs/>
          <w:sz w:val="20"/>
          <w:szCs w:val="20"/>
          <w:lang w:val="en-US"/>
        </w:rPr>
        <w:t>United Nations Educational, Scientific and Cultural Organization</w:t>
      </w:r>
      <w:r w:rsidRPr="00875288">
        <w:rPr>
          <w:rFonts w:ascii="Baskerville" w:hAnsi="Baskerville"/>
          <w:sz w:val="20"/>
          <w:szCs w:val="20"/>
          <w:lang w:val="en-US"/>
        </w:rPr>
        <w:t xml:space="preserve"> (</w:t>
      </w:r>
      <w:r w:rsidRPr="00875288">
        <w:rPr>
          <w:rFonts w:ascii="Baskerville" w:hAnsi="Baskerville"/>
          <w:bCs/>
          <w:sz w:val="20"/>
          <w:szCs w:val="20"/>
          <w:lang w:val="en-US"/>
        </w:rPr>
        <w:t>UNESCO</w:t>
      </w:r>
      <w:r w:rsidRPr="00875288">
        <w:rPr>
          <w:rFonts w:ascii="Baskerville" w:hAnsi="Baskerville"/>
          <w:sz w:val="20"/>
          <w:szCs w:val="20"/>
          <w:lang w:val="en-US"/>
        </w:rPr>
        <w:t>)</w:t>
      </w:r>
      <w:r>
        <w:rPr>
          <w:rFonts w:ascii="Baskerville" w:hAnsi="Baskerville"/>
          <w:sz w:val="20"/>
          <w:szCs w:val="20"/>
        </w:rPr>
        <w:t xml:space="preserve"> 2005)</w:t>
      </w:r>
    </w:p>
    <w:p w14:paraId="4141FEE7" w14:textId="77777777" w:rsidR="003822EB" w:rsidRDefault="003822EB" w:rsidP="003822EB">
      <w:pPr>
        <w:pStyle w:val="FootnoteText"/>
        <w:rPr>
          <w:rFonts w:ascii="Baskerville" w:hAnsi="Baskerville"/>
          <w:sz w:val="20"/>
          <w:szCs w:val="20"/>
        </w:rPr>
      </w:pPr>
    </w:p>
    <w:p w14:paraId="1BDCBC43" w14:textId="77777777" w:rsidR="003822EB" w:rsidRDefault="003822EB" w:rsidP="003822EB">
      <w:pPr>
        <w:pStyle w:val="FootnoteText"/>
        <w:rPr>
          <w:rFonts w:ascii="Baskerville" w:hAnsi="Baskerville"/>
          <w:sz w:val="20"/>
          <w:szCs w:val="20"/>
        </w:rPr>
      </w:pPr>
      <w:r w:rsidRPr="00A24786">
        <w:rPr>
          <w:rFonts w:ascii="Baskerville" w:hAnsi="Baskerville"/>
          <w:sz w:val="20"/>
          <w:szCs w:val="20"/>
          <w:lang w:val="en-US"/>
        </w:rPr>
        <w:t xml:space="preserve">1992 United Nations Conference on Environment and Development. </w:t>
      </w:r>
      <w:r w:rsidRPr="00A24786">
        <w:rPr>
          <w:rFonts w:ascii="Baskerville" w:hAnsi="Baskerville"/>
          <w:i/>
          <w:iCs/>
          <w:sz w:val="20"/>
          <w:szCs w:val="20"/>
          <w:lang w:val="en-US"/>
        </w:rPr>
        <w:t xml:space="preserve">Bergen Conference, Bergen Ministerial Declaration on Sustainable Development in the ECE Region </w:t>
      </w:r>
      <w:r w:rsidRPr="00A24786">
        <w:rPr>
          <w:rFonts w:ascii="Baskerville" w:hAnsi="Baskerville"/>
          <w:sz w:val="20"/>
          <w:szCs w:val="20"/>
          <w:lang w:val="en-US"/>
        </w:rPr>
        <w:t>(16</w:t>
      </w:r>
      <w:r w:rsidRPr="00A24786">
        <w:rPr>
          <w:rFonts w:ascii="Baskerville" w:hAnsi="Baskerville"/>
          <w:sz w:val="20"/>
          <w:szCs w:val="20"/>
          <w:vertAlign w:val="superscript"/>
          <w:lang w:val="en-US"/>
        </w:rPr>
        <w:t xml:space="preserve"> </w:t>
      </w:r>
      <w:r w:rsidRPr="00A24786">
        <w:rPr>
          <w:rFonts w:ascii="Baskerville" w:hAnsi="Baskerville"/>
          <w:sz w:val="20"/>
          <w:szCs w:val="20"/>
          <w:lang w:val="en-US"/>
        </w:rPr>
        <w:t>May 1990)</w:t>
      </w:r>
    </w:p>
    <w:p w14:paraId="7E2F0FBB" w14:textId="77777777" w:rsidR="003822EB" w:rsidRDefault="003822EB" w:rsidP="003822EB">
      <w:pPr>
        <w:pStyle w:val="FootnoteText"/>
        <w:rPr>
          <w:rFonts w:ascii="Baskerville" w:hAnsi="Baskerville"/>
          <w:sz w:val="20"/>
          <w:szCs w:val="20"/>
        </w:rPr>
      </w:pPr>
    </w:p>
    <w:p w14:paraId="6E7B7E61" w14:textId="77777777" w:rsidR="003822EB" w:rsidRDefault="003822EB" w:rsidP="003822EB">
      <w:pPr>
        <w:pStyle w:val="FootnoteText"/>
        <w:rPr>
          <w:rFonts w:ascii="Baskerville" w:hAnsi="Baskerville"/>
          <w:sz w:val="20"/>
          <w:szCs w:val="20"/>
          <w:lang w:val="en-US"/>
        </w:rPr>
      </w:pPr>
      <w:r w:rsidRPr="00C20E53">
        <w:rPr>
          <w:rFonts w:ascii="Baskerville" w:hAnsi="Baskerville"/>
          <w:sz w:val="20"/>
          <w:szCs w:val="20"/>
          <w:lang w:val="en-US"/>
        </w:rPr>
        <w:t>The Government of Norway, in cooperation with the United Nations Economic Commission for Europ</w:t>
      </w:r>
      <w:r>
        <w:rPr>
          <w:rFonts w:ascii="Baskerville" w:hAnsi="Baskerville"/>
          <w:sz w:val="20"/>
          <w:szCs w:val="20"/>
          <w:lang w:val="en-US"/>
        </w:rPr>
        <w:t>e, ‘</w:t>
      </w:r>
      <w:r w:rsidRPr="00C20E53">
        <w:rPr>
          <w:rFonts w:ascii="Baskerville" w:hAnsi="Baskerville"/>
          <w:sz w:val="20"/>
          <w:szCs w:val="20"/>
          <w:lang w:val="en-US"/>
        </w:rPr>
        <w:t>Conference on Action for a Common Future</w:t>
      </w:r>
      <w:r>
        <w:rPr>
          <w:rFonts w:ascii="Baskerville" w:hAnsi="Baskerville"/>
          <w:sz w:val="20"/>
          <w:szCs w:val="20"/>
          <w:lang w:val="en-US"/>
        </w:rPr>
        <w:t>’</w:t>
      </w:r>
      <w:r w:rsidRPr="00C20E53">
        <w:rPr>
          <w:rFonts w:ascii="Baskerville" w:hAnsi="Baskerville"/>
          <w:sz w:val="20"/>
          <w:szCs w:val="20"/>
          <w:lang w:val="en-US"/>
        </w:rPr>
        <w:t xml:space="preserve"> </w:t>
      </w:r>
      <w:r>
        <w:rPr>
          <w:rFonts w:ascii="Baskerville" w:hAnsi="Baskerville"/>
          <w:sz w:val="20"/>
          <w:szCs w:val="20"/>
          <w:lang w:val="en-US"/>
        </w:rPr>
        <w:t>(</w:t>
      </w:r>
      <w:r w:rsidRPr="00C20E53">
        <w:rPr>
          <w:rFonts w:ascii="Baskerville" w:hAnsi="Baskerville"/>
          <w:sz w:val="20"/>
          <w:szCs w:val="20"/>
          <w:lang w:val="en-US"/>
        </w:rPr>
        <w:t>1990)</w:t>
      </w:r>
    </w:p>
    <w:p w14:paraId="12AC3C69" w14:textId="77777777" w:rsidR="003822EB" w:rsidRDefault="003822EB" w:rsidP="003822EB">
      <w:pPr>
        <w:pStyle w:val="FootnoteText"/>
        <w:rPr>
          <w:rFonts w:ascii="Baskerville" w:hAnsi="Baskerville"/>
          <w:sz w:val="20"/>
          <w:szCs w:val="20"/>
          <w:lang w:val="en-US"/>
        </w:rPr>
      </w:pPr>
    </w:p>
    <w:p w14:paraId="749654A5" w14:textId="77777777" w:rsidR="003822EB" w:rsidRDefault="003822EB" w:rsidP="003822EB">
      <w:pPr>
        <w:pStyle w:val="FootnoteText"/>
        <w:rPr>
          <w:rFonts w:ascii="Baskerville" w:hAnsi="Baskerville"/>
          <w:sz w:val="20"/>
          <w:szCs w:val="20"/>
          <w:lang w:val="en-US"/>
        </w:rPr>
      </w:pPr>
      <w:r w:rsidRPr="000225C5">
        <w:rPr>
          <w:rFonts w:ascii="Baskerville" w:hAnsi="Baskerville"/>
          <w:sz w:val="20"/>
          <w:szCs w:val="20"/>
        </w:rPr>
        <w:t>‘Guidelines for Applying the Precautionary Principle to Biodiversity Conservation and Natural Resource Management’</w:t>
      </w:r>
      <w:r w:rsidRPr="000225C5">
        <w:rPr>
          <w:rFonts w:ascii="Baskerville" w:hAnsi="Baskerville"/>
          <w:bCs/>
          <w:iCs/>
          <w:sz w:val="20"/>
          <w:szCs w:val="20"/>
          <w:lang w:val="en-US"/>
        </w:rPr>
        <w:t>, as approved by the 67th meeting of th</w:t>
      </w:r>
      <w:r>
        <w:rPr>
          <w:rFonts w:ascii="Baskerville" w:hAnsi="Baskerville"/>
          <w:bCs/>
          <w:iCs/>
          <w:sz w:val="20"/>
          <w:szCs w:val="20"/>
          <w:lang w:val="en-US"/>
        </w:rPr>
        <w:t>e IUCN Council (14-16 May 2007)</w:t>
      </w:r>
    </w:p>
    <w:p w14:paraId="463A293D" w14:textId="77777777" w:rsidR="003822EB" w:rsidRDefault="003822EB" w:rsidP="003822EB">
      <w:pPr>
        <w:pStyle w:val="FootnoteText"/>
        <w:rPr>
          <w:rFonts w:ascii="Baskerville" w:hAnsi="Baskerville"/>
          <w:sz w:val="20"/>
          <w:szCs w:val="20"/>
          <w:lang w:val="en-US"/>
        </w:rPr>
      </w:pPr>
    </w:p>
    <w:p w14:paraId="404CE732" w14:textId="77777777" w:rsidR="003822EB" w:rsidRPr="00F761DF" w:rsidRDefault="003822EB" w:rsidP="003822EB">
      <w:pPr>
        <w:rPr>
          <w:rFonts w:ascii="Baskerville" w:hAnsi="Baskerville"/>
          <w:b/>
          <w:lang w:val="en-US"/>
        </w:rPr>
      </w:pPr>
      <w:r w:rsidRPr="00F761DF">
        <w:rPr>
          <w:rFonts w:ascii="Baskerville" w:hAnsi="Baskerville"/>
          <w:b/>
          <w:lang w:val="en-US"/>
        </w:rPr>
        <w:t>Websites and blogs</w:t>
      </w:r>
    </w:p>
    <w:p w14:paraId="614E416E" w14:textId="77777777" w:rsidR="003822EB" w:rsidRDefault="003822EB" w:rsidP="003822EB">
      <w:pPr>
        <w:pStyle w:val="FootnoteText"/>
        <w:rPr>
          <w:rFonts w:ascii="Baskerville" w:hAnsi="Baskerville"/>
          <w:b/>
          <w:lang w:val="en-US"/>
        </w:rPr>
      </w:pPr>
    </w:p>
    <w:p w14:paraId="1230F1C1" w14:textId="77777777" w:rsidR="003822EB" w:rsidRDefault="003822EB" w:rsidP="003822EB">
      <w:pPr>
        <w:pStyle w:val="FootnoteText"/>
        <w:rPr>
          <w:rFonts w:ascii="Baskerville" w:hAnsi="Baskerville"/>
          <w:i/>
          <w:sz w:val="20"/>
          <w:szCs w:val="20"/>
          <w:lang w:val="en-US"/>
        </w:rPr>
      </w:pPr>
      <w:r>
        <w:rPr>
          <w:rFonts w:ascii="Baskerville" w:hAnsi="Baskerville"/>
          <w:sz w:val="20"/>
          <w:szCs w:val="20"/>
          <w:lang w:val="en-US"/>
        </w:rPr>
        <w:t>Kruhly M, ‘</w:t>
      </w:r>
      <w:r w:rsidRPr="007C401E">
        <w:rPr>
          <w:rFonts w:ascii="Baskerville" w:hAnsi="Baskerville"/>
          <w:sz w:val="20"/>
          <w:szCs w:val="20"/>
          <w:lang w:val="en-US"/>
        </w:rPr>
        <w:t>From the Archives, 1990: U.S. Deemed a Wastrel of Energy</w:t>
      </w:r>
      <w:r>
        <w:rPr>
          <w:rFonts w:ascii="Baskerville" w:hAnsi="Baskerville"/>
          <w:sz w:val="20"/>
          <w:szCs w:val="20"/>
          <w:lang w:val="en-US"/>
        </w:rPr>
        <w:t>’ (</w:t>
      </w:r>
      <w:r>
        <w:rPr>
          <w:rFonts w:ascii="Baskerville" w:hAnsi="Baskerville"/>
          <w:i/>
          <w:sz w:val="20"/>
          <w:szCs w:val="20"/>
          <w:lang w:val="en-US"/>
        </w:rPr>
        <w:t xml:space="preserve">The New York Times </w:t>
      </w:r>
    </w:p>
    <w:p w14:paraId="7AB735F4" w14:textId="77777777" w:rsidR="003822EB" w:rsidRDefault="003822EB" w:rsidP="003822EB">
      <w:pPr>
        <w:pStyle w:val="FootnoteText"/>
        <w:rPr>
          <w:rFonts w:ascii="Baskerville" w:hAnsi="Baskerville"/>
          <w:sz w:val="20"/>
          <w:szCs w:val="20"/>
          <w:lang w:val="en-US"/>
        </w:rPr>
      </w:pPr>
      <w:r>
        <w:rPr>
          <w:rFonts w:ascii="Baskerville" w:hAnsi="Baskerville"/>
          <w:sz w:val="20"/>
          <w:szCs w:val="20"/>
          <w:lang w:val="en-US"/>
        </w:rPr>
        <w:t>2 December 2015) &lt;</w:t>
      </w:r>
      <w:r w:rsidRPr="001F1A66">
        <w:rPr>
          <w:rFonts w:ascii="Baskerville" w:hAnsi="Baskerville"/>
          <w:sz w:val="20"/>
          <w:szCs w:val="20"/>
          <w:lang w:val="en-US"/>
        </w:rPr>
        <w:t>https://www.nytimes.com/interactive/projects/cp/climate/2015-paris-climate-talks/from-the-archives-1990-us-energy</w:t>
      </w:r>
      <w:r>
        <w:rPr>
          <w:rFonts w:ascii="Baskerville" w:hAnsi="Baskerville"/>
          <w:sz w:val="20"/>
          <w:szCs w:val="20"/>
          <w:lang w:val="en-US"/>
        </w:rPr>
        <w:t>&gt;accessed 18</w:t>
      </w:r>
      <w:r>
        <w:rPr>
          <w:rFonts w:ascii="Baskerville" w:hAnsi="Baskerville"/>
          <w:sz w:val="20"/>
          <w:szCs w:val="20"/>
          <w:vertAlign w:val="superscript"/>
          <w:lang w:val="en-US"/>
        </w:rPr>
        <w:t xml:space="preserve"> </w:t>
      </w:r>
      <w:r>
        <w:rPr>
          <w:rFonts w:ascii="Baskerville" w:hAnsi="Baskerville"/>
          <w:sz w:val="20"/>
          <w:szCs w:val="20"/>
          <w:lang w:val="en-US"/>
        </w:rPr>
        <w:t>January 2017</w:t>
      </w:r>
    </w:p>
    <w:p w14:paraId="619DBE5C" w14:textId="77777777" w:rsidR="003822EB" w:rsidRPr="00EE2244" w:rsidRDefault="003822EB" w:rsidP="003822EB">
      <w:pPr>
        <w:pStyle w:val="FootnoteText"/>
        <w:rPr>
          <w:rFonts w:ascii="Baskerville" w:hAnsi="Baskerville"/>
          <w:b/>
          <w:lang w:val="en-US"/>
        </w:rPr>
      </w:pPr>
    </w:p>
    <w:p w14:paraId="7B9CBED6" w14:textId="77777777" w:rsidR="003822EB" w:rsidRDefault="003822EB" w:rsidP="003822EB">
      <w:pPr>
        <w:pStyle w:val="FootnoteText"/>
        <w:rPr>
          <w:rFonts w:ascii="Baskerville" w:hAnsi="Baskerville"/>
          <w:b/>
        </w:rPr>
      </w:pPr>
      <w:r w:rsidRPr="00F761DF">
        <w:rPr>
          <w:rFonts w:ascii="Baskerville" w:hAnsi="Baskerville"/>
          <w:b/>
        </w:rPr>
        <w:t xml:space="preserve">Papers </w:t>
      </w:r>
    </w:p>
    <w:p w14:paraId="47521BC4" w14:textId="77777777" w:rsidR="003822EB" w:rsidRPr="00F761DF" w:rsidRDefault="003822EB" w:rsidP="003822EB">
      <w:pPr>
        <w:pStyle w:val="FootnoteText"/>
        <w:rPr>
          <w:rFonts w:ascii="Baskerville" w:hAnsi="Baskerville"/>
          <w:b/>
        </w:rPr>
      </w:pPr>
    </w:p>
    <w:p w14:paraId="34000A24" w14:textId="77777777" w:rsidR="003822EB" w:rsidRDefault="003822EB" w:rsidP="003822EB">
      <w:pPr>
        <w:pStyle w:val="FootnoteText"/>
        <w:rPr>
          <w:rFonts w:ascii="Baskerville" w:hAnsi="Baskerville"/>
          <w:sz w:val="20"/>
          <w:szCs w:val="20"/>
          <w:lang w:val="en-US"/>
        </w:rPr>
      </w:pPr>
      <w:r w:rsidRPr="00BE5372">
        <w:rPr>
          <w:rFonts w:ascii="Baskerville" w:hAnsi="Baskerville"/>
          <w:sz w:val="20"/>
          <w:szCs w:val="20"/>
          <w:lang w:val="en-US"/>
        </w:rPr>
        <w:t>Canadian Government Discussion Paper</w:t>
      </w:r>
      <w:r>
        <w:rPr>
          <w:rFonts w:ascii="Baskerville" w:hAnsi="Baskerville"/>
          <w:sz w:val="20"/>
          <w:szCs w:val="20"/>
          <w:lang w:val="en-US"/>
        </w:rPr>
        <w:t xml:space="preserve">, </w:t>
      </w:r>
      <w:r w:rsidRPr="00BE5372">
        <w:rPr>
          <w:rFonts w:ascii="Baskerville" w:hAnsi="Baskerville"/>
          <w:sz w:val="20"/>
          <w:szCs w:val="20"/>
          <w:lang w:val="en-US"/>
        </w:rPr>
        <w:t>‘A Canadian Perspective on the Pre</w:t>
      </w:r>
      <w:r>
        <w:rPr>
          <w:rFonts w:ascii="Baskerville" w:hAnsi="Baskerville"/>
          <w:sz w:val="20"/>
          <w:szCs w:val="20"/>
          <w:lang w:val="en-US"/>
        </w:rPr>
        <w:t xml:space="preserve">cautionary Approach/Principle’ </w:t>
      </w:r>
      <w:r w:rsidRPr="00BE5372">
        <w:rPr>
          <w:rFonts w:ascii="Baskerville" w:hAnsi="Baskerville"/>
          <w:sz w:val="20"/>
          <w:szCs w:val="20"/>
          <w:lang w:val="en-US"/>
        </w:rPr>
        <w:t>(2001)</w:t>
      </w:r>
    </w:p>
    <w:p w14:paraId="0091DC0D" w14:textId="77777777" w:rsidR="003822EB" w:rsidRDefault="003822EB" w:rsidP="003822EB">
      <w:pPr>
        <w:pStyle w:val="FootnoteText"/>
        <w:rPr>
          <w:rFonts w:ascii="Baskerville" w:hAnsi="Baskerville"/>
          <w:sz w:val="20"/>
          <w:szCs w:val="20"/>
          <w:lang w:val="en-US"/>
        </w:rPr>
      </w:pPr>
    </w:p>
    <w:p w14:paraId="76B39172" w14:textId="77777777" w:rsidR="003822EB" w:rsidRPr="0095395D" w:rsidRDefault="003822EB" w:rsidP="003822EB">
      <w:pPr>
        <w:pStyle w:val="FootnoteText"/>
        <w:rPr>
          <w:rFonts w:ascii="Baskerville" w:hAnsi="Baskerville"/>
          <w:sz w:val="20"/>
          <w:szCs w:val="20"/>
          <w:lang w:val="en-US"/>
        </w:rPr>
      </w:pPr>
      <w:r w:rsidRPr="003C26F6">
        <w:rPr>
          <w:rFonts w:ascii="Baskerville" w:hAnsi="Baskerville"/>
          <w:sz w:val="20"/>
          <w:szCs w:val="20"/>
        </w:rPr>
        <w:t xml:space="preserve">R.R. </w:t>
      </w:r>
      <w:r w:rsidRPr="003C26F6">
        <w:rPr>
          <w:rFonts w:ascii="Baskerville" w:hAnsi="Baskerville"/>
          <w:sz w:val="20"/>
          <w:szCs w:val="20"/>
          <w:lang w:val="en-US"/>
        </w:rPr>
        <w:t xml:space="preserve">Churchill &amp; J. Gibson, </w:t>
      </w:r>
      <w:r w:rsidRPr="003C26F6">
        <w:rPr>
          <w:rFonts w:ascii="Baskerville" w:hAnsi="Baskerville"/>
          <w:i/>
          <w:iCs/>
          <w:sz w:val="20"/>
          <w:szCs w:val="20"/>
          <w:lang w:val="en-US"/>
        </w:rPr>
        <w:t xml:space="preserve">The Implementation of the North Sea Declarations by the United Kingdom: An Assessment, </w:t>
      </w:r>
      <w:r w:rsidRPr="003C26F6">
        <w:rPr>
          <w:rFonts w:ascii="Baskerville" w:hAnsi="Baskerville"/>
          <w:sz w:val="20"/>
          <w:szCs w:val="20"/>
          <w:lang w:val="en-US"/>
        </w:rPr>
        <w:t>in Third North Sea Conference: Greenpeace Paper (1990) 17</w:t>
      </w:r>
    </w:p>
    <w:p w14:paraId="61DFC17E" w14:textId="77777777" w:rsidR="003822EB" w:rsidRPr="00F761DF" w:rsidRDefault="003822EB" w:rsidP="003822EB">
      <w:pPr>
        <w:pStyle w:val="FootnoteText"/>
        <w:rPr>
          <w:rFonts w:ascii="Baskerville" w:hAnsi="Baskerville"/>
          <w:lang w:val="en-US"/>
        </w:rPr>
      </w:pPr>
    </w:p>
    <w:p w14:paraId="600EE68C" w14:textId="77777777" w:rsidR="003822EB" w:rsidRDefault="003822EB" w:rsidP="003822EB">
      <w:pPr>
        <w:pStyle w:val="FootnoteText"/>
        <w:rPr>
          <w:rFonts w:ascii="Baskerville" w:hAnsi="Baskerville"/>
          <w:b/>
        </w:rPr>
      </w:pPr>
      <w:r>
        <w:rPr>
          <w:rFonts w:ascii="Baskerville" w:hAnsi="Baskerville"/>
          <w:b/>
        </w:rPr>
        <w:t>Reports</w:t>
      </w:r>
    </w:p>
    <w:p w14:paraId="36AF78A7" w14:textId="77777777" w:rsidR="003822EB" w:rsidRDefault="003822EB" w:rsidP="003822EB">
      <w:pPr>
        <w:pStyle w:val="FootnoteText"/>
        <w:rPr>
          <w:rFonts w:ascii="Baskerville" w:hAnsi="Baskerville"/>
          <w:b/>
        </w:rPr>
      </w:pPr>
    </w:p>
    <w:p w14:paraId="04B478D0" w14:textId="77777777" w:rsidR="003822EB" w:rsidRDefault="003822EB" w:rsidP="003822EB">
      <w:pPr>
        <w:pStyle w:val="FootnoteText"/>
        <w:rPr>
          <w:rFonts w:ascii="Baskerville" w:hAnsi="Baskerville"/>
          <w:sz w:val="20"/>
          <w:szCs w:val="20"/>
          <w:lang w:val="en-US"/>
        </w:rPr>
      </w:pPr>
      <w:r w:rsidRPr="000851BA">
        <w:rPr>
          <w:rFonts w:ascii="Baskerville" w:hAnsi="Baskerville"/>
          <w:i/>
          <w:sz w:val="20"/>
          <w:szCs w:val="20"/>
        </w:rPr>
        <w:t>Appellate Body Report on EC Measures Concerning Meat and Meat Products (Hormones)</w:t>
      </w:r>
      <w:r w:rsidRPr="000851BA">
        <w:rPr>
          <w:rFonts w:ascii="Baskerville" w:hAnsi="Baskerville"/>
          <w:sz w:val="20"/>
          <w:szCs w:val="20"/>
        </w:rPr>
        <w:t xml:space="preserve"> WT/DS48/AB/R, 123 </w:t>
      </w:r>
      <w:r>
        <w:rPr>
          <w:rFonts w:ascii="Baskerville" w:hAnsi="Baskerville"/>
          <w:sz w:val="20"/>
          <w:szCs w:val="20"/>
        </w:rPr>
        <w:t>[1998]</w:t>
      </w:r>
      <w:r>
        <w:rPr>
          <w:rFonts w:ascii="Baskerville" w:hAnsi="Baskerville"/>
          <w:sz w:val="20"/>
          <w:szCs w:val="20"/>
          <w:lang w:val="en-US"/>
        </w:rPr>
        <w:t xml:space="preserve"> ICJ</w:t>
      </w:r>
    </w:p>
    <w:p w14:paraId="1A8B6462" w14:textId="77777777" w:rsidR="003822EB" w:rsidRDefault="003822EB" w:rsidP="003822EB">
      <w:pPr>
        <w:pStyle w:val="FootnoteText"/>
        <w:rPr>
          <w:rFonts w:ascii="Baskerville" w:hAnsi="Baskerville"/>
          <w:sz w:val="20"/>
          <w:szCs w:val="20"/>
          <w:lang w:val="en-US"/>
        </w:rPr>
      </w:pPr>
    </w:p>
    <w:p w14:paraId="7096CC81" w14:textId="77777777" w:rsidR="003822EB" w:rsidRPr="00353ACB" w:rsidRDefault="003822EB" w:rsidP="003822EB">
      <w:pPr>
        <w:pStyle w:val="FootnoteText"/>
        <w:rPr>
          <w:rFonts w:ascii="Baskerville" w:hAnsi="Baskerville"/>
          <w:sz w:val="20"/>
          <w:szCs w:val="20"/>
          <w:lang w:val="en-US"/>
        </w:rPr>
      </w:pPr>
      <w:r w:rsidRPr="003C26F6">
        <w:rPr>
          <w:rFonts w:ascii="Baskerville" w:hAnsi="Baskerville"/>
          <w:i/>
          <w:iCs/>
          <w:sz w:val="20"/>
          <w:szCs w:val="20"/>
          <w:lang w:val="en-US"/>
        </w:rPr>
        <w:t xml:space="preserve">Focus Report, </w:t>
      </w:r>
      <w:r w:rsidRPr="003C26F6">
        <w:rPr>
          <w:rFonts w:ascii="Baskerville" w:hAnsi="Baskerville"/>
          <w:iCs/>
          <w:sz w:val="20"/>
          <w:szCs w:val="20"/>
          <w:lang w:val="en-US"/>
        </w:rPr>
        <w:t>‘Global Environmental Change Rep.’ (25/5/1990)</w:t>
      </w:r>
    </w:p>
    <w:p w14:paraId="643066F3" w14:textId="77777777" w:rsidR="003822EB" w:rsidRPr="00595FB7" w:rsidRDefault="003822EB" w:rsidP="003822EB">
      <w:pPr>
        <w:rPr>
          <w:rFonts w:ascii="Baskerville" w:hAnsi="Baskerville"/>
          <w:b/>
        </w:rPr>
      </w:pPr>
    </w:p>
    <w:p w14:paraId="2FEA5C4F" w14:textId="77777777" w:rsidR="003822EB" w:rsidRDefault="003822EB" w:rsidP="003822EB">
      <w:pPr>
        <w:pStyle w:val="FootnoteText"/>
        <w:rPr>
          <w:rFonts w:ascii="Baskerville" w:hAnsi="Baskerville"/>
          <w:sz w:val="20"/>
          <w:szCs w:val="20"/>
        </w:rPr>
      </w:pPr>
      <w:r w:rsidRPr="00CA7D22">
        <w:rPr>
          <w:rFonts w:ascii="Baskerville" w:hAnsi="Baskerville"/>
          <w:sz w:val="20"/>
          <w:szCs w:val="20"/>
        </w:rPr>
        <w:t xml:space="preserve">Shaw </w:t>
      </w:r>
      <w:r>
        <w:rPr>
          <w:rFonts w:ascii="Baskerville" w:hAnsi="Baskerville"/>
          <w:sz w:val="20"/>
          <w:szCs w:val="20"/>
        </w:rPr>
        <w:t xml:space="preserve">S </w:t>
      </w:r>
      <w:r w:rsidRPr="00CA7D22">
        <w:rPr>
          <w:rFonts w:ascii="Baskerville" w:hAnsi="Baskerville"/>
          <w:sz w:val="20"/>
          <w:szCs w:val="20"/>
        </w:rPr>
        <w:t>and Schwartz</w:t>
      </w:r>
      <w:r>
        <w:rPr>
          <w:rFonts w:ascii="Baskerville" w:hAnsi="Baskerville"/>
          <w:sz w:val="20"/>
          <w:szCs w:val="20"/>
        </w:rPr>
        <w:t xml:space="preserve"> R</w:t>
      </w:r>
      <w:r w:rsidRPr="00CA7D22">
        <w:rPr>
          <w:rFonts w:ascii="Baskerville" w:hAnsi="Baskerville"/>
          <w:sz w:val="20"/>
          <w:szCs w:val="20"/>
        </w:rPr>
        <w:t>, ‘</w:t>
      </w:r>
      <w:r w:rsidRPr="00CA7D22">
        <w:rPr>
          <w:rFonts w:ascii="Baskerville" w:hAnsi="Baskerville"/>
          <w:bCs/>
          <w:sz w:val="20"/>
          <w:szCs w:val="20"/>
        </w:rPr>
        <w:t>Trading Precaution: The Preca</w:t>
      </w:r>
      <w:r>
        <w:rPr>
          <w:rFonts w:ascii="Baskerville" w:hAnsi="Baskerville"/>
          <w:bCs/>
          <w:sz w:val="20"/>
          <w:szCs w:val="20"/>
        </w:rPr>
        <w:t>utionary Principle and the WTO’ (2005)</w:t>
      </w:r>
      <w:r w:rsidRPr="00CA7D22">
        <w:rPr>
          <w:rFonts w:ascii="Baskerville" w:hAnsi="Baskerville"/>
          <w:bCs/>
          <w:sz w:val="20"/>
          <w:szCs w:val="20"/>
        </w:rPr>
        <w:t xml:space="preserve"> </w:t>
      </w:r>
      <w:r>
        <w:rPr>
          <w:rFonts w:ascii="Baskerville" w:hAnsi="Baskerville"/>
          <w:bCs/>
          <w:sz w:val="20"/>
          <w:szCs w:val="20"/>
        </w:rPr>
        <w:t>(</w:t>
      </w:r>
      <w:r w:rsidRPr="00CA7D22">
        <w:rPr>
          <w:rFonts w:ascii="Baskerville" w:hAnsi="Baskerville"/>
          <w:bCs/>
          <w:sz w:val="20"/>
          <w:szCs w:val="20"/>
        </w:rPr>
        <w:t>Unit</w:t>
      </w:r>
      <w:r>
        <w:rPr>
          <w:rFonts w:ascii="Baskerville" w:hAnsi="Baskerville"/>
          <w:bCs/>
          <w:sz w:val="20"/>
          <w:szCs w:val="20"/>
        </w:rPr>
        <w:t>ed Nations University,</w:t>
      </w:r>
      <w:r w:rsidRPr="00CA7D22">
        <w:rPr>
          <w:rFonts w:ascii="Baskerville" w:hAnsi="Baskerville"/>
          <w:bCs/>
          <w:sz w:val="20"/>
          <w:szCs w:val="20"/>
        </w:rPr>
        <w:t xml:space="preserve"> Institute of Advanced Studies Report</w:t>
      </w:r>
      <w:r>
        <w:rPr>
          <w:rFonts w:ascii="Baskerville" w:hAnsi="Baskerville"/>
          <w:sz w:val="20"/>
          <w:szCs w:val="20"/>
        </w:rPr>
        <w:t>)</w:t>
      </w:r>
    </w:p>
    <w:p w14:paraId="4CE408FB" w14:textId="77777777" w:rsidR="003822EB" w:rsidRDefault="003822EB" w:rsidP="003822EB">
      <w:pPr>
        <w:pStyle w:val="FootnoteText"/>
        <w:rPr>
          <w:rFonts w:ascii="Baskerville" w:hAnsi="Baskerville"/>
          <w:sz w:val="20"/>
          <w:szCs w:val="20"/>
        </w:rPr>
      </w:pPr>
    </w:p>
    <w:p w14:paraId="63396D8F" w14:textId="77777777" w:rsidR="003822EB" w:rsidRPr="00CA7D22" w:rsidRDefault="003822EB" w:rsidP="003822EB">
      <w:pPr>
        <w:pStyle w:val="FootnoteText"/>
        <w:rPr>
          <w:rFonts w:ascii="Baskerville" w:hAnsi="Baskerville"/>
          <w:sz w:val="20"/>
          <w:szCs w:val="20"/>
        </w:rPr>
      </w:pPr>
      <w:r w:rsidRPr="00420BC1">
        <w:rPr>
          <w:rFonts w:ascii="Baskerville" w:hAnsi="Baskerville"/>
          <w:sz w:val="20"/>
          <w:szCs w:val="20"/>
        </w:rPr>
        <w:t>Report of the UNCED, UN Doc.A/CONF.151/26 (1992)</w:t>
      </w:r>
    </w:p>
    <w:p w14:paraId="2D2CE1C4" w14:textId="77777777" w:rsidR="003822EB" w:rsidRDefault="003822EB" w:rsidP="003822EB"/>
    <w:p w14:paraId="2DDDD560" w14:textId="77777777" w:rsidR="003822EB" w:rsidRDefault="003822EB" w:rsidP="003822EB">
      <w:pPr>
        <w:rPr>
          <w:rFonts w:ascii="Baskerville" w:hAnsi="Baskerville"/>
          <w:b/>
        </w:rPr>
      </w:pPr>
      <w:r w:rsidRPr="00420BC1">
        <w:rPr>
          <w:rFonts w:ascii="Baskerville" w:hAnsi="Baskerville"/>
          <w:b/>
        </w:rPr>
        <w:t>Protocols</w:t>
      </w:r>
    </w:p>
    <w:p w14:paraId="324F8E0E" w14:textId="77777777" w:rsidR="003822EB" w:rsidRDefault="003822EB" w:rsidP="003822EB">
      <w:pPr>
        <w:rPr>
          <w:rFonts w:ascii="Baskerville" w:hAnsi="Baskerville"/>
          <w:b/>
        </w:rPr>
      </w:pPr>
    </w:p>
    <w:p w14:paraId="3109822F" w14:textId="77777777" w:rsidR="003822EB" w:rsidRPr="00420BC1" w:rsidRDefault="003822EB" w:rsidP="003822EB">
      <w:pPr>
        <w:rPr>
          <w:rFonts w:ascii="Baskerville" w:hAnsi="Baskerville"/>
          <w:sz w:val="20"/>
          <w:szCs w:val="20"/>
          <w:lang w:val="en-US"/>
        </w:rPr>
      </w:pPr>
      <w:r w:rsidRPr="00420BC1">
        <w:rPr>
          <w:rFonts w:ascii="Baskerville" w:hAnsi="Baskerville"/>
          <w:sz w:val="20"/>
          <w:szCs w:val="20"/>
        </w:rPr>
        <w:t xml:space="preserve">Cartagena Protocol on Biosafety to the Convention on Biodiversity, </w:t>
      </w:r>
      <w:r w:rsidRPr="00420BC1">
        <w:rPr>
          <w:rFonts w:ascii="Baskerville" w:hAnsi="Baskerville"/>
          <w:sz w:val="20"/>
          <w:szCs w:val="20"/>
          <w:lang w:val="en-US"/>
        </w:rPr>
        <w:t>2226 U.N.T.S. 208; 39 ILM 1027</w:t>
      </w:r>
      <w:r>
        <w:rPr>
          <w:rFonts w:ascii="Baskerville" w:hAnsi="Baskerville"/>
          <w:sz w:val="20"/>
          <w:szCs w:val="20"/>
          <w:lang w:val="en-US"/>
        </w:rPr>
        <w:t xml:space="preserve"> </w:t>
      </w:r>
      <w:r w:rsidRPr="005A1558">
        <w:rPr>
          <w:rFonts w:ascii="Baskerville" w:hAnsi="Baskerville"/>
          <w:sz w:val="20"/>
          <w:szCs w:val="20"/>
          <w:lang w:val="en-US"/>
        </w:rPr>
        <w:t>(2000); UN Doc. UNEP/CBD/ExCOP/1/3 (2000)</w:t>
      </w:r>
    </w:p>
    <w:p w14:paraId="1D691EA3" w14:textId="77777777" w:rsidR="001E0934" w:rsidRDefault="001E0934" w:rsidP="001E0934">
      <w:pPr>
        <w:pStyle w:val="FootnoteText"/>
        <w:rPr>
          <w:rFonts w:ascii="Baskerville" w:hAnsi="Baskerville"/>
          <w:b/>
        </w:rPr>
      </w:pPr>
    </w:p>
    <w:p w14:paraId="1300D0B4" w14:textId="77777777" w:rsidR="001E0934" w:rsidRPr="00595FB7" w:rsidRDefault="001E0934">
      <w:pPr>
        <w:rPr>
          <w:rFonts w:ascii="Baskerville" w:hAnsi="Baskerville"/>
          <w:b/>
        </w:rPr>
      </w:pPr>
    </w:p>
    <w:sectPr w:rsidR="001E0934" w:rsidRPr="00595FB7" w:rsidSect="00013AF3">
      <w:headerReference w:type="default" r:id="rId8"/>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C631A0" w14:textId="77777777" w:rsidR="00747095" w:rsidRDefault="00747095" w:rsidP="00AD4199">
      <w:r>
        <w:separator/>
      </w:r>
    </w:p>
  </w:endnote>
  <w:endnote w:type="continuationSeparator" w:id="0">
    <w:p w14:paraId="62F26FC4" w14:textId="77777777" w:rsidR="00747095" w:rsidRDefault="00747095" w:rsidP="00AD41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Baskerville">
    <w:panose1 w:val="02020502070401020303"/>
    <w:charset w:val="00"/>
    <w:family w:val="auto"/>
    <w:pitch w:val="variable"/>
    <w:sig w:usb0="80000067" w:usb1="00000000"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82B29E" w14:textId="77777777" w:rsidR="00747095" w:rsidRDefault="00747095" w:rsidP="006E40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71D423A" w14:textId="77777777" w:rsidR="00747095" w:rsidRDefault="0074709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B861BB" w14:textId="77777777" w:rsidR="00747095" w:rsidRPr="001763F8" w:rsidRDefault="00747095" w:rsidP="006E40C9">
    <w:pPr>
      <w:pStyle w:val="Footer"/>
      <w:framePr w:wrap="around" w:vAnchor="text" w:hAnchor="margin" w:xAlign="center" w:y="1"/>
      <w:rPr>
        <w:rStyle w:val="PageNumber"/>
        <w:rFonts w:ascii="Baskerville" w:hAnsi="Baskerville"/>
      </w:rPr>
    </w:pPr>
    <w:r w:rsidRPr="001763F8">
      <w:rPr>
        <w:rStyle w:val="PageNumber"/>
        <w:rFonts w:ascii="Baskerville" w:hAnsi="Baskerville"/>
      </w:rPr>
      <w:fldChar w:fldCharType="begin"/>
    </w:r>
    <w:r w:rsidRPr="001763F8">
      <w:rPr>
        <w:rStyle w:val="PageNumber"/>
        <w:rFonts w:ascii="Baskerville" w:hAnsi="Baskerville"/>
      </w:rPr>
      <w:instrText xml:space="preserve">PAGE  </w:instrText>
    </w:r>
    <w:r w:rsidRPr="001763F8">
      <w:rPr>
        <w:rStyle w:val="PageNumber"/>
        <w:rFonts w:ascii="Baskerville" w:hAnsi="Baskerville"/>
      </w:rPr>
      <w:fldChar w:fldCharType="separate"/>
    </w:r>
    <w:r w:rsidR="00604665">
      <w:rPr>
        <w:rStyle w:val="PageNumber"/>
        <w:rFonts w:ascii="Baskerville" w:hAnsi="Baskerville"/>
        <w:noProof/>
      </w:rPr>
      <w:t>1</w:t>
    </w:r>
    <w:r w:rsidRPr="001763F8">
      <w:rPr>
        <w:rStyle w:val="PageNumber"/>
        <w:rFonts w:ascii="Baskerville" w:hAnsi="Baskerville"/>
      </w:rPr>
      <w:fldChar w:fldCharType="end"/>
    </w:r>
  </w:p>
  <w:p w14:paraId="0B111DFE" w14:textId="77777777" w:rsidR="00747095" w:rsidRDefault="0074709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059342" w14:textId="77777777" w:rsidR="00747095" w:rsidRDefault="00747095" w:rsidP="00AD4199">
      <w:r>
        <w:separator/>
      </w:r>
    </w:p>
  </w:footnote>
  <w:footnote w:type="continuationSeparator" w:id="0">
    <w:p w14:paraId="3D0852BD" w14:textId="77777777" w:rsidR="00747095" w:rsidRDefault="00747095" w:rsidP="00AD4199">
      <w:r>
        <w:continuationSeparator/>
      </w:r>
    </w:p>
  </w:footnote>
  <w:footnote w:id="1">
    <w:p w14:paraId="117F8640" w14:textId="77777777" w:rsidR="00747095" w:rsidRPr="00CA7D22" w:rsidRDefault="00747095" w:rsidP="00F932E5">
      <w:pPr>
        <w:pStyle w:val="FootnoteText"/>
        <w:rPr>
          <w:rFonts w:ascii="Baskerville" w:hAnsi="Baskerville"/>
          <w:sz w:val="20"/>
          <w:szCs w:val="20"/>
        </w:rPr>
      </w:pPr>
      <w:r w:rsidRPr="00CA7D22">
        <w:rPr>
          <w:rStyle w:val="FootnoteReference"/>
          <w:rFonts w:ascii="Baskerville" w:hAnsi="Baskerville"/>
          <w:sz w:val="20"/>
          <w:szCs w:val="20"/>
        </w:rPr>
        <w:footnoteRef/>
      </w:r>
      <w:r w:rsidRPr="00CA7D22">
        <w:rPr>
          <w:rFonts w:ascii="Baskerville" w:hAnsi="Baskerville"/>
          <w:sz w:val="20"/>
          <w:szCs w:val="20"/>
        </w:rPr>
        <w:t xml:space="preserve"> </w:t>
      </w:r>
      <w:r w:rsidRPr="00CA7D22">
        <w:rPr>
          <w:rFonts w:ascii="Baskerville" w:hAnsi="Baskerville"/>
          <w:bCs/>
          <w:sz w:val="20"/>
          <w:szCs w:val="20"/>
          <w:lang w:val="en-US"/>
        </w:rPr>
        <w:t xml:space="preserve">Iron Rhine Arbitration, </w:t>
      </w:r>
      <w:r w:rsidRPr="00CA7D22">
        <w:rPr>
          <w:rFonts w:ascii="Baskerville" w:hAnsi="Baskerville"/>
          <w:bCs/>
          <w:i/>
          <w:sz w:val="20"/>
          <w:szCs w:val="20"/>
          <w:lang w:val="en-US"/>
        </w:rPr>
        <w:t>Belgium</w:t>
      </w:r>
      <w:r w:rsidRPr="00CA7D22">
        <w:rPr>
          <w:rFonts w:ascii="Baskerville" w:hAnsi="Baskerville"/>
          <w:bCs/>
          <w:sz w:val="20"/>
          <w:szCs w:val="20"/>
          <w:lang w:val="en-US"/>
        </w:rPr>
        <w:t xml:space="preserve"> v </w:t>
      </w:r>
      <w:r w:rsidRPr="00CA7D22">
        <w:rPr>
          <w:rFonts w:ascii="Baskerville" w:hAnsi="Baskerville"/>
          <w:bCs/>
          <w:i/>
          <w:sz w:val="20"/>
          <w:szCs w:val="20"/>
          <w:lang w:val="en-US"/>
        </w:rPr>
        <w:t>Netherlands</w:t>
      </w:r>
      <w:r w:rsidRPr="00CA7D22">
        <w:rPr>
          <w:rFonts w:ascii="Baskerville" w:hAnsi="Baskerville"/>
          <w:bCs/>
          <w:sz w:val="20"/>
          <w:szCs w:val="20"/>
          <w:lang w:val="en-US"/>
        </w:rPr>
        <w:t>, Award, ICGJ 373 (PCA 2005), 24th May 2005, Permanent Court of Arbitration [PCA].</w:t>
      </w:r>
    </w:p>
  </w:footnote>
  <w:footnote w:id="2">
    <w:p w14:paraId="191C35F2" w14:textId="33A5DE04" w:rsidR="00747095" w:rsidRPr="00956EC3" w:rsidRDefault="00747095">
      <w:pPr>
        <w:pStyle w:val="FootnoteText"/>
        <w:rPr>
          <w:rFonts w:ascii="Baskerville" w:hAnsi="Baskerville"/>
          <w:b/>
          <w:bCs/>
          <w:sz w:val="20"/>
          <w:szCs w:val="20"/>
          <w:lang w:val="en-US"/>
        </w:rPr>
      </w:pPr>
      <w:r w:rsidRPr="00CA7D22">
        <w:rPr>
          <w:rStyle w:val="FootnoteReference"/>
          <w:rFonts w:ascii="Baskerville" w:hAnsi="Baskerville"/>
          <w:sz w:val="20"/>
          <w:szCs w:val="20"/>
        </w:rPr>
        <w:footnoteRef/>
      </w:r>
      <w:r w:rsidRPr="00CA7D22">
        <w:rPr>
          <w:rFonts w:ascii="Baskerville" w:hAnsi="Baskerville"/>
          <w:sz w:val="20"/>
          <w:szCs w:val="20"/>
        </w:rPr>
        <w:t xml:space="preserve"> </w:t>
      </w:r>
      <w:r w:rsidRPr="00E372AF">
        <w:rPr>
          <w:rFonts w:ascii="Baskerville" w:hAnsi="Baskerville"/>
          <w:bCs/>
          <w:sz w:val="20"/>
          <w:szCs w:val="20"/>
          <w:lang w:val="en-US"/>
        </w:rPr>
        <w:t>M. F. Rogers, J. A. Sinden</w:t>
      </w:r>
      <w:r w:rsidRPr="00E372AF">
        <w:rPr>
          <w:rFonts w:ascii="Baskerville" w:hAnsi="Baskerville"/>
          <w:sz w:val="20"/>
          <w:szCs w:val="20"/>
          <w:lang w:val="en-US"/>
        </w:rPr>
        <w:t xml:space="preserve"> </w:t>
      </w:r>
      <w:r w:rsidRPr="00E372AF">
        <w:rPr>
          <w:rFonts w:ascii="Baskerville" w:hAnsi="Baskerville"/>
          <w:bCs/>
          <w:sz w:val="20"/>
          <w:szCs w:val="20"/>
          <w:lang w:val="en-US"/>
        </w:rPr>
        <w:t>and T. De Lacy,</w:t>
      </w:r>
      <w:r>
        <w:rPr>
          <w:rFonts w:ascii="Baskerville" w:hAnsi="Baskerville"/>
          <w:bCs/>
          <w:sz w:val="20"/>
          <w:szCs w:val="20"/>
          <w:lang w:val="en-US"/>
        </w:rPr>
        <w:t xml:space="preserve"> ‘</w:t>
      </w:r>
      <w:r w:rsidRPr="00956EC3">
        <w:rPr>
          <w:rFonts w:ascii="Baskerville" w:hAnsi="Baskerville"/>
          <w:bCs/>
          <w:sz w:val="20"/>
          <w:szCs w:val="20"/>
          <w:lang w:val="en-US"/>
        </w:rPr>
        <w:t>The Precautionary Principle for Environmental Management: A Defensive-expenditure Application</w:t>
      </w:r>
      <w:r>
        <w:rPr>
          <w:rFonts w:ascii="Baskerville" w:hAnsi="Baskerville"/>
          <w:bCs/>
          <w:sz w:val="20"/>
          <w:szCs w:val="20"/>
          <w:lang w:val="en-US"/>
        </w:rPr>
        <w:t>’</w:t>
      </w:r>
      <w:r w:rsidRPr="00956EC3">
        <w:rPr>
          <w:rFonts w:ascii="Baskerville" w:hAnsi="Baskerville"/>
          <w:bCs/>
          <w:sz w:val="20"/>
          <w:szCs w:val="20"/>
          <w:lang w:val="en-US"/>
        </w:rPr>
        <w:t xml:space="preserve">, </w:t>
      </w:r>
      <w:r w:rsidRPr="00956EC3">
        <w:rPr>
          <w:rFonts w:ascii="Baskerville" w:hAnsi="Baskerville"/>
          <w:bCs/>
          <w:i/>
          <w:iCs/>
          <w:sz w:val="20"/>
          <w:szCs w:val="20"/>
          <w:lang w:val="en-US"/>
        </w:rPr>
        <w:t xml:space="preserve">Journal of Environmental Management </w:t>
      </w:r>
      <w:r w:rsidRPr="00956EC3">
        <w:rPr>
          <w:rFonts w:ascii="Baskerville" w:hAnsi="Baskerville"/>
          <w:bCs/>
          <w:sz w:val="20"/>
          <w:szCs w:val="20"/>
          <w:lang w:val="en-US"/>
        </w:rPr>
        <w:t>(1997) 51</w:t>
      </w:r>
      <w:r>
        <w:rPr>
          <w:rFonts w:ascii="Baskerville" w:hAnsi="Baskerville"/>
          <w:bCs/>
          <w:sz w:val="20"/>
          <w:szCs w:val="20"/>
          <w:lang w:val="en-US"/>
        </w:rPr>
        <w:t>, pp. 343-</w:t>
      </w:r>
      <w:r w:rsidRPr="00956EC3">
        <w:rPr>
          <w:rFonts w:ascii="Baskerville" w:hAnsi="Baskerville"/>
          <w:bCs/>
          <w:sz w:val="20"/>
          <w:szCs w:val="20"/>
          <w:lang w:val="en-US"/>
        </w:rPr>
        <w:t>360.</w:t>
      </w:r>
    </w:p>
  </w:footnote>
  <w:footnote w:id="3">
    <w:p w14:paraId="4138880D" w14:textId="24BAE404" w:rsidR="00747095" w:rsidRPr="00E4061D" w:rsidRDefault="00747095">
      <w:pPr>
        <w:pStyle w:val="FootnoteText"/>
        <w:rPr>
          <w:rFonts w:ascii="Baskerville" w:hAnsi="Baskerville"/>
          <w:sz w:val="20"/>
          <w:szCs w:val="20"/>
          <w:lang w:val="en-US"/>
        </w:rPr>
      </w:pPr>
      <w:r w:rsidRPr="00E4061D">
        <w:rPr>
          <w:rStyle w:val="FootnoteReference"/>
          <w:rFonts w:ascii="Baskerville" w:hAnsi="Baskerville"/>
          <w:sz w:val="20"/>
          <w:szCs w:val="20"/>
        </w:rPr>
        <w:footnoteRef/>
      </w:r>
      <w:r w:rsidRPr="00E4061D">
        <w:rPr>
          <w:rFonts w:ascii="Baskerville" w:hAnsi="Baskerville"/>
          <w:sz w:val="20"/>
          <w:szCs w:val="20"/>
        </w:rPr>
        <w:t xml:space="preserve"> </w:t>
      </w:r>
      <w:r>
        <w:rPr>
          <w:rFonts w:ascii="Baskerville" w:hAnsi="Baskerville"/>
          <w:sz w:val="20"/>
          <w:szCs w:val="20"/>
        </w:rPr>
        <w:t xml:space="preserve">The Stockholm Declaration </w:t>
      </w:r>
      <w:r w:rsidRPr="00E4061D">
        <w:rPr>
          <w:rFonts w:ascii="Baskerville" w:hAnsi="Baskerville"/>
          <w:sz w:val="20"/>
          <w:szCs w:val="20"/>
          <w:lang w:val="en-US"/>
        </w:rPr>
        <w:t>of the United Nations Conference on the Human Environment</w:t>
      </w:r>
      <w:r>
        <w:rPr>
          <w:rFonts w:ascii="Baskerville" w:hAnsi="Baskerville"/>
          <w:sz w:val="20"/>
          <w:szCs w:val="20"/>
        </w:rPr>
        <w:t xml:space="preserve">, </w:t>
      </w:r>
      <w:r w:rsidRPr="00E4061D">
        <w:rPr>
          <w:rFonts w:ascii="Baskerville" w:hAnsi="Baskerville"/>
          <w:sz w:val="20"/>
          <w:szCs w:val="20"/>
          <w:lang w:val="en-US"/>
        </w:rPr>
        <w:t>U.N. Doc. A/Conf.48/14/Rev. 1(1973); 11 ILM 1416 (1972)</w:t>
      </w:r>
      <w:r>
        <w:rPr>
          <w:rFonts w:ascii="Baskerville" w:hAnsi="Baskerville"/>
          <w:sz w:val="20"/>
          <w:szCs w:val="20"/>
          <w:lang w:val="en-US"/>
        </w:rPr>
        <w:t>.</w:t>
      </w:r>
    </w:p>
  </w:footnote>
  <w:footnote w:id="4">
    <w:p w14:paraId="26F8729B" w14:textId="1D3DCA7E" w:rsidR="00747095" w:rsidRPr="00174893" w:rsidRDefault="00747095">
      <w:pPr>
        <w:pStyle w:val="FootnoteText"/>
        <w:rPr>
          <w:rFonts w:ascii="Baskerville" w:hAnsi="Baskerville"/>
          <w:sz w:val="20"/>
          <w:szCs w:val="20"/>
          <w:lang w:val="en-US"/>
        </w:rPr>
      </w:pPr>
      <w:r w:rsidRPr="00174893">
        <w:rPr>
          <w:rStyle w:val="FootnoteReference"/>
          <w:rFonts w:ascii="Baskerville" w:hAnsi="Baskerville"/>
          <w:sz w:val="20"/>
          <w:szCs w:val="20"/>
        </w:rPr>
        <w:footnoteRef/>
      </w:r>
      <w:r w:rsidRPr="00174893">
        <w:rPr>
          <w:rFonts w:ascii="Baskerville" w:hAnsi="Baskerville"/>
          <w:sz w:val="20"/>
          <w:szCs w:val="20"/>
        </w:rPr>
        <w:t xml:space="preserve"> </w:t>
      </w:r>
      <w:r>
        <w:rPr>
          <w:rFonts w:ascii="Baskerville" w:hAnsi="Baskerville"/>
          <w:sz w:val="20"/>
          <w:szCs w:val="20"/>
          <w:lang w:val="en-US"/>
        </w:rPr>
        <w:t xml:space="preserve">The </w:t>
      </w:r>
      <w:r w:rsidRPr="00A67B03">
        <w:rPr>
          <w:rFonts w:ascii="Baskerville" w:hAnsi="Baskerville"/>
          <w:sz w:val="20"/>
          <w:szCs w:val="20"/>
          <w:lang w:val="en-US"/>
        </w:rPr>
        <w:t>Rio Declaration on Environment an</w:t>
      </w:r>
      <w:r>
        <w:rPr>
          <w:rFonts w:ascii="Baskerville" w:hAnsi="Baskerville"/>
          <w:sz w:val="20"/>
          <w:szCs w:val="20"/>
          <w:lang w:val="en-US"/>
        </w:rPr>
        <w:t>d Development</w:t>
      </w:r>
      <w:r w:rsidRPr="00174893">
        <w:rPr>
          <w:rFonts w:ascii="Baskerville" w:hAnsi="Baskerville"/>
          <w:sz w:val="20"/>
          <w:szCs w:val="20"/>
        </w:rPr>
        <w:t xml:space="preserve">, </w:t>
      </w:r>
      <w:r>
        <w:rPr>
          <w:rFonts w:ascii="Baskerville" w:hAnsi="Baskerville"/>
          <w:sz w:val="20"/>
          <w:szCs w:val="20"/>
          <w:lang w:val="en-US"/>
        </w:rPr>
        <w:t>UN Doc. A/CONF.151/26 (vol. I)/</w:t>
      </w:r>
      <w:r w:rsidRPr="00174893">
        <w:rPr>
          <w:rFonts w:ascii="Baskerville" w:hAnsi="Baskerville"/>
          <w:sz w:val="20"/>
          <w:szCs w:val="20"/>
          <w:lang w:val="en-US"/>
        </w:rPr>
        <w:t>31 ILM 874 (1992)</w:t>
      </w:r>
      <w:r w:rsidRPr="00174893">
        <w:rPr>
          <w:rFonts w:ascii="Baskerville" w:hAnsi="Baskerville"/>
          <w:sz w:val="20"/>
          <w:szCs w:val="20"/>
        </w:rPr>
        <w:t>, Principle 15</w:t>
      </w:r>
      <w:r>
        <w:rPr>
          <w:rFonts w:ascii="Baskerville" w:hAnsi="Baskerville"/>
          <w:sz w:val="20"/>
          <w:szCs w:val="20"/>
        </w:rPr>
        <w:t xml:space="preserve">. </w:t>
      </w:r>
    </w:p>
  </w:footnote>
  <w:footnote w:id="5">
    <w:p w14:paraId="4EEAB2A2" w14:textId="3F8F7B4A" w:rsidR="00747095" w:rsidRPr="00534DA3" w:rsidRDefault="00747095">
      <w:pPr>
        <w:pStyle w:val="FootnoteText"/>
        <w:rPr>
          <w:rFonts w:ascii="Baskerville" w:hAnsi="Baskerville"/>
          <w:sz w:val="20"/>
          <w:szCs w:val="20"/>
          <w:lang w:val="en-US"/>
        </w:rPr>
      </w:pPr>
      <w:r w:rsidRPr="00534DA3">
        <w:rPr>
          <w:rStyle w:val="FootnoteReference"/>
          <w:rFonts w:ascii="Baskerville" w:hAnsi="Baskerville"/>
          <w:sz w:val="20"/>
          <w:szCs w:val="20"/>
        </w:rPr>
        <w:footnoteRef/>
      </w:r>
      <w:r w:rsidRPr="00534DA3">
        <w:rPr>
          <w:rFonts w:ascii="Baskerville" w:hAnsi="Baskerville"/>
          <w:sz w:val="20"/>
          <w:szCs w:val="20"/>
        </w:rPr>
        <w:t xml:space="preserve"> </w:t>
      </w:r>
      <w:r>
        <w:rPr>
          <w:rFonts w:ascii="Baskerville" w:hAnsi="Baskerville"/>
          <w:sz w:val="20"/>
          <w:szCs w:val="20"/>
        </w:rPr>
        <w:t xml:space="preserve">United Nations Framework Convention on Climate Change, </w:t>
      </w:r>
      <w:r w:rsidRPr="004E52EA">
        <w:rPr>
          <w:rFonts w:ascii="Baskerville" w:hAnsi="Baskerville"/>
          <w:sz w:val="20"/>
          <w:szCs w:val="20"/>
          <w:lang w:val="en-US"/>
        </w:rPr>
        <w:t>1771 UNTS 107; S. Treaty Doc No. 102-38; U.N. Doc. A/AC.237/18 (Part II)/Add.1; 31 ILM 849 (1992)</w:t>
      </w:r>
      <w:r>
        <w:rPr>
          <w:rFonts w:ascii="Baskerville" w:hAnsi="Baskerville"/>
          <w:sz w:val="20"/>
          <w:szCs w:val="20"/>
          <w:lang w:val="en-US"/>
        </w:rPr>
        <w:t>.</w:t>
      </w:r>
    </w:p>
  </w:footnote>
  <w:footnote w:id="6">
    <w:p w14:paraId="76314C20" w14:textId="1F241A35" w:rsidR="00747095" w:rsidRPr="00CA7D22" w:rsidRDefault="00747095">
      <w:pPr>
        <w:pStyle w:val="FootnoteText"/>
        <w:rPr>
          <w:rFonts w:ascii="Baskerville" w:hAnsi="Baskerville"/>
          <w:sz w:val="20"/>
          <w:szCs w:val="20"/>
        </w:rPr>
      </w:pPr>
      <w:r w:rsidRPr="00CA7D22">
        <w:rPr>
          <w:rStyle w:val="FootnoteReference"/>
          <w:rFonts w:ascii="Baskerville" w:hAnsi="Baskerville"/>
          <w:sz w:val="20"/>
          <w:szCs w:val="20"/>
        </w:rPr>
        <w:footnoteRef/>
      </w:r>
      <w:r w:rsidRPr="00CA7D22">
        <w:rPr>
          <w:rFonts w:ascii="Baskerville" w:hAnsi="Baskerville"/>
          <w:sz w:val="20"/>
          <w:szCs w:val="20"/>
        </w:rPr>
        <w:t xml:space="preserve"> C. Smith (ed.), ‘T</w:t>
      </w:r>
      <w:r w:rsidRPr="00CA7D22">
        <w:rPr>
          <w:rFonts w:ascii="Baskerville" w:hAnsi="Baskerville"/>
          <w:bCs/>
          <w:sz w:val="20"/>
          <w:szCs w:val="20"/>
        </w:rPr>
        <w:t>he Precautionary Principle and Environmental Policy: Science, Uncertainty, and Sustainability’,</w:t>
      </w:r>
      <w:r w:rsidRPr="00CA7D22">
        <w:rPr>
          <w:rFonts w:ascii="Baskerville" w:hAnsi="Baskerville"/>
          <w:bCs/>
          <w:i/>
          <w:sz w:val="20"/>
          <w:szCs w:val="20"/>
        </w:rPr>
        <w:t xml:space="preserve"> </w:t>
      </w:r>
      <w:r w:rsidRPr="00CA7D22">
        <w:rPr>
          <w:rFonts w:ascii="Baskerville" w:hAnsi="Baskerville"/>
          <w:bCs/>
          <w:i/>
          <w:sz w:val="20"/>
          <w:szCs w:val="20"/>
          <w:lang w:val="en-US"/>
        </w:rPr>
        <w:t>International Journal of Occupational and Environmental Health</w:t>
      </w:r>
      <w:r w:rsidRPr="00CA7D22">
        <w:rPr>
          <w:rFonts w:ascii="Baskerville" w:hAnsi="Baskerville"/>
          <w:bCs/>
          <w:sz w:val="20"/>
          <w:szCs w:val="20"/>
          <w:lang w:val="en-US"/>
        </w:rPr>
        <w:t xml:space="preserve"> (2000) 6(4)</w:t>
      </w:r>
      <w:r w:rsidRPr="00CA7D22">
        <w:rPr>
          <w:rFonts w:ascii="Baskerville" w:hAnsi="Baskerville"/>
          <w:sz w:val="20"/>
          <w:szCs w:val="20"/>
        </w:rPr>
        <w:t>, p 263.</w:t>
      </w:r>
    </w:p>
  </w:footnote>
  <w:footnote w:id="7">
    <w:p w14:paraId="671FFF9F" w14:textId="4FB9E3A2" w:rsidR="00747095" w:rsidRPr="007E0BDE" w:rsidRDefault="00747095">
      <w:pPr>
        <w:pStyle w:val="FootnoteText"/>
        <w:rPr>
          <w:rFonts w:ascii="Baskerville" w:hAnsi="Baskerville"/>
          <w:sz w:val="20"/>
          <w:szCs w:val="20"/>
          <w:lang w:val="en-US"/>
        </w:rPr>
      </w:pPr>
      <w:r w:rsidRPr="007E0BDE">
        <w:rPr>
          <w:rStyle w:val="FootnoteReference"/>
          <w:rFonts w:ascii="Baskerville" w:hAnsi="Baskerville"/>
          <w:sz w:val="20"/>
          <w:szCs w:val="20"/>
        </w:rPr>
        <w:footnoteRef/>
      </w:r>
      <w:r w:rsidRPr="007E0BDE">
        <w:rPr>
          <w:rFonts w:ascii="Baskerville" w:hAnsi="Baskerville"/>
          <w:sz w:val="20"/>
          <w:szCs w:val="20"/>
        </w:rPr>
        <w:t xml:space="preserve"> </w:t>
      </w:r>
      <w:r w:rsidRPr="005D4032">
        <w:rPr>
          <w:rFonts w:ascii="Baskerville" w:hAnsi="Baskerville"/>
          <w:sz w:val="20"/>
          <w:szCs w:val="20"/>
          <w:lang w:val="en-US"/>
        </w:rPr>
        <w:t>M</w:t>
      </w:r>
      <w:r>
        <w:rPr>
          <w:rFonts w:ascii="Baskerville" w:hAnsi="Baskerville"/>
          <w:sz w:val="20"/>
          <w:szCs w:val="20"/>
          <w:lang w:val="en-US"/>
        </w:rPr>
        <w:t xml:space="preserve">. Martuzzi and J. A. Tickner, </w:t>
      </w:r>
      <w:r>
        <w:rPr>
          <w:rFonts w:ascii="Baskerville" w:hAnsi="Baskerville"/>
          <w:sz w:val="20"/>
          <w:szCs w:val="20"/>
        </w:rPr>
        <w:t>‘</w:t>
      </w:r>
      <w:r w:rsidRPr="007E0BDE">
        <w:rPr>
          <w:rFonts w:ascii="Baskerville" w:hAnsi="Baskerville"/>
          <w:sz w:val="20"/>
          <w:szCs w:val="20"/>
          <w:lang w:val="en-US"/>
        </w:rPr>
        <w:t xml:space="preserve">The precautionary principle: protecting public health, the environment </w:t>
      </w:r>
      <w:r>
        <w:rPr>
          <w:rFonts w:ascii="Baskerville" w:hAnsi="Baskerville"/>
          <w:sz w:val="20"/>
          <w:szCs w:val="20"/>
          <w:lang w:val="en-US"/>
        </w:rPr>
        <w:t>and the future of our children’ (</w:t>
      </w:r>
      <w:r w:rsidRPr="00295EBD">
        <w:rPr>
          <w:rFonts w:ascii="Baskerville" w:hAnsi="Baskerville"/>
          <w:bCs/>
          <w:sz w:val="20"/>
          <w:szCs w:val="20"/>
          <w:lang w:val="en-US"/>
        </w:rPr>
        <w:t>World Health Organization 2004)</w:t>
      </w:r>
      <w:r w:rsidRPr="00295EBD">
        <w:rPr>
          <w:rFonts w:ascii="Baskerville" w:hAnsi="Baskerville"/>
          <w:sz w:val="20"/>
          <w:szCs w:val="20"/>
        </w:rPr>
        <w:t>,</w:t>
      </w:r>
      <w:r>
        <w:rPr>
          <w:rFonts w:ascii="Baskerville" w:hAnsi="Baskerville"/>
          <w:sz w:val="20"/>
          <w:szCs w:val="20"/>
        </w:rPr>
        <w:t xml:space="preserve"> p 36.</w:t>
      </w:r>
    </w:p>
  </w:footnote>
  <w:footnote w:id="8">
    <w:p w14:paraId="29AE8442" w14:textId="77777777" w:rsidR="00747095" w:rsidRPr="0008163A" w:rsidRDefault="00747095" w:rsidP="00B353CB">
      <w:pPr>
        <w:pStyle w:val="FootnoteText"/>
        <w:rPr>
          <w:rFonts w:ascii="Baskerville" w:hAnsi="Baskerville"/>
          <w:sz w:val="20"/>
          <w:szCs w:val="20"/>
          <w:lang w:val="en-US"/>
        </w:rPr>
      </w:pPr>
      <w:r w:rsidRPr="0008163A">
        <w:rPr>
          <w:rStyle w:val="FootnoteReference"/>
          <w:rFonts w:ascii="Baskerville" w:hAnsi="Baskerville"/>
          <w:sz w:val="20"/>
          <w:szCs w:val="20"/>
        </w:rPr>
        <w:footnoteRef/>
      </w:r>
      <w:r w:rsidRPr="0008163A">
        <w:rPr>
          <w:rFonts w:ascii="Baskerville" w:hAnsi="Baskerville"/>
          <w:sz w:val="20"/>
          <w:szCs w:val="20"/>
        </w:rPr>
        <w:t xml:space="preserve"> ‘Guidelines for Applying the Precautionary Principle to Biodiversity Conservation and Natural Resource Management’</w:t>
      </w:r>
      <w:r w:rsidRPr="0008163A">
        <w:rPr>
          <w:rFonts w:ascii="Baskerville" w:hAnsi="Baskerville"/>
          <w:bCs/>
          <w:iCs/>
          <w:sz w:val="20"/>
          <w:szCs w:val="20"/>
          <w:lang w:val="en-US"/>
        </w:rPr>
        <w:t xml:space="preserve">, as approved by the 67th meeting of the IUCN Council (14-16 May 2007), p 2. </w:t>
      </w:r>
    </w:p>
  </w:footnote>
  <w:footnote w:id="9">
    <w:p w14:paraId="1E975DFE" w14:textId="2E89E47C" w:rsidR="00747095" w:rsidRPr="00B353CB" w:rsidRDefault="00747095">
      <w:pPr>
        <w:pStyle w:val="FootnoteText"/>
        <w:rPr>
          <w:rFonts w:ascii="Baskerville" w:hAnsi="Baskerville"/>
          <w:sz w:val="20"/>
          <w:szCs w:val="20"/>
          <w:lang w:val="en-US"/>
        </w:rPr>
      </w:pPr>
      <w:r w:rsidRPr="00B353CB">
        <w:rPr>
          <w:rStyle w:val="FootnoteReference"/>
          <w:rFonts w:ascii="Baskerville" w:hAnsi="Baskerville"/>
          <w:sz w:val="20"/>
          <w:szCs w:val="20"/>
        </w:rPr>
        <w:footnoteRef/>
      </w:r>
      <w:r w:rsidRPr="00B353CB">
        <w:rPr>
          <w:rFonts w:ascii="Baskerville" w:hAnsi="Baskerville"/>
          <w:sz w:val="20"/>
          <w:szCs w:val="20"/>
        </w:rPr>
        <w:t xml:space="preserve"> </w:t>
      </w:r>
      <w:r>
        <w:rPr>
          <w:rFonts w:ascii="Baskerville" w:hAnsi="Baskerville"/>
          <w:sz w:val="20"/>
          <w:szCs w:val="20"/>
        </w:rPr>
        <w:t>Ibid.</w:t>
      </w:r>
    </w:p>
  </w:footnote>
  <w:footnote w:id="10">
    <w:p w14:paraId="3478BF9D" w14:textId="7DB614D3" w:rsidR="00747095" w:rsidRPr="00EF7020" w:rsidRDefault="00747095">
      <w:pPr>
        <w:pStyle w:val="FootnoteText"/>
        <w:rPr>
          <w:rFonts w:ascii="Baskerville" w:hAnsi="Baskerville"/>
          <w:color w:val="FF0000"/>
          <w:sz w:val="20"/>
          <w:szCs w:val="20"/>
          <w:lang w:val="en-US"/>
        </w:rPr>
      </w:pPr>
      <w:r w:rsidRPr="00B25C42">
        <w:rPr>
          <w:rStyle w:val="FootnoteReference"/>
          <w:rFonts w:ascii="Baskerville" w:hAnsi="Baskerville"/>
          <w:sz w:val="20"/>
          <w:szCs w:val="20"/>
        </w:rPr>
        <w:footnoteRef/>
      </w:r>
      <w:r w:rsidRPr="00B25C42">
        <w:rPr>
          <w:rFonts w:ascii="Baskerville" w:hAnsi="Baskerville"/>
          <w:sz w:val="20"/>
          <w:szCs w:val="20"/>
        </w:rPr>
        <w:t xml:space="preserve"> </w:t>
      </w:r>
      <w:r w:rsidRPr="00B25C42">
        <w:rPr>
          <w:rFonts w:ascii="Baskerville" w:hAnsi="Baskerville"/>
          <w:sz w:val="20"/>
          <w:szCs w:val="20"/>
          <w:lang w:val="en-US"/>
        </w:rPr>
        <w:t>On the basis of a review of official documents and the related academic literature, the relevant types of harms include</w:t>
      </w:r>
      <w:r>
        <w:rPr>
          <w:rFonts w:ascii="Baskerville" w:hAnsi="Baskerville"/>
          <w:sz w:val="20"/>
          <w:szCs w:val="20"/>
          <w:lang w:val="en-US"/>
        </w:rPr>
        <w:t>:</w:t>
      </w:r>
      <w:r w:rsidRPr="00B25C42">
        <w:rPr>
          <w:rFonts w:ascii="Baskerville" w:hAnsi="Baskerville"/>
          <w:sz w:val="20"/>
          <w:szCs w:val="20"/>
          <w:lang w:val="en-US"/>
        </w:rPr>
        <w:t xml:space="preserve"> (i) environmental damage, e.g. loss of biodiversity; (ii) human deaths and health hazards such as increased allergies; and (iii) harm to other sentient beings. Other kinds of risks such as economic ones − if </w:t>
      </w:r>
      <w:r>
        <w:rPr>
          <w:rFonts w:ascii="Baskerville" w:hAnsi="Baskerville"/>
          <w:sz w:val="20"/>
          <w:szCs w:val="20"/>
          <w:lang w:val="en-US"/>
        </w:rPr>
        <w:t>acknowledged</w:t>
      </w:r>
      <w:r w:rsidRPr="00B25C42">
        <w:rPr>
          <w:rFonts w:ascii="Baskerville" w:hAnsi="Baskerville"/>
          <w:sz w:val="20"/>
          <w:szCs w:val="20"/>
          <w:lang w:val="en-US"/>
        </w:rPr>
        <w:t xml:space="preserve"> at all (see </w:t>
      </w:r>
      <w:r>
        <w:rPr>
          <w:rFonts w:ascii="Baskerville" w:hAnsi="Baskerville"/>
          <w:sz w:val="20"/>
          <w:szCs w:val="20"/>
          <w:lang w:val="en-US"/>
        </w:rPr>
        <w:t>A</w:t>
      </w:r>
      <w:r w:rsidRPr="00EF7020">
        <w:rPr>
          <w:rFonts w:ascii="Baskerville" w:hAnsi="Baskerville"/>
          <w:sz w:val="20"/>
          <w:szCs w:val="20"/>
          <w:lang w:val="en-US"/>
        </w:rPr>
        <w:t xml:space="preserve">. Nollkaemper ‘“What You Risk Reveals What You Value” and Other Dilemmas Encountered in the Legal Assaults on Risks’ in D. Freestone &amp; E. Hey (eds.), </w:t>
      </w:r>
      <w:r w:rsidRPr="00EF7020">
        <w:rPr>
          <w:rFonts w:ascii="Baskerville" w:hAnsi="Baskerville"/>
          <w:i/>
          <w:iCs/>
          <w:sz w:val="20"/>
          <w:szCs w:val="20"/>
          <w:lang w:val="en-US"/>
        </w:rPr>
        <w:t>The Precautionary Principle and International Law: The Challenge of Implementation</w:t>
      </w:r>
      <w:r w:rsidRPr="00EF7020">
        <w:rPr>
          <w:rFonts w:ascii="Baskerville" w:hAnsi="Baskerville"/>
          <w:sz w:val="20"/>
          <w:szCs w:val="20"/>
          <w:lang w:val="en-US"/>
        </w:rPr>
        <w:t xml:space="preserve"> (</w:t>
      </w:r>
      <w:r>
        <w:rPr>
          <w:rFonts w:ascii="Baskerville" w:hAnsi="Baskerville"/>
          <w:sz w:val="20"/>
          <w:szCs w:val="20"/>
          <w:lang w:val="en-US"/>
        </w:rPr>
        <w:t xml:space="preserve">The </w:t>
      </w:r>
      <w:r w:rsidRPr="00EF7020">
        <w:rPr>
          <w:rFonts w:ascii="Baskerville" w:hAnsi="Baskerville"/>
          <w:sz w:val="20"/>
          <w:szCs w:val="20"/>
          <w:lang w:val="en-US"/>
        </w:rPr>
        <w:t xml:space="preserve">Hague: Kluwer Law International 1996) </w:t>
      </w:r>
      <w:r w:rsidRPr="00B25C42">
        <w:rPr>
          <w:rFonts w:ascii="Baskerville" w:hAnsi="Baskerville"/>
          <w:sz w:val="20"/>
          <w:szCs w:val="20"/>
          <w:lang w:val="en-US"/>
        </w:rPr>
        <w:t xml:space="preserve">− are considered at most indirectly. </w:t>
      </w:r>
    </w:p>
  </w:footnote>
  <w:footnote w:id="11">
    <w:p w14:paraId="76D7B1FC" w14:textId="6C85113C" w:rsidR="00747095" w:rsidRPr="008C6557" w:rsidRDefault="00747095" w:rsidP="008C6557">
      <w:pPr>
        <w:pStyle w:val="FootnoteText"/>
        <w:rPr>
          <w:rFonts w:ascii="Baskerville" w:hAnsi="Baskerville"/>
          <w:bCs/>
          <w:color w:val="FF0000"/>
          <w:sz w:val="20"/>
          <w:szCs w:val="20"/>
        </w:rPr>
      </w:pPr>
      <w:r w:rsidRPr="00344324">
        <w:rPr>
          <w:rStyle w:val="FootnoteReference"/>
          <w:rFonts w:ascii="Baskerville" w:hAnsi="Baskerville"/>
          <w:sz w:val="20"/>
          <w:szCs w:val="20"/>
        </w:rPr>
        <w:footnoteRef/>
      </w:r>
      <w:r w:rsidRPr="00344324">
        <w:rPr>
          <w:rFonts w:ascii="Baskerville" w:hAnsi="Baskerville"/>
          <w:sz w:val="20"/>
          <w:szCs w:val="20"/>
        </w:rPr>
        <w:t xml:space="preserve"> </w:t>
      </w:r>
      <w:r>
        <w:rPr>
          <w:rFonts w:ascii="Baskerville" w:hAnsi="Baskerville"/>
          <w:sz w:val="20"/>
          <w:szCs w:val="20"/>
          <w:lang w:val="en-US"/>
        </w:rPr>
        <w:t>M. Ahteensuu</w:t>
      </w:r>
      <w:r>
        <w:rPr>
          <w:rFonts w:ascii="Baskerville" w:hAnsi="Baskerville"/>
          <w:sz w:val="20"/>
          <w:szCs w:val="20"/>
        </w:rPr>
        <w:t>, ‘</w:t>
      </w:r>
      <w:r w:rsidRPr="00276D56">
        <w:rPr>
          <w:rFonts w:ascii="Baskerville" w:hAnsi="Baskerville"/>
          <w:bCs/>
          <w:sz w:val="20"/>
          <w:szCs w:val="20"/>
          <w:lang w:val="en-US"/>
        </w:rPr>
        <w:t>Rationale for Taking Precautions: Normative Choices and Commitments in the Implementation of the Precautionary Principle</w:t>
      </w:r>
      <w:r>
        <w:rPr>
          <w:rFonts w:ascii="Baskerville" w:hAnsi="Baskerville"/>
          <w:bCs/>
          <w:sz w:val="20"/>
          <w:szCs w:val="20"/>
          <w:lang w:val="en-US"/>
        </w:rPr>
        <w:t>’, (</w:t>
      </w:r>
      <w:r w:rsidRPr="008C6557">
        <w:rPr>
          <w:rFonts w:ascii="Baskerville" w:hAnsi="Baskerville"/>
          <w:bCs/>
          <w:iCs/>
          <w:sz w:val="20"/>
          <w:szCs w:val="20"/>
        </w:rPr>
        <w:t xml:space="preserve">University of Turku: </w:t>
      </w:r>
      <w:r w:rsidRPr="008C6557">
        <w:rPr>
          <w:rFonts w:ascii="Baskerville" w:hAnsi="Baskerville"/>
          <w:bCs/>
          <w:sz w:val="20"/>
          <w:szCs w:val="20"/>
        </w:rPr>
        <w:t xml:space="preserve">TRAMES 2007), 11(61/56), 4, </w:t>
      </w:r>
      <w:r>
        <w:rPr>
          <w:rFonts w:ascii="Baskerville" w:hAnsi="Baskerville"/>
          <w:bCs/>
          <w:sz w:val="20"/>
          <w:szCs w:val="20"/>
        </w:rPr>
        <w:t>pp. 367</w:t>
      </w:r>
      <w:r w:rsidRPr="008C6557">
        <w:rPr>
          <w:rFonts w:ascii="Baskerville" w:hAnsi="Baskerville"/>
          <w:sz w:val="20"/>
          <w:szCs w:val="20"/>
        </w:rPr>
        <w:t>.</w:t>
      </w:r>
    </w:p>
  </w:footnote>
  <w:footnote w:id="12">
    <w:p w14:paraId="163E4960" w14:textId="39069D16" w:rsidR="00747095" w:rsidRPr="003D0DDF" w:rsidRDefault="00747095">
      <w:pPr>
        <w:pStyle w:val="FootnoteText"/>
        <w:rPr>
          <w:rFonts w:ascii="Baskerville" w:hAnsi="Baskerville"/>
          <w:sz w:val="20"/>
          <w:szCs w:val="20"/>
          <w:lang w:val="en-US"/>
        </w:rPr>
      </w:pPr>
      <w:r w:rsidRPr="003D0DDF">
        <w:rPr>
          <w:rStyle w:val="FootnoteReference"/>
          <w:rFonts w:ascii="Baskerville" w:hAnsi="Baskerville"/>
          <w:sz w:val="20"/>
          <w:szCs w:val="20"/>
        </w:rPr>
        <w:footnoteRef/>
      </w:r>
      <w:r w:rsidRPr="003D0DDF">
        <w:rPr>
          <w:rFonts w:ascii="Baskerville" w:hAnsi="Baskerville"/>
          <w:sz w:val="20"/>
          <w:szCs w:val="20"/>
        </w:rPr>
        <w:t xml:space="preserve"> </w:t>
      </w:r>
      <w:r>
        <w:rPr>
          <w:rFonts w:ascii="Baskerville" w:hAnsi="Baskerville"/>
          <w:sz w:val="20"/>
          <w:szCs w:val="20"/>
        </w:rPr>
        <w:t>Ibid, p 368.</w:t>
      </w:r>
    </w:p>
  </w:footnote>
  <w:footnote w:id="13">
    <w:p w14:paraId="583497E3" w14:textId="7840E3A1" w:rsidR="00747095" w:rsidRPr="006F15A0" w:rsidRDefault="00747095" w:rsidP="00446FF6">
      <w:pPr>
        <w:pStyle w:val="FootnoteText"/>
        <w:rPr>
          <w:rFonts w:ascii="Baskerville" w:hAnsi="Baskerville"/>
          <w:sz w:val="20"/>
          <w:szCs w:val="20"/>
          <w:lang w:val="en-US"/>
        </w:rPr>
      </w:pPr>
      <w:r w:rsidRPr="006F15A0">
        <w:rPr>
          <w:rStyle w:val="FootnoteReference"/>
          <w:rFonts w:ascii="Baskerville" w:hAnsi="Baskerville"/>
          <w:sz w:val="20"/>
          <w:szCs w:val="20"/>
        </w:rPr>
        <w:footnoteRef/>
      </w:r>
      <w:r w:rsidRPr="006F15A0">
        <w:rPr>
          <w:rFonts w:ascii="Baskerville" w:hAnsi="Baskerville"/>
          <w:sz w:val="20"/>
          <w:szCs w:val="20"/>
        </w:rPr>
        <w:t xml:space="preserve"> E. </w:t>
      </w:r>
      <w:r w:rsidRPr="006F15A0">
        <w:rPr>
          <w:rFonts w:ascii="Baskerville" w:hAnsi="Baskerville"/>
          <w:sz w:val="20"/>
          <w:szCs w:val="20"/>
          <w:lang w:val="en-US"/>
        </w:rPr>
        <w:t xml:space="preserve">Soule, ‘Assessing the Precautionary Principle in the Regulation of Genetically Modified Organisms’, </w:t>
      </w:r>
      <w:r w:rsidRPr="006F15A0">
        <w:rPr>
          <w:rFonts w:ascii="Baskerville" w:hAnsi="Baskerville"/>
          <w:i/>
          <w:iCs/>
          <w:sz w:val="20"/>
          <w:szCs w:val="20"/>
          <w:lang w:val="en-US"/>
        </w:rPr>
        <w:t>International Journal of Biotechnology</w:t>
      </w:r>
      <w:r w:rsidRPr="006F15A0">
        <w:rPr>
          <w:rFonts w:ascii="Baskerville" w:hAnsi="Baskerville"/>
          <w:sz w:val="20"/>
          <w:szCs w:val="20"/>
          <w:lang w:val="en-US"/>
        </w:rPr>
        <w:t xml:space="preserve"> (2002) 4 (1), p 21. </w:t>
      </w:r>
    </w:p>
  </w:footnote>
  <w:footnote w:id="14">
    <w:p w14:paraId="1A287AA9" w14:textId="1E38816C" w:rsidR="00747095" w:rsidRPr="007B71DC" w:rsidRDefault="00747095">
      <w:pPr>
        <w:pStyle w:val="FootnoteText"/>
        <w:rPr>
          <w:rFonts w:ascii="Baskerville" w:hAnsi="Baskerville"/>
          <w:sz w:val="20"/>
          <w:szCs w:val="20"/>
          <w:lang w:val="en-US"/>
        </w:rPr>
      </w:pPr>
      <w:r w:rsidRPr="007B71DC">
        <w:rPr>
          <w:rStyle w:val="FootnoteReference"/>
          <w:rFonts w:ascii="Baskerville" w:hAnsi="Baskerville"/>
          <w:sz w:val="20"/>
          <w:szCs w:val="20"/>
        </w:rPr>
        <w:footnoteRef/>
      </w:r>
      <w:r w:rsidRPr="007B71DC">
        <w:rPr>
          <w:rFonts w:ascii="Baskerville" w:hAnsi="Baskerville"/>
          <w:sz w:val="20"/>
          <w:szCs w:val="20"/>
        </w:rPr>
        <w:t xml:space="preserve"> </w:t>
      </w:r>
      <w:r>
        <w:rPr>
          <w:rFonts w:ascii="Baskerville" w:hAnsi="Baskerville"/>
          <w:sz w:val="20"/>
          <w:szCs w:val="20"/>
        </w:rPr>
        <w:t>Ibid.</w:t>
      </w:r>
    </w:p>
  </w:footnote>
  <w:footnote w:id="15">
    <w:p w14:paraId="56B1D7A5" w14:textId="777F4DD8" w:rsidR="00747095" w:rsidRPr="00B748AB" w:rsidRDefault="00747095">
      <w:pPr>
        <w:pStyle w:val="FootnoteText"/>
        <w:rPr>
          <w:rFonts w:ascii="Baskerville" w:hAnsi="Baskerville"/>
          <w:sz w:val="20"/>
          <w:szCs w:val="20"/>
          <w:lang w:val="en-US"/>
        </w:rPr>
      </w:pPr>
      <w:r w:rsidRPr="00B748AB">
        <w:rPr>
          <w:rStyle w:val="FootnoteReference"/>
          <w:rFonts w:ascii="Baskerville" w:hAnsi="Baskerville"/>
          <w:sz w:val="20"/>
          <w:szCs w:val="20"/>
        </w:rPr>
        <w:footnoteRef/>
      </w:r>
      <w:r w:rsidRPr="00B748AB">
        <w:rPr>
          <w:rFonts w:ascii="Baskerville" w:hAnsi="Baskerville"/>
          <w:sz w:val="20"/>
          <w:szCs w:val="20"/>
        </w:rPr>
        <w:t xml:space="preserve"> Ahteensuu (n 11), p 368.</w:t>
      </w:r>
    </w:p>
  </w:footnote>
  <w:footnote w:id="16">
    <w:p w14:paraId="6444F389" w14:textId="6B6D75C8" w:rsidR="00747095" w:rsidRPr="006E2460" w:rsidRDefault="00747095" w:rsidP="00294766">
      <w:pPr>
        <w:pStyle w:val="FootnoteText"/>
        <w:rPr>
          <w:rFonts w:ascii="Baskerville" w:hAnsi="Baskerville"/>
          <w:color w:val="FF0000"/>
          <w:sz w:val="20"/>
          <w:szCs w:val="20"/>
          <w:lang w:val="en-US"/>
        </w:rPr>
      </w:pPr>
      <w:r w:rsidRPr="0060598F">
        <w:rPr>
          <w:rStyle w:val="FootnoteReference"/>
          <w:rFonts w:ascii="Baskerville" w:hAnsi="Baskerville"/>
          <w:sz w:val="20"/>
          <w:szCs w:val="20"/>
        </w:rPr>
        <w:footnoteRef/>
      </w:r>
      <w:r w:rsidRPr="0060598F">
        <w:rPr>
          <w:rFonts w:ascii="Baskerville" w:hAnsi="Baskerville"/>
          <w:sz w:val="20"/>
          <w:szCs w:val="20"/>
        </w:rPr>
        <w:t xml:space="preserve"> </w:t>
      </w:r>
      <w:r>
        <w:rPr>
          <w:rFonts w:ascii="Baskerville" w:hAnsi="Baskerville"/>
          <w:sz w:val="20"/>
          <w:szCs w:val="20"/>
          <w:lang w:val="en-US"/>
        </w:rPr>
        <w:t>For</w:t>
      </w:r>
      <w:r w:rsidRPr="0060598F">
        <w:rPr>
          <w:rFonts w:ascii="Baskerville" w:hAnsi="Baskerville"/>
          <w:sz w:val="20"/>
          <w:szCs w:val="20"/>
          <w:lang w:val="en-US"/>
        </w:rPr>
        <w:t xml:space="preserve"> an example of precautionary risk assessment methodologies, see </w:t>
      </w:r>
      <w:r w:rsidRPr="00EB5276">
        <w:rPr>
          <w:rFonts w:ascii="Baskerville" w:hAnsi="Baskerville"/>
          <w:sz w:val="20"/>
          <w:szCs w:val="20"/>
          <w:lang w:val="en-US"/>
        </w:rPr>
        <w:t xml:space="preserve">J. A. Tickner, ‘Precautionary Assessment: A Framework for Integrating Science, Uncertainty, and Preventative Policy’ in J. Tickner (ed.), </w:t>
      </w:r>
      <w:r w:rsidRPr="00EB5276">
        <w:rPr>
          <w:rFonts w:ascii="Baskerville" w:hAnsi="Baskerville"/>
          <w:i/>
          <w:iCs/>
          <w:sz w:val="20"/>
          <w:szCs w:val="20"/>
          <w:lang w:val="en-US"/>
        </w:rPr>
        <w:t>Precaution, Environmental Science, and Preventive Public Policy</w:t>
      </w:r>
      <w:r w:rsidRPr="00EB5276">
        <w:rPr>
          <w:rFonts w:ascii="Baskerville" w:hAnsi="Baskerville"/>
          <w:sz w:val="20"/>
          <w:szCs w:val="20"/>
          <w:lang w:val="en-US"/>
        </w:rPr>
        <w:t xml:space="preserve"> (Washington DC: Island Press 2003). </w:t>
      </w:r>
      <w:r w:rsidRPr="0060598F">
        <w:rPr>
          <w:rFonts w:ascii="Baskerville" w:hAnsi="Baskerville"/>
          <w:sz w:val="20"/>
          <w:szCs w:val="20"/>
          <w:lang w:val="en-US"/>
        </w:rPr>
        <w:t xml:space="preserve">For an analysis of the implemented (narrow and broad) precautionary policies within the European Union, see </w:t>
      </w:r>
      <w:r>
        <w:rPr>
          <w:rFonts w:ascii="Baskerville" w:hAnsi="Baskerville"/>
          <w:sz w:val="20"/>
          <w:szCs w:val="20"/>
          <w:lang w:val="en-US"/>
        </w:rPr>
        <w:t>L. Levidow, S. Carr</w:t>
      </w:r>
      <w:r w:rsidRPr="00294766">
        <w:rPr>
          <w:rFonts w:ascii="Baskerville" w:hAnsi="Baskerville"/>
          <w:sz w:val="20"/>
          <w:szCs w:val="20"/>
          <w:lang w:val="en-US"/>
        </w:rPr>
        <w:t xml:space="preserve">, &amp; </w:t>
      </w:r>
      <w:r>
        <w:rPr>
          <w:rFonts w:ascii="Baskerville" w:hAnsi="Baskerville"/>
          <w:sz w:val="20"/>
          <w:szCs w:val="20"/>
          <w:lang w:val="en-US"/>
        </w:rPr>
        <w:t>D. Wield, ‘</w:t>
      </w:r>
      <w:r w:rsidRPr="00294766">
        <w:rPr>
          <w:rFonts w:ascii="Baskerville" w:hAnsi="Baskerville"/>
          <w:sz w:val="20"/>
          <w:szCs w:val="20"/>
          <w:lang w:val="en-US"/>
        </w:rPr>
        <w:t>European Union Regulation of Agri-Biotechnology: Precautionary Links betwee</w:t>
      </w:r>
      <w:r>
        <w:rPr>
          <w:rFonts w:ascii="Baskerville" w:hAnsi="Baskerville"/>
          <w:sz w:val="20"/>
          <w:szCs w:val="20"/>
          <w:lang w:val="en-US"/>
        </w:rPr>
        <w:t>n Science, Expertise and Policy’,</w:t>
      </w:r>
      <w:r w:rsidRPr="00294766">
        <w:rPr>
          <w:rFonts w:ascii="Baskerville" w:hAnsi="Baskerville"/>
          <w:sz w:val="20"/>
          <w:szCs w:val="20"/>
          <w:lang w:val="en-US"/>
        </w:rPr>
        <w:t xml:space="preserve"> </w:t>
      </w:r>
      <w:r w:rsidRPr="00294766">
        <w:rPr>
          <w:rFonts w:ascii="Baskerville" w:hAnsi="Baskerville"/>
          <w:i/>
          <w:iCs/>
          <w:sz w:val="20"/>
          <w:szCs w:val="20"/>
          <w:lang w:val="en-US"/>
        </w:rPr>
        <w:t>Science and Public Policy</w:t>
      </w:r>
      <w:r>
        <w:rPr>
          <w:rFonts w:ascii="Baskerville" w:hAnsi="Baskerville"/>
          <w:sz w:val="20"/>
          <w:szCs w:val="20"/>
          <w:lang w:val="en-US"/>
        </w:rPr>
        <w:t xml:space="preserve"> (2005) </w:t>
      </w:r>
      <w:r w:rsidRPr="00294766">
        <w:rPr>
          <w:rFonts w:ascii="Baskerville" w:hAnsi="Baskerville"/>
          <w:sz w:val="20"/>
          <w:szCs w:val="20"/>
          <w:lang w:val="en-US"/>
        </w:rPr>
        <w:t>32 (4)</w:t>
      </w:r>
      <w:r>
        <w:rPr>
          <w:rFonts w:ascii="Baskerville" w:hAnsi="Baskerville"/>
          <w:sz w:val="20"/>
          <w:szCs w:val="20"/>
          <w:lang w:val="en-US"/>
        </w:rPr>
        <w:t>.</w:t>
      </w:r>
    </w:p>
  </w:footnote>
  <w:footnote w:id="17">
    <w:p w14:paraId="7AA1AA3E" w14:textId="75CD10F9" w:rsidR="00747095" w:rsidRPr="00B748AB" w:rsidRDefault="00747095">
      <w:pPr>
        <w:pStyle w:val="FootnoteText"/>
        <w:rPr>
          <w:rFonts w:ascii="Baskerville" w:hAnsi="Baskerville"/>
          <w:sz w:val="20"/>
          <w:szCs w:val="20"/>
          <w:lang w:val="en-US"/>
        </w:rPr>
      </w:pPr>
      <w:r w:rsidRPr="00B748AB">
        <w:rPr>
          <w:rStyle w:val="FootnoteReference"/>
          <w:rFonts w:ascii="Baskerville" w:hAnsi="Baskerville"/>
          <w:sz w:val="20"/>
          <w:szCs w:val="20"/>
        </w:rPr>
        <w:footnoteRef/>
      </w:r>
      <w:r w:rsidRPr="00B748AB">
        <w:rPr>
          <w:rFonts w:ascii="Baskerville" w:hAnsi="Baskerville"/>
          <w:sz w:val="20"/>
          <w:szCs w:val="20"/>
        </w:rPr>
        <w:t xml:space="preserve"> Soule (n 13), p 21.</w:t>
      </w:r>
    </w:p>
  </w:footnote>
  <w:footnote w:id="18">
    <w:p w14:paraId="3E4483BF" w14:textId="73AE64BB" w:rsidR="00747095" w:rsidRPr="00B748AB" w:rsidRDefault="00747095">
      <w:pPr>
        <w:pStyle w:val="FootnoteText"/>
        <w:rPr>
          <w:rFonts w:ascii="Baskerville" w:hAnsi="Baskerville"/>
          <w:sz w:val="20"/>
          <w:szCs w:val="20"/>
          <w:lang w:val="en-US"/>
        </w:rPr>
      </w:pPr>
      <w:r w:rsidRPr="00B748AB">
        <w:rPr>
          <w:rStyle w:val="FootnoteReference"/>
          <w:rFonts w:ascii="Baskerville" w:hAnsi="Baskerville"/>
          <w:sz w:val="20"/>
          <w:szCs w:val="20"/>
        </w:rPr>
        <w:footnoteRef/>
      </w:r>
      <w:r w:rsidRPr="00B748AB">
        <w:rPr>
          <w:rFonts w:ascii="Baskerville" w:hAnsi="Baskerville"/>
          <w:sz w:val="20"/>
          <w:szCs w:val="20"/>
        </w:rPr>
        <w:t xml:space="preserve"> N. A. </w:t>
      </w:r>
      <w:r w:rsidRPr="00B748AB">
        <w:rPr>
          <w:rFonts w:ascii="Baskerville" w:hAnsi="Baskerville"/>
          <w:sz w:val="20"/>
          <w:szCs w:val="20"/>
          <w:lang w:val="en-US"/>
        </w:rPr>
        <w:t xml:space="preserve">Manson, ‘Formulating the Precautionary Principle’, </w:t>
      </w:r>
      <w:r w:rsidRPr="00B748AB">
        <w:rPr>
          <w:rFonts w:ascii="Baskerville" w:hAnsi="Baskerville"/>
          <w:i/>
          <w:iCs/>
          <w:sz w:val="20"/>
          <w:szCs w:val="20"/>
          <w:lang w:val="en-US"/>
        </w:rPr>
        <w:t>Environmental Ethics</w:t>
      </w:r>
      <w:r w:rsidRPr="00B748AB">
        <w:rPr>
          <w:rFonts w:ascii="Baskerville" w:hAnsi="Baskerville"/>
          <w:sz w:val="20"/>
          <w:szCs w:val="20"/>
          <w:lang w:val="en-US"/>
        </w:rPr>
        <w:t xml:space="preserve"> (2002) 24, p 264. </w:t>
      </w:r>
    </w:p>
  </w:footnote>
  <w:footnote w:id="19">
    <w:p w14:paraId="6E082966" w14:textId="4669AD37" w:rsidR="00747095" w:rsidRPr="002C6D25" w:rsidRDefault="00747095">
      <w:pPr>
        <w:pStyle w:val="FootnoteText"/>
        <w:rPr>
          <w:rFonts w:ascii="Baskerville" w:hAnsi="Baskerville"/>
          <w:sz w:val="20"/>
          <w:szCs w:val="20"/>
          <w:lang w:val="en-US"/>
        </w:rPr>
      </w:pPr>
      <w:r w:rsidRPr="00B748AB">
        <w:rPr>
          <w:rStyle w:val="FootnoteReference"/>
          <w:rFonts w:ascii="Baskerville" w:hAnsi="Baskerville"/>
          <w:sz w:val="20"/>
          <w:szCs w:val="20"/>
        </w:rPr>
        <w:footnoteRef/>
      </w:r>
      <w:r w:rsidRPr="00B748AB">
        <w:rPr>
          <w:rFonts w:ascii="Baskerville" w:hAnsi="Baskerville"/>
          <w:sz w:val="20"/>
          <w:szCs w:val="20"/>
        </w:rPr>
        <w:t xml:space="preserve"> Soule (n 13), p 21.</w:t>
      </w:r>
    </w:p>
  </w:footnote>
  <w:footnote w:id="20">
    <w:p w14:paraId="154067A7" w14:textId="51AC8EC1" w:rsidR="00747095" w:rsidRPr="003137B4" w:rsidRDefault="00747095">
      <w:pPr>
        <w:pStyle w:val="FootnoteText"/>
        <w:rPr>
          <w:rFonts w:ascii="Baskerville" w:hAnsi="Baskerville"/>
          <w:sz w:val="20"/>
          <w:szCs w:val="20"/>
          <w:lang w:val="en-US"/>
        </w:rPr>
      </w:pPr>
      <w:r w:rsidRPr="003137B4">
        <w:rPr>
          <w:rStyle w:val="FootnoteReference"/>
          <w:rFonts w:ascii="Baskerville" w:hAnsi="Baskerville"/>
          <w:sz w:val="20"/>
          <w:szCs w:val="20"/>
        </w:rPr>
        <w:footnoteRef/>
      </w:r>
      <w:r w:rsidRPr="003137B4">
        <w:rPr>
          <w:rFonts w:ascii="Baskerville" w:hAnsi="Baskerville"/>
          <w:sz w:val="20"/>
          <w:szCs w:val="20"/>
        </w:rPr>
        <w:t xml:space="preserve"> </w:t>
      </w:r>
      <w:r w:rsidRPr="00DB64BE">
        <w:rPr>
          <w:rFonts w:ascii="Baskerville" w:hAnsi="Baskerville"/>
          <w:sz w:val="20"/>
          <w:szCs w:val="20"/>
          <w:lang w:val="en-US"/>
        </w:rPr>
        <w:t>D</w:t>
      </w:r>
      <w:r>
        <w:rPr>
          <w:rFonts w:ascii="Baskerville" w:hAnsi="Baskerville"/>
          <w:sz w:val="20"/>
          <w:szCs w:val="20"/>
          <w:lang w:val="en-US"/>
        </w:rPr>
        <w:t>.</w:t>
      </w:r>
      <w:r w:rsidRPr="00DB64BE">
        <w:rPr>
          <w:rFonts w:ascii="Baskerville" w:hAnsi="Baskerville"/>
          <w:sz w:val="20"/>
          <w:szCs w:val="20"/>
          <w:lang w:val="en-US"/>
        </w:rPr>
        <w:t xml:space="preserve"> Kriebel, J</w:t>
      </w:r>
      <w:r>
        <w:rPr>
          <w:rFonts w:ascii="Baskerville" w:hAnsi="Baskerville"/>
          <w:sz w:val="20"/>
          <w:szCs w:val="20"/>
          <w:lang w:val="en-US"/>
        </w:rPr>
        <w:t>.</w:t>
      </w:r>
      <w:r w:rsidRPr="00DB64BE">
        <w:rPr>
          <w:rFonts w:ascii="Baskerville" w:hAnsi="Baskerville"/>
          <w:sz w:val="20"/>
          <w:szCs w:val="20"/>
          <w:lang w:val="en-US"/>
        </w:rPr>
        <w:t xml:space="preserve"> Tickner, P</w:t>
      </w:r>
      <w:r>
        <w:rPr>
          <w:rFonts w:ascii="Baskerville" w:hAnsi="Baskerville"/>
          <w:sz w:val="20"/>
          <w:szCs w:val="20"/>
          <w:lang w:val="en-US"/>
        </w:rPr>
        <w:t>.</w:t>
      </w:r>
      <w:r w:rsidRPr="00DB64BE">
        <w:rPr>
          <w:rFonts w:ascii="Baskerville" w:hAnsi="Baskerville"/>
          <w:sz w:val="20"/>
          <w:szCs w:val="20"/>
          <w:lang w:val="en-US"/>
        </w:rPr>
        <w:t xml:space="preserve"> Epstein, J</w:t>
      </w:r>
      <w:r>
        <w:rPr>
          <w:rFonts w:ascii="Baskerville" w:hAnsi="Baskerville"/>
          <w:sz w:val="20"/>
          <w:szCs w:val="20"/>
          <w:lang w:val="en-US"/>
        </w:rPr>
        <w:t>.</w:t>
      </w:r>
      <w:r w:rsidRPr="00DB64BE">
        <w:rPr>
          <w:rFonts w:ascii="Baskerville" w:hAnsi="Baskerville"/>
          <w:sz w:val="20"/>
          <w:szCs w:val="20"/>
          <w:lang w:val="en-US"/>
        </w:rPr>
        <w:t xml:space="preserve"> Lemons, R</w:t>
      </w:r>
      <w:r>
        <w:rPr>
          <w:rFonts w:ascii="Baskerville" w:hAnsi="Baskerville"/>
          <w:sz w:val="20"/>
          <w:szCs w:val="20"/>
          <w:lang w:val="en-US"/>
        </w:rPr>
        <w:t>.</w:t>
      </w:r>
      <w:r w:rsidRPr="00DB64BE">
        <w:rPr>
          <w:rFonts w:ascii="Baskerville" w:hAnsi="Baskerville"/>
          <w:sz w:val="20"/>
          <w:szCs w:val="20"/>
          <w:lang w:val="en-US"/>
        </w:rPr>
        <w:t xml:space="preserve"> Levins, E</w:t>
      </w:r>
      <w:r>
        <w:rPr>
          <w:rFonts w:ascii="Baskerville" w:hAnsi="Baskerville"/>
          <w:sz w:val="20"/>
          <w:szCs w:val="20"/>
          <w:lang w:val="en-US"/>
        </w:rPr>
        <w:t>.</w:t>
      </w:r>
      <w:r w:rsidRPr="00DB64BE">
        <w:rPr>
          <w:rFonts w:ascii="Baskerville" w:hAnsi="Baskerville"/>
          <w:sz w:val="20"/>
          <w:szCs w:val="20"/>
          <w:lang w:val="en-US"/>
        </w:rPr>
        <w:t xml:space="preserve"> L. Loechler, M</w:t>
      </w:r>
      <w:r>
        <w:rPr>
          <w:rFonts w:ascii="Baskerville" w:hAnsi="Baskerville"/>
          <w:sz w:val="20"/>
          <w:szCs w:val="20"/>
          <w:lang w:val="en-US"/>
        </w:rPr>
        <w:t>.</w:t>
      </w:r>
      <w:r w:rsidRPr="00DB64BE">
        <w:rPr>
          <w:rFonts w:ascii="Baskerville" w:hAnsi="Baskerville"/>
          <w:sz w:val="20"/>
          <w:szCs w:val="20"/>
          <w:lang w:val="en-US"/>
        </w:rPr>
        <w:t xml:space="preserve"> Quinn, R</w:t>
      </w:r>
      <w:r>
        <w:rPr>
          <w:rFonts w:ascii="Baskerville" w:hAnsi="Baskerville"/>
          <w:sz w:val="20"/>
          <w:szCs w:val="20"/>
          <w:lang w:val="en-US"/>
        </w:rPr>
        <w:t>.</w:t>
      </w:r>
      <w:r w:rsidRPr="00DB64BE">
        <w:rPr>
          <w:rFonts w:ascii="Baskerville" w:hAnsi="Baskerville"/>
          <w:sz w:val="20"/>
          <w:szCs w:val="20"/>
          <w:lang w:val="en-US"/>
        </w:rPr>
        <w:t xml:space="preserve"> Rudel, T</w:t>
      </w:r>
      <w:r>
        <w:rPr>
          <w:rFonts w:ascii="Baskerville" w:hAnsi="Baskerville"/>
          <w:sz w:val="20"/>
          <w:szCs w:val="20"/>
          <w:lang w:val="en-US"/>
        </w:rPr>
        <w:t>.</w:t>
      </w:r>
      <w:r w:rsidRPr="00DB64BE">
        <w:rPr>
          <w:rFonts w:ascii="Baskerville" w:hAnsi="Baskerville"/>
          <w:sz w:val="20"/>
          <w:szCs w:val="20"/>
          <w:lang w:val="en-US"/>
        </w:rPr>
        <w:t xml:space="preserve"> Schettler and M</w:t>
      </w:r>
      <w:r>
        <w:rPr>
          <w:rFonts w:ascii="Baskerville" w:hAnsi="Baskerville"/>
          <w:sz w:val="20"/>
          <w:szCs w:val="20"/>
          <w:lang w:val="en-US"/>
        </w:rPr>
        <w:t>.</w:t>
      </w:r>
      <w:r w:rsidRPr="00DB64BE">
        <w:rPr>
          <w:rFonts w:ascii="Baskerville" w:hAnsi="Baskerville"/>
          <w:sz w:val="20"/>
          <w:szCs w:val="20"/>
          <w:lang w:val="en-US"/>
        </w:rPr>
        <w:t xml:space="preserve"> Stoto </w:t>
      </w:r>
      <w:r>
        <w:rPr>
          <w:rFonts w:ascii="Baskerville" w:hAnsi="Baskerville"/>
          <w:sz w:val="20"/>
          <w:szCs w:val="20"/>
        </w:rPr>
        <w:t>, ‘</w:t>
      </w:r>
      <w:r w:rsidRPr="00DB64BE">
        <w:rPr>
          <w:rFonts w:ascii="Baskerville" w:hAnsi="Baskerville"/>
          <w:sz w:val="20"/>
          <w:szCs w:val="20"/>
          <w:lang w:val="en-US"/>
        </w:rPr>
        <w:t>The Precautionary Principle in Environmental Science</w:t>
      </w:r>
      <w:r>
        <w:rPr>
          <w:rFonts w:ascii="Baskerville" w:hAnsi="Baskerville"/>
          <w:sz w:val="20"/>
          <w:szCs w:val="20"/>
          <w:lang w:val="en-US"/>
        </w:rPr>
        <w:t>’</w:t>
      </w:r>
      <w:r w:rsidRPr="00DB64BE">
        <w:rPr>
          <w:rFonts w:ascii="Baskerville" w:hAnsi="Baskerville"/>
          <w:sz w:val="20"/>
          <w:szCs w:val="20"/>
          <w:lang w:val="en-US"/>
        </w:rPr>
        <w:t> </w:t>
      </w:r>
      <w:r>
        <w:rPr>
          <w:rFonts w:ascii="Baskerville" w:hAnsi="Baskerville"/>
          <w:sz w:val="20"/>
          <w:szCs w:val="20"/>
          <w:lang w:val="en-US"/>
        </w:rPr>
        <w:t xml:space="preserve">, </w:t>
      </w:r>
      <w:r>
        <w:rPr>
          <w:rFonts w:ascii="Baskerville" w:hAnsi="Baskerville"/>
          <w:i/>
          <w:sz w:val="20"/>
          <w:szCs w:val="20"/>
          <w:lang w:val="en-US"/>
        </w:rPr>
        <w:t xml:space="preserve">Environmental Health Perspectives </w:t>
      </w:r>
      <w:r>
        <w:rPr>
          <w:rFonts w:ascii="Baskerville" w:hAnsi="Baskerville"/>
          <w:sz w:val="20"/>
          <w:szCs w:val="20"/>
          <w:lang w:val="en-US"/>
        </w:rPr>
        <w:t>(</w:t>
      </w:r>
      <w:r w:rsidRPr="00DB64BE">
        <w:rPr>
          <w:rFonts w:ascii="Baskerville" w:hAnsi="Baskerville"/>
          <w:sz w:val="20"/>
          <w:szCs w:val="20"/>
          <w:lang w:val="en-US"/>
        </w:rPr>
        <w:t>The National Institute of Environmental Health Sciences </w:t>
      </w:r>
      <w:r>
        <w:rPr>
          <w:rFonts w:ascii="Baskerville" w:hAnsi="Baskerville"/>
          <w:sz w:val="20"/>
          <w:szCs w:val="20"/>
          <w:lang w:val="en-US"/>
        </w:rPr>
        <w:t xml:space="preserve"> 2003) </w:t>
      </w:r>
      <w:r>
        <w:rPr>
          <w:rFonts w:ascii="Baskerville" w:hAnsi="Baskerville"/>
          <w:sz w:val="20"/>
          <w:szCs w:val="20"/>
        </w:rPr>
        <w:t>109(9), p 871.</w:t>
      </w:r>
    </w:p>
  </w:footnote>
  <w:footnote w:id="21">
    <w:p w14:paraId="48BE90F9" w14:textId="2D24376E" w:rsidR="00747095" w:rsidRPr="00EF177E" w:rsidRDefault="00747095">
      <w:pPr>
        <w:pStyle w:val="FootnoteText"/>
        <w:rPr>
          <w:rFonts w:ascii="Baskerville" w:hAnsi="Baskerville"/>
          <w:sz w:val="20"/>
          <w:szCs w:val="20"/>
          <w:lang w:val="en-US"/>
        </w:rPr>
      </w:pPr>
      <w:r w:rsidRPr="00EF177E">
        <w:rPr>
          <w:rStyle w:val="FootnoteReference"/>
          <w:rFonts w:ascii="Baskerville" w:hAnsi="Baskerville"/>
          <w:sz w:val="20"/>
          <w:szCs w:val="20"/>
        </w:rPr>
        <w:footnoteRef/>
      </w:r>
      <w:r w:rsidRPr="00EF177E">
        <w:rPr>
          <w:rFonts w:ascii="Baskerville" w:hAnsi="Baskerville"/>
          <w:sz w:val="20"/>
          <w:szCs w:val="20"/>
        </w:rPr>
        <w:t xml:space="preserve"> </w:t>
      </w:r>
      <w:r w:rsidRPr="00EF177E">
        <w:rPr>
          <w:rFonts w:ascii="Baskerville" w:hAnsi="Baskerville"/>
          <w:sz w:val="20"/>
          <w:szCs w:val="20"/>
          <w:lang w:val="en-US"/>
        </w:rPr>
        <w:t>W. Th. Douma,  </w:t>
      </w:r>
      <w:r w:rsidRPr="00EF177E">
        <w:rPr>
          <w:rFonts w:ascii="Baskerville" w:hAnsi="Baskerville"/>
          <w:i/>
          <w:sz w:val="20"/>
          <w:szCs w:val="20"/>
          <w:lang w:val="en-US"/>
        </w:rPr>
        <w:t>The Precautionary Principle</w:t>
      </w:r>
      <w:r w:rsidRPr="00EF177E">
        <w:rPr>
          <w:rFonts w:ascii="Baskerville" w:hAnsi="Baskerville"/>
          <w:sz w:val="20"/>
          <w:szCs w:val="20"/>
          <w:lang w:val="en-US"/>
        </w:rPr>
        <w:t xml:space="preserve"> (The Hague: T.M.C. Asser Institute 1996)  49(3/4), pp. 417-430.</w:t>
      </w:r>
    </w:p>
  </w:footnote>
  <w:footnote w:id="22">
    <w:p w14:paraId="621C0B09" w14:textId="77777777" w:rsidR="00747095" w:rsidRPr="00B748AB" w:rsidRDefault="00747095" w:rsidP="000D62C1">
      <w:pPr>
        <w:pStyle w:val="FootnoteText"/>
        <w:rPr>
          <w:rFonts w:ascii="Baskerville" w:hAnsi="Baskerville"/>
          <w:sz w:val="20"/>
          <w:szCs w:val="20"/>
          <w:lang w:val="en-US"/>
        </w:rPr>
      </w:pPr>
      <w:r w:rsidRPr="00B748AB">
        <w:rPr>
          <w:rStyle w:val="FootnoteReference"/>
          <w:rFonts w:ascii="Baskerville" w:hAnsi="Baskerville"/>
          <w:sz w:val="20"/>
          <w:szCs w:val="20"/>
        </w:rPr>
        <w:footnoteRef/>
      </w:r>
      <w:r w:rsidRPr="00B748AB">
        <w:rPr>
          <w:rFonts w:ascii="Baskerville" w:hAnsi="Baskerville"/>
          <w:sz w:val="20"/>
          <w:szCs w:val="20"/>
        </w:rPr>
        <w:t xml:space="preserve"> ‘Guidelines for Applying the Precautionary Principle’ (n 8)</w:t>
      </w:r>
      <w:r w:rsidRPr="00B748AB">
        <w:rPr>
          <w:rFonts w:ascii="Baskerville" w:hAnsi="Baskerville"/>
          <w:bCs/>
          <w:iCs/>
          <w:sz w:val="20"/>
          <w:szCs w:val="20"/>
          <w:lang w:val="en-US"/>
        </w:rPr>
        <w:t xml:space="preserve">, p 1. </w:t>
      </w:r>
    </w:p>
  </w:footnote>
  <w:footnote w:id="23">
    <w:p w14:paraId="38913737" w14:textId="77777777" w:rsidR="00747095" w:rsidRPr="000D62C1" w:rsidRDefault="00747095" w:rsidP="006238BD">
      <w:pPr>
        <w:pStyle w:val="FootnoteText"/>
        <w:rPr>
          <w:rFonts w:ascii="Baskerville" w:hAnsi="Baskerville"/>
          <w:sz w:val="20"/>
          <w:szCs w:val="20"/>
          <w:lang w:val="en-US"/>
        </w:rPr>
      </w:pPr>
      <w:r w:rsidRPr="000D62C1">
        <w:rPr>
          <w:rStyle w:val="FootnoteReference"/>
          <w:rFonts w:ascii="Baskerville" w:hAnsi="Baskerville"/>
          <w:sz w:val="20"/>
          <w:szCs w:val="20"/>
        </w:rPr>
        <w:footnoteRef/>
      </w:r>
      <w:r w:rsidRPr="000D62C1">
        <w:rPr>
          <w:rFonts w:ascii="Baskerville" w:hAnsi="Baskerville"/>
          <w:sz w:val="20"/>
          <w:szCs w:val="20"/>
        </w:rPr>
        <w:t xml:space="preserve"> </w:t>
      </w:r>
      <w:r>
        <w:rPr>
          <w:rFonts w:ascii="Baskerville" w:hAnsi="Baskerville"/>
          <w:sz w:val="20"/>
          <w:szCs w:val="20"/>
        </w:rPr>
        <w:t>Ibid.</w:t>
      </w:r>
    </w:p>
  </w:footnote>
  <w:footnote w:id="24">
    <w:p w14:paraId="53C5154C" w14:textId="77777777" w:rsidR="00747095" w:rsidRPr="000D62C1" w:rsidRDefault="00747095" w:rsidP="00340397">
      <w:pPr>
        <w:pStyle w:val="FootnoteText"/>
        <w:rPr>
          <w:rFonts w:ascii="Baskerville" w:hAnsi="Baskerville"/>
          <w:sz w:val="20"/>
          <w:szCs w:val="20"/>
          <w:lang w:val="en-US"/>
        </w:rPr>
      </w:pPr>
      <w:r w:rsidRPr="000D62C1">
        <w:rPr>
          <w:rStyle w:val="FootnoteReference"/>
          <w:rFonts w:ascii="Baskerville" w:hAnsi="Baskerville"/>
          <w:sz w:val="20"/>
          <w:szCs w:val="20"/>
        </w:rPr>
        <w:footnoteRef/>
      </w:r>
      <w:r w:rsidRPr="000D62C1">
        <w:rPr>
          <w:rFonts w:ascii="Baskerville" w:hAnsi="Baskerville"/>
          <w:sz w:val="20"/>
          <w:szCs w:val="20"/>
        </w:rPr>
        <w:t xml:space="preserve"> </w:t>
      </w:r>
      <w:r>
        <w:rPr>
          <w:rFonts w:ascii="Baskerville" w:hAnsi="Baskerville"/>
          <w:sz w:val="20"/>
          <w:szCs w:val="20"/>
        </w:rPr>
        <w:t>Ibid.</w:t>
      </w:r>
    </w:p>
  </w:footnote>
  <w:footnote w:id="25">
    <w:p w14:paraId="08B1D37D" w14:textId="28B01C69" w:rsidR="00747095" w:rsidRPr="00BC4472" w:rsidRDefault="00747095" w:rsidP="00BC4472">
      <w:pPr>
        <w:pStyle w:val="FootnoteText"/>
        <w:rPr>
          <w:rFonts w:ascii="Baskerville" w:hAnsi="Baskerville"/>
          <w:b/>
          <w:bCs/>
          <w:sz w:val="20"/>
          <w:szCs w:val="20"/>
          <w:lang w:val="en-US"/>
        </w:rPr>
      </w:pPr>
      <w:r w:rsidRPr="004D3568">
        <w:rPr>
          <w:rStyle w:val="FootnoteReference"/>
          <w:rFonts w:ascii="Baskerville" w:hAnsi="Baskerville"/>
          <w:sz w:val="20"/>
          <w:szCs w:val="20"/>
        </w:rPr>
        <w:footnoteRef/>
      </w:r>
      <w:r w:rsidRPr="004D3568">
        <w:rPr>
          <w:rFonts w:ascii="Baskerville" w:hAnsi="Baskerville"/>
          <w:sz w:val="20"/>
          <w:szCs w:val="20"/>
        </w:rPr>
        <w:t xml:space="preserve"> </w:t>
      </w:r>
      <w:r w:rsidRPr="00BC4472">
        <w:rPr>
          <w:rFonts w:ascii="Baskerville" w:hAnsi="Baskerville"/>
          <w:sz w:val="20"/>
          <w:szCs w:val="20"/>
          <w:lang w:val="en-US"/>
        </w:rPr>
        <w:t>L</w:t>
      </w:r>
      <w:r>
        <w:rPr>
          <w:rFonts w:ascii="Baskerville" w:hAnsi="Baskerville"/>
          <w:sz w:val="20"/>
          <w:szCs w:val="20"/>
          <w:lang w:val="en-US"/>
        </w:rPr>
        <w:t xml:space="preserve">. </w:t>
      </w:r>
      <w:r w:rsidRPr="00BC4472">
        <w:rPr>
          <w:rFonts w:ascii="Baskerville" w:hAnsi="Baskerville"/>
          <w:sz w:val="20"/>
          <w:szCs w:val="20"/>
          <w:lang w:val="en-US"/>
        </w:rPr>
        <w:t>Guruswamy</w:t>
      </w:r>
      <w:r>
        <w:rPr>
          <w:rFonts w:ascii="Baskerville" w:hAnsi="Baskerville"/>
          <w:sz w:val="20"/>
          <w:szCs w:val="20"/>
          <w:lang w:val="en-US"/>
        </w:rPr>
        <w:t>,</w:t>
      </w:r>
      <w:r w:rsidRPr="00BC4472">
        <w:rPr>
          <w:rFonts w:ascii="Baskerville" w:hAnsi="Baskerville"/>
          <w:b/>
          <w:bCs/>
          <w:sz w:val="20"/>
          <w:szCs w:val="20"/>
          <w:lang w:val="en-US"/>
        </w:rPr>
        <w:t xml:space="preserve"> </w:t>
      </w:r>
      <w:r w:rsidRPr="00BC4472">
        <w:rPr>
          <w:rFonts w:ascii="Baskerville" w:hAnsi="Baskerville"/>
          <w:bCs/>
          <w:i/>
          <w:sz w:val="20"/>
          <w:szCs w:val="20"/>
          <w:lang w:val="en-US"/>
        </w:rPr>
        <w:t xml:space="preserve">International Environmental Law in a </w:t>
      </w:r>
      <w:r w:rsidRPr="006D7A5C">
        <w:rPr>
          <w:rFonts w:ascii="Baskerville" w:hAnsi="Baskerville"/>
          <w:bCs/>
          <w:i/>
          <w:sz w:val="20"/>
          <w:szCs w:val="20"/>
          <w:lang w:val="en-US"/>
        </w:rPr>
        <w:t>Nutshell</w:t>
      </w:r>
      <w:r w:rsidRPr="006D7A5C">
        <w:rPr>
          <w:rFonts w:ascii="Baskerville" w:hAnsi="Baskerville"/>
          <w:sz w:val="20"/>
          <w:szCs w:val="20"/>
        </w:rPr>
        <w:t xml:space="preserve"> (4</w:t>
      </w:r>
      <w:r w:rsidRPr="006D7A5C">
        <w:rPr>
          <w:rFonts w:ascii="Baskerville" w:hAnsi="Baskerville"/>
          <w:sz w:val="20"/>
          <w:szCs w:val="20"/>
          <w:vertAlign w:val="superscript"/>
        </w:rPr>
        <w:t>th</w:t>
      </w:r>
      <w:r w:rsidRPr="006D7A5C">
        <w:rPr>
          <w:rFonts w:ascii="Baskerville" w:hAnsi="Baskerville"/>
          <w:sz w:val="20"/>
          <w:szCs w:val="20"/>
        </w:rPr>
        <w:t xml:space="preserve"> edn, Thomson Reuters 2012),</w:t>
      </w:r>
      <w:r>
        <w:rPr>
          <w:rFonts w:ascii="Baskerville" w:hAnsi="Baskerville"/>
          <w:sz w:val="20"/>
          <w:szCs w:val="20"/>
        </w:rPr>
        <w:t xml:space="preserve"> at 654.</w:t>
      </w:r>
    </w:p>
  </w:footnote>
  <w:footnote w:id="26">
    <w:p w14:paraId="4BBEE08F" w14:textId="2FA36D2F" w:rsidR="00747095" w:rsidRPr="00A46252" w:rsidRDefault="00747095" w:rsidP="00E616E0">
      <w:pPr>
        <w:pStyle w:val="FootnoteText"/>
        <w:rPr>
          <w:rFonts w:ascii="Baskerville" w:hAnsi="Baskerville"/>
          <w:sz w:val="20"/>
          <w:szCs w:val="20"/>
        </w:rPr>
      </w:pPr>
      <w:r w:rsidRPr="00A46252">
        <w:rPr>
          <w:rStyle w:val="FootnoteReference"/>
          <w:rFonts w:ascii="Baskerville" w:hAnsi="Baskerville"/>
          <w:sz w:val="20"/>
          <w:szCs w:val="20"/>
        </w:rPr>
        <w:footnoteRef/>
      </w:r>
      <w:r w:rsidRPr="00A46252">
        <w:rPr>
          <w:rFonts w:ascii="Baskerville" w:hAnsi="Baskerville"/>
          <w:sz w:val="20"/>
          <w:szCs w:val="20"/>
        </w:rPr>
        <w:t xml:space="preserve"> A. Nollkaemper, ‘The Precautionary Principle in International Environmental Law: What’s New Under the Sun?’, </w:t>
      </w:r>
      <w:r w:rsidRPr="00A46252">
        <w:rPr>
          <w:rFonts w:ascii="Baskerville" w:hAnsi="Baskerville"/>
          <w:i/>
          <w:sz w:val="20"/>
          <w:szCs w:val="20"/>
        </w:rPr>
        <w:t xml:space="preserve">Marine Pollution Bulletin </w:t>
      </w:r>
      <w:r w:rsidRPr="00A46252">
        <w:rPr>
          <w:rFonts w:ascii="Baskerville" w:hAnsi="Baskerville"/>
          <w:sz w:val="20"/>
          <w:szCs w:val="20"/>
        </w:rPr>
        <w:t>(Pergamon Press plc. 1991) 22(3), pp. 107-110.</w:t>
      </w:r>
    </w:p>
  </w:footnote>
  <w:footnote w:id="27">
    <w:p w14:paraId="3910CDDA" w14:textId="3D03A952" w:rsidR="00747095" w:rsidRPr="001D0B6F" w:rsidRDefault="00747095">
      <w:pPr>
        <w:pStyle w:val="FootnoteText"/>
        <w:rPr>
          <w:rFonts w:ascii="Baskerville" w:hAnsi="Baskerville"/>
          <w:sz w:val="20"/>
          <w:szCs w:val="20"/>
          <w:lang w:val="en-US"/>
        </w:rPr>
      </w:pPr>
      <w:r w:rsidRPr="001D0B6F">
        <w:rPr>
          <w:rStyle w:val="FootnoteReference"/>
          <w:rFonts w:ascii="Baskerville" w:hAnsi="Baskerville"/>
          <w:sz w:val="20"/>
          <w:szCs w:val="20"/>
        </w:rPr>
        <w:footnoteRef/>
      </w:r>
      <w:r w:rsidRPr="001D0B6F">
        <w:rPr>
          <w:rFonts w:ascii="Baskerville" w:hAnsi="Baskerville"/>
          <w:sz w:val="20"/>
          <w:szCs w:val="20"/>
        </w:rPr>
        <w:t xml:space="preserve"> </w:t>
      </w:r>
      <w:r w:rsidRPr="001D0B6F">
        <w:rPr>
          <w:rFonts w:ascii="Baskerville" w:hAnsi="Baskerville"/>
          <w:sz w:val="20"/>
          <w:szCs w:val="20"/>
          <w:lang w:val="en-US"/>
        </w:rPr>
        <w:t xml:space="preserve">C. Tinker, </w:t>
      </w:r>
      <w:r>
        <w:rPr>
          <w:rFonts w:ascii="Baskerville" w:hAnsi="Baskerville"/>
          <w:sz w:val="20"/>
          <w:szCs w:val="20"/>
          <w:lang w:val="en-US"/>
        </w:rPr>
        <w:t>‘</w:t>
      </w:r>
      <w:r w:rsidRPr="00876D1C">
        <w:rPr>
          <w:rFonts w:ascii="Baskerville" w:hAnsi="Baskerville"/>
          <w:sz w:val="20"/>
          <w:szCs w:val="20"/>
          <w:lang w:val="en-US"/>
        </w:rPr>
        <w:t>State Responsibility and the Precautionary Principle</w:t>
      </w:r>
      <w:r>
        <w:rPr>
          <w:rFonts w:ascii="Baskerville" w:hAnsi="Baskerville"/>
          <w:sz w:val="20"/>
          <w:szCs w:val="20"/>
          <w:lang w:val="en-US"/>
        </w:rPr>
        <w:t>’,</w:t>
      </w:r>
      <w:r w:rsidRPr="001D0B6F">
        <w:rPr>
          <w:rFonts w:ascii="Baskerville" w:hAnsi="Baskerville"/>
          <w:sz w:val="20"/>
          <w:szCs w:val="20"/>
          <w:lang w:val="en-US"/>
        </w:rPr>
        <w:t xml:space="preserve"> in D</w:t>
      </w:r>
      <w:r>
        <w:rPr>
          <w:rFonts w:ascii="Baskerville" w:hAnsi="Baskerville"/>
          <w:sz w:val="20"/>
          <w:szCs w:val="20"/>
          <w:lang w:val="en-US"/>
        </w:rPr>
        <w:t>. Freestone</w:t>
      </w:r>
      <w:r w:rsidRPr="001D0B6F">
        <w:rPr>
          <w:rFonts w:ascii="Baskerville" w:hAnsi="Baskerville"/>
          <w:sz w:val="20"/>
          <w:szCs w:val="20"/>
          <w:lang w:val="en-US"/>
        </w:rPr>
        <w:t xml:space="preserve"> &amp; E</w:t>
      </w:r>
      <w:r>
        <w:rPr>
          <w:rFonts w:ascii="Baskerville" w:hAnsi="Baskerville"/>
          <w:sz w:val="20"/>
          <w:szCs w:val="20"/>
          <w:lang w:val="en-US"/>
        </w:rPr>
        <w:t>. Hay (eds.)</w:t>
      </w:r>
      <w:r w:rsidRPr="001D0B6F">
        <w:rPr>
          <w:rFonts w:ascii="Baskerville" w:hAnsi="Baskerville"/>
          <w:sz w:val="20"/>
          <w:szCs w:val="20"/>
          <w:lang w:val="en-US"/>
        </w:rPr>
        <w:t xml:space="preserve">, </w:t>
      </w:r>
      <w:r w:rsidRPr="00876D1C">
        <w:rPr>
          <w:rFonts w:ascii="Baskerville" w:hAnsi="Baskerville"/>
          <w:i/>
          <w:sz w:val="20"/>
          <w:szCs w:val="20"/>
          <w:lang w:val="en-US"/>
        </w:rPr>
        <w:t>The Precautionary Principle and International Law - The Challenge of Implementation</w:t>
      </w:r>
      <w:r w:rsidRPr="001D0B6F">
        <w:rPr>
          <w:rFonts w:ascii="Baskerville" w:hAnsi="Baskerville"/>
          <w:sz w:val="20"/>
          <w:szCs w:val="20"/>
          <w:lang w:val="en-US"/>
        </w:rPr>
        <w:t xml:space="preserve"> </w:t>
      </w:r>
      <w:r w:rsidRPr="00876D1C">
        <w:rPr>
          <w:rFonts w:ascii="Baskerville" w:hAnsi="Baskerville"/>
          <w:sz w:val="20"/>
          <w:szCs w:val="20"/>
          <w:lang w:val="en-US"/>
        </w:rPr>
        <w:t>53 (The Hague: Kluwer Law International 1996). </w:t>
      </w:r>
    </w:p>
  </w:footnote>
  <w:footnote w:id="28">
    <w:p w14:paraId="4ED4BA26" w14:textId="249C8483" w:rsidR="00747095" w:rsidRPr="00353ACB" w:rsidRDefault="00747095">
      <w:pPr>
        <w:pStyle w:val="FootnoteText"/>
        <w:rPr>
          <w:rFonts w:ascii="Baskerville" w:hAnsi="Baskerville"/>
          <w:sz w:val="20"/>
          <w:szCs w:val="20"/>
          <w:lang w:val="en-US"/>
        </w:rPr>
      </w:pPr>
      <w:r w:rsidRPr="00353ACB">
        <w:rPr>
          <w:rStyle w:val="FootnoteReference"/>
          <w:rFonts w:ascii="Baskerville" w:hAnsi="Baskerville"/>
          <w:sz w:val="20"/>
          <w:szCs w:val="20"/>
        </w:rPr>
        <w:footnoteRef/>
      </w:r>
      <w:r w:rsidRPr="00353ACB">
        <w:rPr>
          <w:rFonts w:ascii="Baskerville" w:hAnsi="Baskerville"/>
          <w:sz w:val="20"/>
          <w:szCs w:val="20"/>
        </w:rPr>
        <w:t xml:space="preserve"> </w:t>
      </w:r>
      <w:r w:rsidRPr="000851BA">
        <w:rPr>
          <w:rFonts w:ascii="Baskerville" w:hAnsi="Baskerville"/>
          <w:sz w:val="20"/>
          <w:szCs w:val="20"/>
        </w:rPr>
        <w:t xml:space="preserve">WTO, </w:t>
      </w:r>
      <w:r w:rsidRPr="000851BA">
        <w:rPr>
          <w:rFonts w:ascii="Baskerville" w:hAnsi="Baskerville"/>
          <w:i/>
          <w:sz w:val="20"/>
          <w:szCs w:val="20"/>
        </w:rPr>
        <w:t>Appellate Body Report on EC Measures Concerning Meat and Meat Products (Hormones)</w:t>
      </w:r>
      <w:r w:rsidRPr="000851BA">
        <w:rPr>
          <w:rFonts w:ascii="Baskerville" w:hAnsi="Baskerville"/>
          <w:sz w:val="20"/>
          <w:szCs w:val="20"/>
        </w:rPr>
        <w:t>, WT/DS48/AB/R, 123 (16</w:t>
      </w:r>
      <w:r w:rsidRPr="000851BA">
        <w:rPr>
          <w:rFonts w:ascii="Baskerville" w:hAnsi="Baskerville"/>
          <w:sz w:val="20"/>
          <w:szCs w:val="20"/>
          <w:vertAlign w:val="superscript"/>
        </w:rPr>
        <w:t xml:space="preserve"> </w:t>
      </w:r>
      <w:r w:rsidRPr="000851BA">
        <w:rPr>
          <w:rFonts w:ascii="Baskerville" w:hAnsi="Baskerville"/>
          <w:sz w:val="20"/>
          <w:szCs w:val="20"/>
          <w:lang w:val="en-US"/>
        </w:rPr>
        <w:t>January 1998);</w:t>
      </w:r>
      <w:r>
        <w:rPr>
          <w:rFonts w:ascii="Baskerville" w:hAnsi="Baskerville"/>
          <w:sz w:val="20"/>
          <w:szCs w:val="20"/>
          <w:lang w:val="en-US"/>
        </w:rPr>
        <w:t xml:space="preserve"> </w:t>
      </w:r>
      <w:r w:rsidRPr="008B6281">
        <w:rPr>
          <w:rFonts w:ascii="Baskerville" w:hAnsi="Baskerville"/>
          <w:sz w:val="20"/>
          <w:szCs w:val="20"/>
          <w:lang w:val="en-US"/>
        </w:rPr>
        <w:t>Statute of the Inter</w:t>
      </w:r>
      <w:r>
        <w:rPr>
          <w:rFonts w:ascii="Baskerville" w:hAnsi="Baskerville"/>
          <w:sz w:val="20"/>
          <w:szCs w:val="20"/>
          <w:lang w:val="en-US"/>
        </w:rPr>
        <w:t>national Court of Justice [ICJ],</w:t>
      </w:r>
      <w:r w:rsidRPr="008B6281">
        <w:rPr>
          <w:rFonts w:ascii="Baskerville" w:hAnsi="Baskerville"/>
          <w:sz w:val="20"/>
          <w:szCs w:val="20"/>
          <w:lang w:val="en-US"/>
        </w:rPr>
        <w:t xml:space="preserve"> Art. 38</w:t>
      </w:r>
      <w:r>
        <w:rPr>
          <w:rFonts w:ascii="Baskerville" w:hAnsi="Baskerville"/>
          <w:sz w:val="20"/>
          <w:szCs w:val="20"/>
          <w:lang w:val="en-US"/>
        </w:rPr>
        <w:t>(1)(c)</w:t>
      </w:r>
      <w:r w:rsidRPr="008B6281">
        <w:rPr>
          <w:rFonts w:ascii="Baskerville" w:hAnsi="Baskerville"/>
          <w:sz w:val="20"/>
          <w:szCs w:val="20"/>
          <w:lang w:val="en-US"/>
        </w:rPr>
        <w:t>.  </w:t>
      </w:r>
    </w:p>
  </w:footnote>
  <w:footnote w:id="29">
    <w:p w14:paraId="69A24E21" w14:textId="77777777" w:rsidR="00747095" w:rsidRPr="00635F42" w:rsidRDefault="00747095" w:rsidP="00673DDA">
      <w:pPr>
        <w:pStyle w:val="FootnoteText"/>
        <w:rPr>
          <w:rFonts w:ascii="Baskerville" w:hAnsi="Baskerville"/>
          <w:sz w:val="20"/>
          <w:szCs w:val="20"/>
          <w:lang w:val="en-US"/>
        </w:rPr>
      </w:pPr>
      <w:r w:rsidRPr="00635F42">
        <w:rPr>
          <w:rStyle w:val="FootnoteReference"/>
          <w:rFonts w:ascii="Baskerville" w:hAnsi="Baskerville"/>
          <w:sz w:val="20"/>
          <w:szCs w:val="20"/>
        </w:rPr>
        <w:footnoteRef/>
      </w:r>
      <w:r w:rsidRPr="00635F42">
        <w:rPr>
          <w:rFonts w:ascii="Baskerville" w:hAnsi="Baskerville"/>
          <w:sz w:val="20"/>
          <w:szCs w:val="20"/>
        </w:rPr>
        <w:t xml:space="preserve"> </w:t>
      </w:r>
      <w:r w:rsidRPr="00635F42">
        <w:rPr>
          <w:rFonts w:ascii="Baskerville" w:hAnsi="Baskerville"/>
          <w:sz w:val="20"/>
          <w:szCs w:val="20"/>
          <w:lang w:val="en-US"/>
        </w:rPr>
        <w:t>1992 Paris Convention for the Protection of the Marine Environment of the North-East Atlantic, 2354 UNTS 67; 32 ILM 1069 (1993).</w:t>
      </w:r>
    </w:p>
  </w:footnote>
  <w:footnote w:id="30">
    <w:p w14:paraId="129C3AA2" w14:textId="074D0AC9" w:rsidR="00747095" w:rsidRPr="00B748AB" w:rsidRDefault="00747095" w:rsidP="00673DDA">
      <w:pPr>
        <w:pStyle w:val="FootnoteText"/>
        <w:rPr>
          <w:rFonts w:ascii="Baskerville" w:hAnsi="Baskerville"/>
          <w:sz w:val="20"/>
          <w:szCs w:val="20"/>
          <w:lang w:val="en-US"/>
        </w:rPr>
      </w:pPr>
      <w:r w:rsidRPr="00B748AB">
        <w:rPr>
          <w:rStyle w:val="FootnoteReference"/>
          <w:rFonts w:ascii="Baskerville" w:hAnsi="Baskerville"/>
          <w:sz w:val="20"/>
          <w:szCs w:val="20"/>
        </w:rPr>
        <w:footnoteRef/>
      </w:r>
      <w:r w:rsidRPr="00B748AB">
        <w:rPr>
          <w:rFonts w:ascii="Baskerville" w:hAnsi="Baskerville"/>
          <w:sz w:val="20"/>
          <w:szCs w:val="20"/>
        </w:rPr>
        <w:t xml:space="preserve"> Smith (n 6), p 270.</w:t>
      </w:r>
    </w:p>
  </w:footnote>
  <w:footnote w:id="31">
    <w:p w14:paraId="0E8208E2" w14:textId="474B7E66" w:rsidR="00747095" w:rsidRPr="00EB54D2" w:rsidRDefault="00747095" w:rsidP="00673DDA">
      <w:pPr>
        <w:pStyle w:val="FootnoteText"/>
        <w:rPr>
          <w:rFonts w:ascii="Baskerville" w:hAnsi="Baskerville"/>
          <w:sz w:val="20"/>
          <w:szCs w:val="20"/>
          <w:lang w:val="en-US"/>
        </w:rPr>
      </w:pPr>
      <w:r w:rsidRPr="00EB54D2">
        <w:rPr>
          <w:rStyle w:val="FootnoteReference"/>
          <w:rFonts w:ascii="Baskerville" w:hAnsi="Baskerville"/>
          <w:sz w:val="20"/>
          <w:szCs w:val="20"/>
        </w:rPr>
        <w:footnoteRef/>
      </w:r>
      <w:r w:rsidRPr="00EB54D2">
        <w:rPr>
          <w:rFonts w:ascii="Baskerville" w:hAnsi="Baskerville"/>
          <w:sz w:val="20"/>
          <w:szCs w:val="20"/>
        </w:rPr>
        <w:t xml:space="preserve"> European Commission, ‘Workshop on EU Legislation: Principles of EU Environmental Law’, </w:t>
      </w:r>
      <w:r w:rsidRPr="00EB54D2">
        <w:rPr>
          <w:rFonts w:ascii="Baskerville" w:hAnsi="Baskerville"/>
          <w:i/>
          <w:sz w:val="20"/>
          <w:szCs w:val="20"/>
        </w:rPr>
        <w:t xml:space="preserve">European Commission &amp; European Environment Agency </w:t>
      </w:r>
      <w:r w:rsidRPr="00EB54D2">
        <w:rPr>
          <w:rFonts w:ascii="Baskerville" w:hAnsi="Baskerville"/>
          <w:sz w:val="20"/>
          <w:szCs w:val="20"/>
        </w:rPr>
        <w:t>(European Commission 2012), p 19.</w:t>
      </w:r>
    </w:p>
  </w:footnote>
  <w:footnote w:id="32">
    <w:p w14:paraId="10D6DECC" w14:textId="39416B3A" w:rsidR="00747095" w:rsidRPr="00DD4A71" w:rsidRDefault="00747095">
      <w:pPr>
        <w:pStyle w:val="FootnoteText"/>
        <w:rPr>
          <w:rFonts w:ascii="Baskerville" w:hAnsi="Baskerville"/>
          <w:color w:val="FF0000"/>
          <w:sz w:val="20"/>
          <w:szCs w:val="20"/>
          <w:lang w:val="en-US"/>
        </w:rPr>
      </w:pPr>
      <w:r w:rsidRPr="00CC0179">
        <w:rPr>
          <w:rStyle w:val="FootnoteReference"/>
          <w:rFonts w:ascii="Baskerville" w:hAnsi="Baskerville"/>
          <w:sz w:val="20"/>
          <w:szCs w:val="20"/>
        </w:rPr>
        <w:footnoteRef/>
      </w:r>
      <w:r w:rsidRPr="00CC0179">
        <w:rPr>
          <w:rFonts w:ascii="Baskerville" w:hAnsi="Baskerville"/>
          <w:sz w:val="20"/>
          <w:szCs w:val="20"/>
        </w:rPr>
        <w:t xml:space="preserve"> B. </w:t>
      </w:r>
      <w:r w:rsidRPr="00CC0179">
        <w:rPr>
          <w:rFonts w:ascii="Baskerville" w:hAnsi="Baskerville"/>
          <w:sz w:val="20"/>
          <w:szCs w:val="20"/>
          <w:lang w:val="en-US"/>
        </w:rPr>
        <w:t xml:space="preserve">Cheng, </w:t>
      </w:r>
      <w:r w:rsidRPr="00CC0179">
        <w:rPr>
          <w:rFonts w:ascii="Baskerville" w:hAnsi="Baskerville"/>
          <w:i/>
          <w:iCs/>
          <w:sz w:val="20"/>
          <w:szCs w:val="20"/>
          <w:lang w:val="en-US"/>
        </w:rPr>
        <w:t xml:space="preserve">United Nations Resolutions on Outer Space: Instant International Customary Law, </w:t>
      </w:r>
      <w:r w:rsidRPr="00CC0179">
        <w:rPr>
          <w:rFonts w:ascii="Baskerville" w:hAnsi="Baskerville"/>
          <w:sz w:val="20"/>
          <w:szCs w:val="20"/>
          <w:lang w:val="en-US"/>
        </w:rPr>
        <w:t>5 Indian J INTL. L. 23 (1965), pp. 35-40;</w:t>
      </w:r>
      <w:r>
        <w:rPr>
          <w:rFonts w:ascii="Baskerville" w:hAnsi="Baskerville"/>
          <w:color w:val="FF0000"/>
          <w:sz w:val="20"/>
          <w:szCs w:val="20"/>
          <w:lang w:val="en-US"/>
        </w:rPr>
        <w:t xml:space="preserve"> </w:t>
      </w:r>
      <w:r w:rsidRPr="00144D12">
        <w:rPr>
          <w:rFonts w:ascii="Baskerville" w:hAnsi="Baskerville"/>
          <w:sz w:val="20"/>
          <w:szCs w:val="20"/>
          <w:lang w:val="en-US"/>
        </w:rPr>
        <w:t xml:space="preserve">B. Cheng, </w:t>
      </w:r>
      <w:r w:rsidRPr="00144D12">
        <w:rPr>
          <w:rFonts w:ascii="Baskerville" w:hAnsi="Baskerville"/>
          <w:i/>
          <w:iCs/>
          <w:sz w:val="20"/>
          <w:szCs w:val="20"/>
          <w:lang w:val="en-US"/>
        </w:rPr>
        <w:t xml:space="preserve">Custom: The Future of General State Practice in a Divided World, </w:t>
      </w:r>
      <w:r w:rsidRPr="00144D12">
        <w:rPr>
          <w:rFonts w:ascii="Baskerville" w:hAnsi="Baskerville"/>
          <w:sz w:val="20"/>
          <w:szCs w:val="20"/>
          <w:lang w:val="en-US"/>
        </w:rPr>
        <w:t>in D. M. Johnston &amp; R. St. MacDonald (eds.),</w:t>
      </w:r>
      <w:r w:rsidRPr="00DD4A71">
        <w:rPr>
          <w:rFonts w:ascii="Baskerville" w:hAnsi="Baskerville"/>
          <w:color w:val="FF0000"/>
          <w:sz w:val="20"/>
          <w:szCs w:val="20"/>
          <w:lang w:val="en-US"/>
        </w:rPr>
        <w:t xml:space="preserve"> </w:t>
      </w:r>
      <w:r w:rsidRPr="00E56E0C">
        <w:rPr>
          <w:rFonts w:ascii="Baskerville" w:hAnsi="Baskerville"/>
          <w:sz w:val="20"/>
          <w:szCs w:val="20"/>
          <w:lang w:val="en-US"/>
        </w:rPr>
        <w:t>‘The Structure and Process of International Law’ (Dordrecht 1983) 513.</w:t>
      </w:r>
      <w:r>
        <w:rPr>
          <w:rFonts w:ascii="Baskerville" w:hAnsi="Baskerville"/>
          <w:color w:val="FF0000"/>
          <w:sz w:val="20"/>
          <w:szCs w:val="20"/>
          <w:lang w:val="en-US"/>
        </w:rPr>
        <w:t xml:space="preserve"> </w:t>
      </w:r>
    </w:p>
  </w:footnote>
  <w:footnote w:id="33">
    <w:p w14:paraId="69D130E9" w14:textId="49DACC0C" w:rsidR="00747095" w:rsidRPr="009D11B2" w:rsidRDefault="00747095">
      <w:pPr>
        <w:pStyle w:val="FootnoteText"/>
        <w:rPr>
          <w:rFonts w:ascii="Baskerville" w:hAnsi="Baskerville"/>
          <w:color w:val="FF0000"/>
          <w:sz w:val="20"/>
          <w:szCs w:val="20"/>
          <w:lang w:val="en-US"/>
        </w:rPr>
      </w:pPr>
      <w:r w:rsidRPr="005E6A22">
        <w:rPr>
          <w:rStyle w:val="FootnoteReference"/>
          <w:rFonts w:ascii="Baskerville" w:hAnsi="Baskerville"/>
          <w:sz w:val="20"/>
          <w:szCs w:val="20"/>
        </w:rPr>
        <w:footnoteRef/>
      </w:r>
      <w:r w:rsidRPr="009D11B2">
        <w:rPr>
          <w:rFonts w:ascii="Baskerville" w:hAnsi="Baskerville"/>
          <w:color w:val="FF0000"/>
          <w:sz w:val="20"/>
          <w:szCs w:val="20"/>
        </w:rPr>
        <w:t xml:space="preserve"> </w:t>
      </w:r>
      <w:r>
        <w:rPr>
          <w:rFonts w:ascii="Baskerville" w:hAnsi="Baskerville"/>
          <w:sz w:val="20"/>
          <w:szCs w:val="20"/>
        </w:rPr>
        <w:t>J. Abouchar &amp; J. Cameron, ‘</w:t>
      </w:r>
      <w:r w:rsidRPr="00277796">
        <w:rPr>
          <w:rFonts w:ascii="Baskerville" w:hAnsi="Baskerville"/>
          <w:sz w:val="20"/>
          <w:szCs w:val="20"/>
          <w:lang w:val="en-US"/>
        </w:rPr>
        <w:t>The Precautionary Principle: A Fundamental Principle of Law and Policy for the Protection of the Global Environment</w:t>
      </w:r>
      <w:r>
        <w:rPr>
          <w:rFonts w:ascii="Baskerville" w:hAnsi="Baskerville"/>
          <w:sz w:val="20"/>
          <w:szCs w:val="20"/>
          <w:lang w:val="en-US"/>
        </w:rPr>
        <w:t xml:space="preserve">’, </w:t>
      </w:r>
      <w:r w:rsidRPr="00277796">
        <w:rPr>
          <w:rFonts w:ascii="Baskerville" w:hAnsi="Baskerville"/>
          <w:i/>
          <w:sz w:val="20"/>
          <w:szCs w:val="20"/>
          <w:lang w:val="en-US"/>
        </w:rPr>
        <w:t>Boston College International and Comparative Law Review</w:t>
      </w:r>
      <w:r w:rsidRPr="00277796">
        <w:rPr>
          <w:rFonts w:ascii="Baskerville" w:hAnsi="Baskerville"/>
          <w:sz w:val="20"/>
          <w:szCs w:val="20"/>
          <w:lang w:val="en-US"/>
        </w:rPr>
        <w:t xml:space="preserve"> </w:t>
      </w:r>
      <w:r>
        <w:rPr>
          <w:rFonts w:ascii="Baskerville" w:hAnsi="Baskerville"/>
          <w:sz w:val="20"/>
          <w:szCs w:val="20"/>
          <w:lang w:val="en-US"/>
        </w:rPr>
        <w:t>(1991) 14(1</w:t>
      </w:r>
      <w:r w:rsidRPr="009D11B2">
        <w:rPr>
          <w:rFonts w:ascii="Baskerville" w:hAnsi="Baskerville"/>
          <w:sz w:val="20"/>
          <w:szCs w:val="20"/>
          <w:lang w:val="en-US"/>
        </w:rPr>
        <w:t>)</w:t>
      </w:r>
      <w:r w:rsidRPr="009D11B2">
        <w:rPr>
          <w:rFonts w:ascii="Baskerville" w:hAnsi="Baskerville"/>
          <w:sz w:val="20"/>
          <w:szCs w:val="20"/>
        </w:rPr>
        <w:t>, p 20.</w:t>
      </w:r>
    </w:p>
  </w:footnote>
  <w:footnote w:id="34">
    <w:p w14:paraId="21367A52" w14:textId="1FA301B7" w:rsidR="00747095" w:rsidRPr="0078602F" w:rsidRDefault="00747095">
      <w:pPr>
        <w:pStyle w:val="FootnoteText"/>
        <w:rPr>
          <w:rFonts w:ascii="Baskerville" w:hAnsi="Baskerville"/>
          <w:sz w:val="20"/>
          <w:szCs w:val="20"/>
          <w:lang w:val="en-US"/>
        </w:rPr>
      </w:pPr>
      <w:r w:rsidRPr="0078602F">
        <w:rPr>
          <w:rStyle w:val="FootnoteReference"/>
          <w:rFonts w:ascii="Baskerville" w:hAnsi="Baskerville"/>
          <w:sz w:val="20"/>
          <w:szCs w:val="20"/>
        </w:rPr>
        <w:footnoteRef/>
      </w:r>
      <w:r w:rsidRPr="0078602F">
        <w:rPr>
          <w:rFonts w:ascii="Baskerville" w:hAnsi="Baskerville"/>
          <w:sz w:val="20"/>
          <w:szCs w:val="20"/>
        </w:rPr>
        <w:t xml:space="preserve"> </w:t>
      </w:r>
      <w:r w:rsidRPr="0078602F">
        <w:rPr>
          <w:rFonts w:ascii="Baskerville" w:hAnsi="Baskerville"/>
          <w:sz w:val="20"/>
          <w:szCs w:val="20"/>
          <w:lang w:val="en-US"/>
        </w:rPr>
        <w:t xml:space="preserve">United Nations Convention on the Law of the Sea, U.N. Doc. AlCONF. </w:t>
      </w:r>
      <w:r w:rsidRPr="0078602F">
        <w:rPr>
          <w:rFonts w:ascii="Baskerville" w:hAnsi="Baskerville"/>
          <w:i/>
          <w:iCs/>
          <w:sz w:val="20"/>
          <w:szCs w:val="20"/>
          <w:lang w:val="en-US"/>
        </w:rPr>
        <w:t xml:space="preserve">62/122 </w:t>
      </w:r>
      <w:r w:rsidRPr="0078602F">
        <w:rPr>
          <w:rFonts w:ascii="Baskerville" w:hAnsi="Baskerville"/>
          <w:sz w:val="20"/>
          <w:szCs w:val="20"/>
          <w:lang w:val="en-US"/>
        </w:rPr>
        <w:t xml:space="preserve">(1982), 21 </w:t>
      </w:r>
      <w:r>
        <w:rPr>
          <w:rFonts w:ascii="Baskerville" w:hAnsi="Baskerville"/>
          <w:sz w:val="20"/>
          <w:szCs w:val="20"/>
          <w:lang w:val="en-US"/>
        </w:rPr>
        <w:t xml:space="preserve">ILM </w:t>
      </w:r>
      <w:r w:rsidRPr="0078602F">
        <w:rPr>
          <w:rFonts w:ascii="Baskerville" w:hAnsi="Baskerville"/>
          <w:sz w:val="20"/>
          <w:szCs w:val="20"/>
          <w:lang w:val="en-US"/>
        </w:rPr>
        <w:t xml:space="preserve">1261 (1982). </w:t>
      </w:r>
    </w:p>
  </w:footnote>
  <w:footnote w:id="35">
    <w:p w14:paraId="3EBFB204" w14:textId="2DE0254A" w:rsidR="00747095" w:rsidRPr="00C20E53" w:rsidRDefault="00747095" w:rsidP="00FC67B7">
      <w:pPr>
        <w:pStyle w:val="FootnoteText"/>
        <w:rPr>
          <w:rFonts w:ascii="Baskerville" w:hAnsi="Baskerville"/>
          <w:sz w:val="20"/>
          <w:szCs w:val="20"/>
          <w:lang w:val="en-US"/>
        </w:rPr>
      </w:pPr>
      <w:r w:rsidRPr="00C20E53">
        <w:rPr>
          <w:rStyle w:val="FootnoteReference"/>
          <w:rFonts w:ascii="Baskerville" w:hAnsi="Baskerville"/>
          <w:sz w:val="20"/>
          <w:szCs w:val="20"/>
        </w:rPr>
        <w:footnoteRef/>
      </w:r>
      <w:r w:rsidRPr="00C20E53">
        <w:rPr>
          <w:rFonts w:ascii="Baskerville" w:hAnsi="Baskerville"/>
          <w:sz w:val="20"/>
          <w:szCs w:val="20"/>
        </w:rPr>
        <w:t xml:space="preserve"> </w:t>
      </w:r>
      <w:r w:rsidRPr="00C20E53">
        <w:rPr>
          <w:rFonts w:ascii="Baskerville" w:hAnsi="Baskerville"/>
          <w:sz w:val="20"/>
          <w:szCs w:val="20"/>
          <w:lang w:val="en-US"/>
        </w:rPr>
        <w:t>Conference on “Action for a Common Future” Bergen, Norway, May 8-16, 1990. The Government of Norway, in cooperation with the United Nations Economic Commission for Europe (ECE), organised the Bergen Conference as a follow-up to the report of the World Commission on Environment and Development, and as a preparation for the 1992 United Nations Conference on Environment and Development.</w:t>
      </w:r>
      <w:r w:rsidRPr="00FC67B7">
        <w:rPr>
          <w:rFonts w:ascii="Baskerville" w:hAnsi="Baskerville"/>
          <w:color w:val="FF0000"/>
          <w:sz w:val="20"/>
          <w:szCs w:val="20"/>
          <w:lang w:val="en-US"/>
        </w:rPr>
        <w:t xml:space="preserve"> </w:t>
      </w:r>
      <w:r w:rsidRPr="00C20E53">
        <w:rPr>
          <w:rFonts w:ascii="Baskerville" w:hAnsi="Baskerville"/>
          <w:i/>
          <w:iCs/>
          <w:sz w:val="20"/>
          <w:szCs w:val="20"/>
          <w:lang w:val="en-US"/>
        </w:rPr>
        <w:t xml:space="preserve">Bergen Conference, Bergen Ministerial Declaration on Sustainable Development in the ECE Region </w:t>
      </w:r>
      <w:r w:rsidRPr="00C20E53">
        <w:rPr>
          <w:rFonts w:ascii="Baskerville" w:hAnsi="Baskerville"/>
          <w:sz w:val="20"/>
          <w:szCs w:val="20"/>
          <w:lang w:val="en-US"/>
        </w:rPr>
        <w:t>(16</w:t>
      </w:r>
      <w:r w:rsidRPr="00C20E53">
        <w:rPr>
          <w:rFonts w:ascii="Baskerville" w:hAnsi="Baskerville"/>
          <w:sz w:val="20"/>
          <w:szCs w:val="20"/>
          <w:vertAlign w:val="superscript"/>
          <w:lang w:val="en-US"/>
        </w:rPr>
        <w:t xml:space="preserve"> </w:t>
      </w:r>
      <w:r w:rsidRPr="00C20E53">
        <w:rPr>
          <w:rFonts w:ascii="Baskerville" w:hAnsi="Baskerville"/>
          <w:sz w:val="20"/>
          <w:szCs w:val="20"/>
          <w:lang w:val="en-US"/>
        </w:rPr>
        <w:t>May 1990)</w:t>
      </w:r>
      <w:r w:rsidRPr="00C20E53">
        <w:rPr>
          <w:rFonts w:ascii="Baskerville" w:hAnsi="Baskerville"/>
          <w:i/>
          <w:iCs/>
          <w:sz w:val="20"/>
          <w:szCs w:val="20"/>
          <w:lang w:val="en-US"/>
        </w:rPr>
        <w:t xml:space="preserve">, </w:t>
      </w:r>
      <w:r w:rsidRPr="00C20E53">
        <w:rPr>
          <w:rFonts w:ascii="Baskerville" w:hAnsi="Baskerville"/>
          <w:sz w:val="20"/>
          <w:szCs w:val="20"/>
          <w:lang w:val="en-US"/>
        </w:rPr>
        <w:t xml:space="preserve">at Art. 7. Environment ministers and officials from thirty-four ECE countries attended the Bergen Conference. </w:t>
      </w:r>
    </w:p>
  </w:footnote>
  <w:footnote w:id="36">
    <w:p w14:paraId="4EFE6BE2" w14:textId="0273F16D" w:rsidR="00747095" w:rsidRPr="00B748AB" w:rsidRDefault="00747095">
      <w:pPr>
        <w:pStyle w:val="FootnoteText"/>
        <w:rPr>
          <w:rFonts w:ascii="Baskerville" w:hAnsi="Baskerville"/>
          <w:sz w:val="20"/>
          <w:szCs w:val="20"/>
          <w:lang w:val="en-US"/>
        </w:rPr>
      </w:pPr>
      <w:r w:rsidRPr="00B748AB">
        <w:rPr>
          <w:rStyle w:val="FootnoteReference"/>
          <w:rFonts w:ascii="Baskerville" w:hAnsi="Baskerville"/>
          <w:sz w:val="20"/>
          <w:szCs w:val="20"/>
        </w:rPr>
        <w:footnoteRef/>
      </w:r>
      <w:r w:rsidRPr="00B748AB">
        <w:rPr>
          <w:rFonts w:ascii="Baskerville" w:hAnsi="Baskerville"/>
          <w:sz w:val="20"/>
          <w:szCs w:val="20"/>
        </w:rPr>
        <w:t xml:space="preserve"> Abouchar &amp; Cameron (n </w:t>
      </w:r>
      <w:r w:rsidR="00B748AB" w:rsidRPr="00B748AB">
        <w:rPr>
          <w:rFonts w:ascii="Baskerville" w:hAnsi="Baskerville"/>
          <w:sz w:val="20"/>
          <w:szCs w:val="20"/>
        </w:rPr>
        <w:t>33</w:t>
      </w:r>
      <w:r w:rsidRPr="00B748AB">
        <w:rPr>
          <w:rFonts w:ascii="Baskerville" w:hAnsi="Baskerville"/>
          <w:sz w:val="20"/>
          <w:szCs w:val="20"/>
        </w:rPr>
        <w:t>), p 10.</w:t>
      </w:r>
    </w:p>
  </w:footnote>
  <w:footnote w:id="37">
    <w:p w14:paraId="44C21C02" w14:textId="49155D5E" w:rsidR="00747095" w:rsidRPr="009F779D" w:rsidRDefault="00747095" w:rsidP="006C6793">
      <w:pPr>
        <w:pStyle w:val="FootnoteText"/>
        <w:rPr>
          <w:rFonts w:ascii="Baskerville" w:hAnsi="Baskerville"/>
          <w:sz w:val="20"/>
          <w:szCs w:val="20"/>
          <w:lang w:val="en-US"/>
        </w:rPr>
      </w:pPr>
      <w:r w:rsidRPr="00BE60E3">
        <w:rPr>
          <w:rStyle w:val="FootnoteReference"/>
          <w:rFonts w:ascii="Baskerville" w:hAnsi="Baskerville"/>
          <w:sz w:val="20"/>
          <w:szCs w:val="20"/>
        </w:rPr>
        <w:footnoteRef/>
      </w:r>
      <w:r w:rsidRPr="00BE60E3">
        <w:rPr>
          <w:rFonts w:ascii="Baskerville" w:hAnsi="Baskerville"/>
          <w:sz w:val="20"/>
          <w:szCs w:val="20"/>
        </w:rPr>
        <w:t xml:space="preserve"> </w:t>
      </w:r>
      <w:r w:rsidRPr="009D11B2">
        <w:rPr>
          <w:rFonts w:ascii="Baskerville" w:hAnsi="Baskerville"/>
          <w:sz w:val="20"/>
          <w:szCs w:val="20"/>
          <w:lang w:val="en-US"/>
        </w:rPr>
        <w:t>Canadian Environmental Protection Act 1999:</w:t>
      </w:r>
      <w:r>
        <w:rPr>
          <w:rFonts w:ascii="Baskerville" w:hAnsi="Baskerville"/>
          <w:sz w:val="20"/>
          <w:szCs w:val="20"/>
          <w:lang w:val="en-US"/>
        </w:rPr>
        <w:t xml:space="preserve"> </w:t>
      </w:r>
      <w:r w:rsidRPr="00BE60E3">
        <w:rPr>
          <w:rFonts w:ascii="Baskerville" w:hAnsi="Baskerville"/>
          <w:sz w:val="20"/>
          <w:szCs w:val="20"/>
          <w:lang w:val="en-US"/>
        </w:rPr>
        <w:t>“Whereas the Government of Canada is committed to implementing the precautionary principle that, where there are threats of serious or irreversible damage, lack of full scientific certainty shall not be used as a reason for postponing cost-effective measures to prev</w:t>
      </w:r>
      <w:r>
        <w:rPr>
          <w:rFonts w:ascii="Baskerville" w:hAnsi="Baskerville"/>
          <w:sz w:val="20"/>
          <w:szCs w:val="20"/>
          <w:lang w:val="en-US"/>
        </w:rPr>
        <w:t xml:space="preserve">ent environmental degradation.”; </w:t>
      </w:r>
      <w:r>
        <w:rPr>
          <w:rFonts w:ascii="Baskerville" w:hAnsi="Baskerville"/>
          <w:sz w:val="20"/>
          <w:szCs w:val="20"/>
        </w:rPr>
        <w:t>t</w:t>
      </w:r>
      <w:r w:rsidRPr="00174893">
        <w:rPr>
          <w:rFonts w:ascii="Baskerville" w:hAnsi="Baskerville"/>
          <w:sz w:val="20"/>
          <w:szCs w:val="20"/>
        </w:rPr>
        <w:t xml:space="preserve">he </w:t>
      </w:r>
      <w:r w:rsidRPr="009F779D">
        <w:rPr>
          <w:rFonts w:ascii="Baskerville" w:hAnsi="Baskerville"/>
          <w:sz w:val="20"/>
          <w:szCs w:val="20"/>
        </w:rPr>
        <w:t>Rio Declaration (n 4), Principle 15.</w:t>
      </w:r>
    </w:p>
  </w:footnote>
  <w:footnote w:id="38">
    <w:p w14:paraId="1E6BF793" w14:textId="13D9901D" w:rsidR="00747095" w:rsidRPr="003E6444" w:rsidRDefault="00747095">
      <w:pPr>
        <w:pStyle w:val="FootnoteText"/>
        <w:rPr>
          <w:rFonts w:ascii="Baskerville" w:hAnsi="Baskerville"/>
          <w:sz w:val="20"/>
          <w:szCs w:val="20"/>
          <w:lang w:val="en-US"/>
        </w:rPr>
      </w:pPr>
      <w:r w:rsidRPr="009F779D">
        <w:rPr>
          <w:rStyle w:val="FootnoteReference"/>
          <w:rFonts w:ascii="Baskerville" w:hAnsi="Baskerville"/>
          <w:sz w:val="20"/>
          <w:szCs w:val="20"/>
        </w:rPr>
        <w:footnoteRef/>
      </w:r>
      <w:r w:rsidRPr="009F779D">
        <w:rPr>
          <w:rFonts w:ascii="Baskerville" w:hAnsi="Baskerville"/>
          <w:sz w:val="20"/>
          <w:szCs w:val="20"/>
        </w:rPr>
        <w:t xml:space="preserve"> See the </w:t>
      </w:r>
      <w:r>
        <w:rPr>
          <w:rFonts w:ascii="Baskerville" w:hAnsi="Baskerville"/>
          <w:sz w:val="20"/>
          <w:szCs w:val="20"/>
        </w:rPr>
        <w:t xml:space="preserve">Report of the UNCED, </w:t>
      </w:r>
      <w:r w:rsidRPr="009F779D">
        <w:rPr>
          <w:rFonts w:ascii="Baskerville" w:hAnsi="Baskerville"/>
          <w:sz w:val="20"/>
          <w:szCs w:val="20"/>
        </w:rPr>
        <w:t>UN Doc.A/CONF.151/26 (1992), Chapter 17.22; the preamble to the Cartagena Protocol on Biosafety to the Convention on Biodiversity</w:t>
      </w:r>
      <w:r>
        <w:rPr>
          <w:rFonts w:ascii="Baskerville" w:hAnsi="Baskerville"/>
          <w:sz w:val="20"/>
          <w:szCs w:val="20"/>
        </w:rPr>
        <w:t xml:space="preserve">, </w:t>
      </w:r>
      <w:r w:rsidRPr="005A1558">
        <w:rPr>
          <w:rFonts w:ascii="Baskerville" w:hAnsi="Baskerville"/>
          <w:sz w:val="20"/>
          <w:szCs w:val="20"/>
          <w:lang w:val="en-US"/>
        </w:rPr>
        <w:t xml:space="preserve">2226 U.N.T.S. 208; </w:t>
      </w:r>
      <w:r w:rsidRPr="008F751C">
        <w:rPr>
          <w:rFonts w:ascii="Baskerville" w:hAnsi="Baskerville"/>
          <w:sz w:val="20"/>
          <w:szCs w:val="20"/>
          <w:lang w:val="en-US"/>
        </w:rPr>
        <w:t>39 ILM</w:t>
      </w:r>
      <w:r w:rsidRPr="005A1558">
        <w:rPr>
          <w:rFonts w:ascii="Baskerville" w:hAnsi="Baskerville"/>
          <w:sz w:val="20"/>
          <w:szCs w:val="20"/>
          <w:lang w:val="en-US"/>
        </w:rPr>
        <w:t xml:space="preserve"> 1027 (2000); UN Doc. UNEP/CBD/ExCOP/1/3, at 42 (2000)</w:t>
      </w:r>
      <w:r w:rsidRPr="005A1558">
        <w:rPr>
          <w:rFonts w:ascii="Baskerville" w:hAnsi="Baskerville"/>
          <w:sz w:val="20"/>
          <w:szCs w:val="20"/>
        </w:rPr>
        <w:t>;</w:t>
      </w:r>
      <w:r>
        <w:rPr>
          <w:rFonts w:ascii="Baskerville" w:hAnsi="Baskerville"/>
          <w:color w:val="FF0000"/>
          <w:sz w:val="20"/>
          <w:szCs w:val="20"/>
        </w:rPr>
        <w:t xml:space="preserve"> </w:t>
      </w:r>
      <w:r w:rsidRPr="006F26E0">
        <w:rPr>
          <w:rFonts w:ascii="Baskerville" w:hAnsi="Baskerville"/>
          <w:sz w:val="20"/>
          <w:szCs w:val="20"/>
        </w:rPr>
        <w:t>the Stockholm Convention on Persistent Organic Pollutant</w:t>
      </w:r>
      <w:r>
        <w:rPr>
          <w:rFonts w:ascii="Baskerville" w:hAnsi="Baskerville"/>
          <w:sz w:val="20"/>
          <w:szCs w:val="20"/>
        </w:rPr>
        <w:t xml:space="preserve">s, </w:t>
      </w:r>
      <w:r w:rsidRPr="005A1558">
        <w:rPr>
          <w:rFonts w:ascii="Baskerville" w:hAnsi="Baskerville"/>
          <w:sz w:val="20"/>
          <w:szCs w:val="20"/>
          <w:lang w:val="en-US"/>
        </w:rPr>
        <w:t>2256 UNTS 119; 40 ILM 532 (2001)</w:t>
      </w:r>
      <w:r w:rsidRPr="006F26E0">
        <w:rPr>
          <w:rFonts w:ascii="Baskerville" w:hAnsi="Baskerville"/>
          <w:sz w:val="20"/>
          <w:szCs w:val="20"/>
        </w:rPr>
        <w:t>, Arts. 1, 8-9</w:t>
      </w:r>
      <w:r w:rsidRPr="00815F4A">
        <w:rPr>
          <w:rFonts w:ascii="Baskerville" w:hAnsi="Baskerville"/>
          <w:sz w:val="20"/>
          <w:szCs w:val="20"/>
        </w:rPr>
        <w:t>, and the United Nations Framework Convention on Climate Change (UNFCCC)</w:t>
      </w:r>
      <w:r>
        <w:rPr>
          <w:rFonts w:ascii="Baskerville" w:hAnsi="Baskerville"/>
          <w:sz w:val="20"/>
          <w:szCs w:val="20"/>
        </w:rPr>
        <w:t xml:space="preserve">, </w:t>
      </w:r>
      <w:r w:rsidRPr="00815F4A">
        <w:rPr>
          <w:rFonts w:ascii="Baskerville" w:hAnsi="Baskerville"/>
          <w:sz w:val="20"/>
          <w:szCs w:val="20"/>
          <w:lang w:val="en-US"/>
        </w:rPr>
        <w:t>1771 UNTS 107; S. Treaty Doc No. 102-38; U.N. Doc. A/AC.237/18 (Part II)/Add.1; 31 ILM 849 (1992)</w:t>
      </w:r>
      <w:r w:rsidRPr="00815F4A">
        <w:rPr>
          <w:rFonts w:ascii="Baskerville" w:hAnsi="Baskerville"/>
          <w:sz w:val="20"/>
          <w:szCs w:val="20"/>
        </w:rPr>
        <w:t>, Art. 3.</w:t>
      </w:r>
      <w:r>
        <w:rPr>
          <w:rFonts w:ascii="Baskerville" w:hAnsi="Baskerville"/>
          <w:color w:val="FF0000"/>
          <w:sz w:val="20"/>
          <w:szCs w:val="20"/>
        </w:rPr>
        <w:t xml:space="preserve"> </w:t>
      </w:r>
    </w:p>
  </w:footnote>
  <w:footnote w:id="39">
    <w:p w14:paraId="56C60AC3" w14:textId="4530E83E" w:rsidR="00747095" w:rsidRPr="00D62FB4" w:rsidRDefault="00747095">
      <w:pPr>
        <w:pStyle w:val="FootnoteText"/>
        <w:rPr>
          <w:rFonts w:ascii="Baskerville" w:hAnsi="Baskerville"/>
          <w:sz w:val="20"/>
          <w:szCs w:val="20"/>
          <w:lang w:val="en-US"/>
        </w:rPr>
      </w:pPr>
      <w:r w:rsidRPr="00D62FB4">
        <w:rPr>
          <w:rStyle w:val="FootnoteReference"/>
          <w:rFonts w:ascii="Baskerville" w:hAnsi="Baskerville"/>
          <w:sz w:val="20"/>
          <w:szCs w:val="20"/>
        </w:rPr>
        <w:footnoteRef/>
      </w:r>
      <w:r w:rsidRPr="00D62FB4">
        <w:rPr>
          <w:rFonts w:ascii="Baskerville" w:hAnsi="Baskerville"/>
          <w:sz w:val="20"/>
          <w:szCs w:val="20"/>
        </w:rPr>
        <w:t xml:space="preserve"> </w:t>
      </w:r>
      <w:r w:rsidRPr="00D62FB4">
        <w:rPr>
          <w:rFonts w:ascii="Baskerville" w:hAnsi="Baskerville"/>
          <w:sz w:val="20"/>
          <w:szCs w:val="20"/>
          <w:lang w:val="en-US"/>
        </w:rPr>
        <w:t>Pest Control Products Act S.C. 2002, c. 28; Canada Marine Conservation Areas Act 2002.</w:t>
      </w:r>
    </w:p>
  </w:footnote>
  <w:footnote w:id="40">
    <w:p w14:paraId="0A0B377A" w14:textId="4E9AE807" w:rsidR="00747095" w:rsidRPr="00B94F59" w:rsidRDefault="00747095">
      <w:pPr>
        <w:pStyle w:val="FootnoteText"/>
        <w:rPr>
          <w:rFonts w:ascii="Baskerville" w:hAnsi="Baskerville"/>
          <w:sz w:val="20"/>
          <w:szCs w:val="20"/>
          <w:lang w:val="en-US"/>
        </w:rPr>
      </w:pPr>
      <w:r w:rsidRPr="00D62FB4">
        <w:rPr>
          <w:rStyle w:val="FootnoteReference"/>
          <w:rFonts w:ascii="Baskerville" w:hAnsi="Baskerville"/>
          <w:sz w:val="20"/>
          <w:szCs w:val="20"/>
        </w:rPr>
        <w:footnoteRef/>
      </w:r>
      <w:r w:rsidRPr="00D62FB4">
        <w:rPr>
          <w:rFonts w:ascii="Baskerville" w:hAnsi="Baskerville"/>
          <w:sz w:val="20"/>
          <w:szCs w:val="20"/>
        </w:rPr>
        <w:t xml:space="preserve"> </w:t>
      </w:r>
      <w:r w:rsidRPr="00D62FB4">
        <w:rPr>
          <w:rFonts w:ascii="Baskerville" w:hAnsi="Baskerville"/>
          <w:sz w:val="20"/>
          <w:szCs w:val="20"/>
          <w:lang w:val="en-US"/>
        </w:rPr>
        <w:t>Canada Consumer Product Safety Act 2010.</w:t>
      </w:r>
    </w:p>
  </w:footnote>
  <w:footnote w:id="41">
    <w:p w14:paraId="1EC34F5F" w14:textId="55386D1D" w:rsidR="00747095" w:rsidRPr="00A571F3" w:rsidRDefault="00747095">
      <w:pPr>
        <w:pStyle w:val="FootnoteText"/>
        <w:rPr>
          <w:rFonts w:ascii="Baskerville" w:hAnsi="Baskerville"/>
          <w:sz w:val="20"/>
          <w:szCs w:val="20"/>
          <w:lang w:val="en-US"/>
        </w:rPr>
      </w:pPr>
      <w:r w:rsidRPr="00A571F3">
        <w:rPr>
          <w:rStyle w:val="FootnoteReference"/>
          <w:rFonts w:ascii="Baskerville" w:hAnsi="Baskerville"/>
          <w:sz w:val="20"/>
          <w:szCs w:val="20"/>
        </w:rPr>
        <w:footnoteRef/>
      </w:r>
      <w:r w:rsidRPr="00A571F3">
        <w:rPr>
          <w:rFonts w:ascii="Baskerville" w:hAnsi="Baskerville"/>
          <w:sz w:val="20"/>
          <w:szCs w:val="20"/>
        </w:rPr>
        <w:t xml:space="preserve"> </w:t>
      </w:r>
      <w:r w:rsidRPr="00BE5372">
        <w:rPr>
          <w:rFonts w:ascii="Baskerville" w:hAnsi="Baskerville"/>
          <w:sz w:val="20"/>
          <w:szCs w:val="20"/>
        </w:rPr>
        <w:t xml:space="preserve">Government of Canada, </w:t>
      </w:r>
      <w:r w:rsidRPr="00BE5372">
        <w:rPr>
          <w:rFonts w:ascii="Baskerville" w:hAnsi="Baskerville"/>
          <w:sz w:val="20"/>
          <w:szCs w:val="20"/>
          <w:lang w:val="en-US"/>
        </w:rPr>
        <w:t>‘A Canadian Perspective on the Precautionary Approach/Principle’, Canadian Government Discussion Paper (September 2001).</w:t>
      </w:r>
    </w:p>
  </w:footnote>
  <w:footnote w:id="42">
    <w:p w14:paraId="10A404F7" w14:textId="675BF087" w:rsidR="00747095" w:rsidRPr="002923CB" w:rsidRDefault="00747095">
      <w:pPr>
        <w:pStyle w:val="FootnoteText"/>
        <w:rPr>
          <w:rFonts w:ascii="Baskerville" w:hAnsi="Baskerville"/>
          <w:sz w:val="20"/>
          <w:szCs w:val="20"/>
          <w:lang w:val="en-US"/>
        </w:rPr>
      </w:pPr>
      <w:r w:rsidRPr="002923CB">
        <w:rPr>
          <w:rStyle w:val="FootnoteReference"/>
          <w:rFonts w:ascii="Baskerville" w:hAnsi="Baskerville"/>
          <w:sz w:val="20"/>
          <w:szCs w:val="20"/>
        </w:rPr>
        <w:footnoteRef/>
      </w:r>
      <w:r w:rsidRPr="002923CB">
        <w:rPr>
          <w:rFonts w:ascii="Baskerville" w:hAnsi="Baskerville"/>
          <w:sz w:val="20"/>
          <w:szCs w:val="20"/>
        </w:rPr>
        <w:t xml:space="preserve"> </w:t>
      </w:r>
      <w:r>
        <w:rPr>
          <w:rFonts w:ascii="Baskerville" w:hAnsi="Baskerville"/>
          <w:sz w:val="20"/>
          <w:szCs w:val="20"/>
        </w:rPr>
        <w:t>Ibid.</w:t>
      </w:r>
    </w:p>
  </w:footnote>
  <w:footnote w:id="43">
    <w:p w14:paraId="7E3FBD1E" w14:textId="1C38C61F" w:rsidR="00747095" w:rsidRPr="00A41E8C" w:rsidRDefault="00747095">
      <w:pPr>
        <w:pStyle w:val="FootnoteText"/>
        <w:rPr>
          <w:rFonts w:ascii="Baskerville" w:hAnsi="Baskerville"/>
          <w:sz w:val="20"/>
          <w:szCs w:val="20"/>
          <w:lang w:val="en-US"/>
        </w:rPr>
      </w:pPr>
      <w:r w:rsidRPr="00A41E8C">
        <w:rPr>
          <w:rStyle w:val="FootnoteReference"/>
          <w:rFonts w:ascii="Baskerville" w:hAnsi="Baskerville"/>
          <w:sz w:val="20"/>
          <w:szCs w:val="20"/>
        </w:rPr>
        <w:footnoteRef/>
      </w:r>
      <w:r w:rsidRPr="00A41E8C">
        <w:rPr>
          <w:rFonts w:ascii="Baskerville" w:hAnsi="Baskerville"/>
          <w:sz w:val="20"/>
          <w:szCs w:val="20"/>
        </w:rPr>
        <w:t xml:space="preserve"> The Rio Declaration (n 4), Principle 16.</w:t>
      </w:r>
    </w:p>
  </w:footnote>
  <w:footnote w:id="44">
    <w:p w14:paraId="7AD313A4" w14:textId="17717964" w:rsidR="00747095" w:rsidRPr="00B748AB" w:rsidRDefault="00747095" w:rsidP="002A25C7">
      <w:pPr>
        <w:pStyle w:val="FootnoteText"/>
        <w:rPr>
          <w:rFonts w:ascii="Baskerville" w:hAnsi="Baskerville"/>
          <w:b/>
          <w:bCs/>
          <w:sz w:val="20"/>
          <w:szCs w:val="20"/>
          <w:lang w:val="en-US"/>
        </w:rPr>
      </w:pPr>
      <w:r w:rsidRPr="00B748AB">
        <w:rPr>
          <w:rStyle w:val="FootnoteReference"/>
          <w:rFonts w:ascii="Baskerville" w:hAnsi="Baskerville"/>
          <w:sz w:val="20"/>
          <w:szCs w:val="20"/>
        </w:rPr>
        <w:footnoteRef/>
      </w:r>
      <w:r w:rsidRPr="00B748AB">
        <w:rPr>
          <w:rFonts w:ascii="Baskerville" w:hAnsi="Baskerville"/>
          <w:sz w:val="20"/>
          <w:szCs w:val="20"/>
        </w:rPr>
        <w:t xml:space="preserve"> </w:t>
      </w:r>
      <w:r w:rsidRPr="00B748AB">
        <w:rPr>
          <w:rFonts w:ascii="Baskerville" w:hAnsi="Baskerville"/>
          <w:sz w:val="20"/>
          <w:szCs w:val="20"/>
          <w:lang w:val="en-US"/>
        </w:rPr>
        <w:t xml:space="preserve">Guruswamy (n </w:t>
      </w:r>
      <w:r w:rsidR="00B748AB" w:rsidRPr="00B748AB">
        <w:rPr>
          <w:rFonts w:ascii="Baskerville" w:hAnsi="Baskerville"/>
          <w:sz w:val="20"/>
          <w:szCs w:val="20"/>
          <w:lang w:val="en-US"/>
        </w:rPr>
        <w:t>25</w:t>
      </w:r>
      <w:r w:rsidRPr="00B748AB">
        <w:rPr>
          <w:rFonts w:ascii="Baskerville" w:hAnsi="Baskerville"/>
          <w:sz w:val="20"/>
          <w:szCs w:val="20"/>
          <w:lang w:val="en-US"/>
        </w:rPr>
        <w:t>)</w:t>
      </w:r>
      <w:r w:rsidRPr="00B748AB">
        <w:rPr>
          <w:rFonts w:ascii="Baskerville" w:hAnsi="Baskerville"/>
          <w:sz w:val="20"/>
          <w:szCs w:val="20"/>
        </w:rPr>
        <w:t>, at 655.</w:t>
      </w:r>
    </w:p>
  </w:footnote>
  <w:footnote w:id="45">
    <w:p w14:paraId="03C626EF" w14:textId="1D87D936" w:rsidR="00747095" w:rsidRPr="00D97B21" w:rsidRDefault="00747095">
      <w:pPr>
        <w:pStyle w:val="FootnoteText"/>
        <w:rPr>
          <w:rFonts w:ascii="Baskerville" w:hAnsi="Baskerville"/>
          <w:sz w:val="20"/>
          <w:szCs w:val="20"/>
          <w:lang w:val="en-US"/>
        </w:rPr>
      </w:pPr>
      <w:r w:rsidRPr="00D97B21">
        <w:rPr>
          <w:rStyle w:val="FootnoteReference"/>
          <w:rFonts w:ascii="Baskerville" w:hAnsi="Baskerville"/>
          <w:sz w:val="20"/>
          <w:szCs w:val="20"/>
        </w:rPr>
        <w:footnoteRef/>
      </w:r>
      <w:r w:rsidRPr="00D97B21">
        <w:rPr>
          <w:rFonts w:ascii="Baskerville" w:hAnsi="Baskerville"/>
          <w:sz w:val="20"/>
          <w:szCs w:val="20"/>
        </w:rPr>
        <w:t xml:space="preserve"> </w:t>
      </w:r>
      <w:r w:rsidRPr="00D97B21">
        <w:rPr>
          <w:rFonts w:ascii="Baskerville" w:hAnsi="Baskerville"/>
          <w:sz w:val="20"/>
          <w:szCs w:val="20"/>
          <w:lang w:val="en-US"/>
        </w:rPr>
        <w:t>Address by A. Campbell, Central Unit on the Environment, Department of the Environment, U.K., Symposium on Application and Enforcement of Environmental Law, King</w:t>
      </w:r>
      <w:r>
        <w:rPr>
          <w:rFonts w:ascii="Baskerville" w:hAnsi="Baskerville"/>
          <w:sz w:val="20"/>
          <w:szCs w:val="20"/>
          <w:lang w:val="en-US"/>
        </w:rPr>
        <w:t>’</w:t>
      </w:r>
      <w:r w:rsidRPr="00D97B21">
        <w:rPr>
          <w:rFonts w:ascii="Baskerville" w:hAnsi="Baskerville"/>
          <w:sz w:val="20"/>
          <w:szCs w:val="20"/>
          <w:lang w:val="en-US"/>
        </w:rPr>
        <w:t xml:space="preserve">s College, London (May 30, 1990). </w:t>
      </w:r>
    </w:p>
  </w:footnote>
  <w:footnote w:id="46">
    <w:p w14:paraId="12CD3A5C" w14:textId="13A0024D" w:rsidR="00747095" w:rsidRPr="003F17F3" w:rsidRDefault="00747095">
      <w:pPr>
        <w:pStyle w:val="FootnoteText"/>
        <w:rPr>
          <w:rFonts w:ascii="Baskerville" w:hAnsi="Baskerville"/>
          <w:sz w:val="20"/>
          <w:szCs w:val="20"/>
          <w:lang w:val="en-US"/>
        </w:rPr>
      </w:pPr>
      <w:r w:rsidRPr="003F17F3">
        <w:rPr>
          <w:rStyle w:val="FootnoteReference"/>
          <w:rFonts w:ascii="Baskerville" w:hAnsi="Baskerville"/>
          <w:sz w:val="20"/>
          <w:szCs w:val="20"/>
        </w:rPr>
        <w:footnoteRef/>
      </w:r>
      <w:r w:rsidRPr="003F17F3">
        <w:rPr>
          <w:rFonts w:ascii="Baskerville" w:hAnsi="Baskerville"/>
          <w:sz w:val="20"/>
          <w:szCs w:val="20"/>
        </w:rPr>
        <w:t xml:space="preserve"> </w:t>
      </w:r>
      <w:r>
        <w:rPr>
          <w:rFonts w:ascii="Baskerville" w:hAnsi="Baskerville"/>
          <w:sz w:val="20"/>
          <w:szCs w:val="20"/>
        </w:rPr>
        <w:t>Ibid.</w:t>
      </w:r>
    </w:p>
  </w:footnote>
  <w:footnote w:id="47">
    <w:p w14:paraId="2BB1D71D" w14:textId="77777777" w:rsidR="00747095" w:rsidRPr="003F17F3" w:rsidRDefault="00747095" w:rsidP="003F17F3">
      <w:pPr>
        <w:pStyle w:val="FootnoteText"/>
        <w:rPr>
          <w:rFonts w:ascii="Baskerville" w:hAnsi="Baskerville"/>
          <w:sz w:val="20"/>
          <w:szCs w:val="20"/>
          <w:lang w:val="en-US"/>
        </w:rPr>
      </w:pPr>
      <w:r w:rsidRPr="003F17F3">
        <w:rPr>
          <w:rStyle w:val="FootnoteReference"/>
          <w:rFonts w:ascii="Baskerville" w:hAnsi="Baskerville"/>
          <w:sz w:val="20"/>
          <w:szCs w:val="20"/>
        </w:rPr>
        <w:footnoteRef/>
      </w:r>
      <w:r w:rsidRPr="003F17F3">
        <w:rPr>
          <w:rFonts w:ascii="Baskerville" w:hAnsi="Baskerville"/>
          <w:sz w:val="20"/>
          <w:szCs w:val="20"/>
        </w:rPr>
        <w:t xml:space="preserve"> </w:t>
      </w:r>
      <w:r>
        <w:rPr>
          <w:rFonts w:ascii="Baskerville" w:hAnsi="Baskerville"/>
          <w:sz w:val="20"/>
          <w:szCs w:val="20"/>
        </w:rPr>
        <w:t>Ibid.</w:t>
      </w:r>
    </w:p>
  </w:footnote>
  <w:footnote w:id="48">
    <w:p w14:paraId="737894C5" w14:textId="66508945" w:rsidR="00747095" w:rsidRPr="00C70E9C" w:rsidRDefault="00747095">
      <w:pPr>
        <w:pStyle w:val="FootnoteText"/>
        <w:rPr>
          <w:rFonts w:ascii="Baskerville" w:hAnsi="Baskerville"/>
          <w:sz w:val="20"/>
          <w:szCs w:val="20"/>
          <w:lang w:val="en-US"/>
        </w:rPr>
      </w:pPr>
      <w:r w:rsidRPr="008E73DA">
        <w:rPr>
          <w:rStyle w:val="FootnoteReference"/>
          <w:rFonts w:ascii="Baskerville" w:hAnsi="Baskerville"/>
          <w:sz w:val="20"/>
          <w:szCs w:val="20"/>
        </w:rPr>
        <w:footnoteRef/>
      </w:r>
      <w:r w:rsidRPr="008E73DA">
        <w:rPr>
          <w:rFonts w:ascii="Baskerville" w:hAnsi="Baskerville"/>
          <w:sz w:val="20"/>
          <w:szCs w:val="20"/>
        </w:rPr>
        <w:t xml:space="preserve"> </w:t>
      </w:r>
      <w:r w:rsidR="00037ED4">
        <w:rPr>
          <w:rFonts w:ascii="Baskerville" w:hAnsi="Baskerville"/>
          <w:sz w:val="20"/>
          <w:szCs w:val="20"/>
        </w:rPr>
        <w:t xml:space="preserve">R.R. </w:t>
      </w:r>
      <w:r w:rsidRPr="008E73DA">
        <w:rPr>
          <w:rFonts w:ascii="Baskerville" w:hAnsi="Baskerville"/>
          <w:sz w:val="20"/>
          <w:szCs w:val="20"/>
          <w:lang w:val="en-US"/>
        </w:rPr>
        <w:t xml:space="preserve">Churchill &amp; </w:t>
      </w:r>
      <w:r w:rsidR="00037ED4">
        <w:rPr>
          <w:rFonts w:ascii="Baskerville" w:hAnsi="Baskerville"/>
          <w:sz w:val="20"/>
          <w:szCs w:val="20"/>
          <w:lang w:val="en-US"/>
        </w:rPr>
        <w:t xml:space="preserve">J. </w:t>
      </w:r>
      <w:r w:rsidRPr="008E73DA">
        <w:rPr>
          <w:rFonts w:ascii="Baskerville" w:hAnsi="Baskerville"/>
          <w:sz w:val="20"/>
          <w:szCs w:val="20"/>
          <w:lang w:val="en-US"/>
        </w:rPr>
        <w:t xml:space="preserve">Gibson, </w:t>
      </w:r>
      <w:r w:rsidRPr="008E73DA">
        <w:rPr>
          <w:rFonts w:ascii="Baskerville" w:hAnsi="Baskerville"/>
          <w:i/>
          <w:iCs/>
          <w:sz w:val="20"/>
          <w:szCs w:val="20"/>
          <w:lang w:val="en-US"/>
        </w:rPr>
        <w:t xml:space="preserve">The Implementation of the North Sea Declarations by the United Kingdom: An Assessment, </w:t>
      </w:r>
      <w:r w:rsidRPr="008E73DA">
        <w:rPr>
          <w:rFonts w:ascii="Baskerville" w:hAnsi="Baskerville"/>
          <w:sz w:val="20"/>
          <w:szCs w:val="20"/>
          <w:lang w:val="en-US"/>
        </w:rPr>
        <w:t>in T</w:t>
      </w:r>
      <w:r>
        <w:rPr>
          <w:rFonts w:ascii="Baskerville" w:hAnsi="Baskerville"/>
          <w:sz w:val="20"/>
          <w:szCs w:val="20"/>
          <w:lang w:val="en-US"/>
        </w:rPr>
        <w:t>hird North Sea Conference: Greenpeace Paper</w:t>
      </w:r>
      <w:r w:rsidRPr="008E73DA">
        <w:rPr>
          <w:rFonts w:ascii="Baskerville" w:hAnsi="Baskerville"/>
          <w:sz w:val="20"/>
          <w:szCs w:val="20"/>
          <w:lang w:val="en-US"/>
        </w:rPr>
        <w:t xml:space="preserve"> </w:t>
      </w:r>
      <w:r>
        <w:rPr>
          <w:rFonts w:ascii="Baskerville" w:hAnsi="Baskerville"/>
          <w:sz w:val="20"/>
          <w:szCs w:val="20"/>
          <w:lang w:val="en-US"/>
        </w:rPr>
        <w:t xml:space="preserve">(1990) </w:t>
      </w:r>
      <w:r w:rsidRPr="008E73DA">
        <w:rPr>
          <w:rFonts w:ascii="Baskerville" w:hAnsi="Baskerville"/>
          <w:sz w:val="20"/>
          <w:szCs w:val="20"/>
          <w:lang w:val="en-US"/>
        </w:rPr>
        <w:t>17</w:t>
      </w:r>
      <w:r>
        <w:rPr>
          <w:rFonts w:ascii="Baskerville" w:hAnsi="Baskerville"/>
          <w:sz w:val="20"/>
          <w:szCs w:val="20"/>
          <w:lang w:val="en-US"/>
        </w:rPr>
        <w:t>, at 40</w:t>
      </w:r>
      <w:r w:rsidRPr="008E73DA">
        <w:rPr>
          <w:rFonts w:ascii="Baskerville" w:hAnsi="Baskerville"/>
          <w:sz w:val="20"/>
          <w:szCs w:val="20"/>
          <w:lang w:val="en-US"/>
        </w:rPr>
        <w:t xml:space="preserve">. </w:t>
      </w:r>
      <w:r w:rsidRPr="00C70E9C">
        <w:rPr>
          <w:rFonts w:ascii="Baskerville" w:hAnsi="Baskerville"/>
          <w:sz w:val="20"/>
          <w:szCs w:val="20"/>
          <w:lang w:val="en-US"/>
        </w:rPr>
        <w:t xml:space="preserve">The Red List contains 23 substances, including mercury, cadmium, and DDT (at 46). </w:t>
      </w:r>
    </w:p>
  </w:footnote>
  <w:footnote w:id="49">
    <w:p w14:paraId="6054BB6F" w14:textId="66DF2CF8" w:rsidR="00747095" w:rsidRPr="008C6FD0" w:rsidRDefault="00747095">
      <w:pPr>
        <w:pStyle w:val="FootnoteText"/>
        <w:rPr>
          <w:rFonts w:ascii="Baskerville" w:hAnsi="Baskerville"/>
          <w:sz w:val="20"/>
          <w:szCs w:val="20"/>
          <w:lang w:val="en-US"/>
        </w:rPr>
      </w:pPr>
      <w:r w:rsidRPr="008C6FD0">
        <w:rPr>
          <w:rStyle w:val="FootnoteReference"/>
          <w:rFonts w:ascii="Baskerville" w:hAnsi="Baskerville"/>
          <w:sz w:val="20"/>
          <w:szCs w:val="20"/>
        </w:rPr>
        <w:footnoteRef/>
      </w:r>
      <w:r w:rsidRPr="008C6FD0">
        <w:rPr>
          <w:rFonts w:ascii="Baskerville" w:hAnsi="Baskerville"/>
          <w:sz w:val="20"/>
          <w:szCs w:val="20"/>
        </w:rPr>
        <w:t xml:space="preserve"> </w:t>
      </w:r>
      <w:r>
        <w:rPr>
          <w:rFonts w:ascii="Baskerville" w:hAnsi="Baskerville"/>
          <w:sz w:val="20"/>
          <w:szCs w:val="20"/>
        </w:rPr>
        <w:t>Ibid, at 44.</w:t>
      </w:r>
    </w:p>
  </w:footnote>
  <w:footnote w:id="50">
    <w:p w14:paraId="115451E1" w14:textId="41454266" w:rsidR="00747095" w:rsidRPr="003F17F3" w:rsidRDefault="00747095">
      <w:pPr>
        <w:pStyle w:val="FootnoteText"/>
        <w:rPr>
          <w:rFonts w:ascii="Baskerville" w:hAnsi="Baskerville"/>
          <w:sz w:val="20"/>
          <w:szCs w:val="20"/>
          <w:lang w:val="en-US"/>
        </w:rPr>
      </w:pPr>
      <w:r w:rsidRPr="003F17F3">
        <w:rPr>
          <w:rStyle w:val="FootnoteReference"/>
          <w:rFonts w:ascii="Baskerville" w:hAnsi="Baskerville"/>
          <w:sz w:val="20"/>
          <w:szCs w:val="20"/>
        </w:rPr>
        <w:footnoteRef/>
      </w:r>
      <w:r w:rsidRPr="003F17F3">
        <w:rPr>
          <w:rFonts w:ascii="Baskerville" w:hAnsi="Baskerville"/>
          <w:sz w:val="20"/>
          <w:szCs w:val="20"/>
        </w:rPr>
        <w:t xml:space="preserve"> </w:t>
      </w:r>
      <w:r>
        <w:rPr>
          <w:rFonts w:ascii="Baskerville" w:hAnsi="Baskerville"/>
          <w:sz w:val="20"/>
          <w:szCs w:val="20"/>
        </w:rPr>
        <w:t>Ibid.</w:t>
      </w:r>
    </w:p>
  </w:footnote>
  <w:footnote w:id="51">
    <w:p w14:paraId="4B69DD0E" w14:textId="1D56D6D6" w:rsidR="00747095" w:rsidRPr="00760DCB" w:rsidRDefault="00747095">
      <w:pPr>
        <w:pStyle w:val="FootnoteText"/>
        <w:rPr>
          <w:rFonts w:ascii="Baskerville" w:hAnsi="Baskerville"/>
          <w:sz w:val="20"/>
          <w:szCs w:val="20"/>
          <w:lang w:val="en-US"/>
        </w:rPr>
      </w:pPr>
      <w:r w:rsidRPr="00760DCB">
        <w:rPr>
          <w:rStyle w:val="FootnoteReference"/>
          <w:rFonts w:ascii="Baskerville" w:hAnsi="Baskerville"/>
          <w:sz w:val="20"/>
          <w:szCs w:val="20"/>
        </w:rPr>
        <w:footnoteRef/>
      </w:r>
      <w:r w:rsidRPr="00760DCB">
        <w:rPr>
          <w:rFonts w:ascii="Baskerville" w:hAnsi="Baskerville"/>
          <w:sz w:val="20"/>
          <w:szCs w:val="20"/>
        </w:rPr>
        <w:t xml:space="preserve"> </w:t>
      </w:r>
      <w:r w:rsidRPr="00760DCB">
        <w:rPr>
          <w:rFonts w:ascii="Baskerville" w:hAnsi="Baskerville"/>
          <w:i/>
          <w:iCs/>
          <w:sz w:val="20"/>
          <w:szCs w:val="20"/>
          <w:lang w:val="en-US"/>
        </w:rPr>
        <w:t xml:space="preserve">Focus Report, </w:t>
      </w:r>
      <w:r>
        <w:rPr>
          <w:rFonts w:ascii="Baskerville" w:hAnsi="Baskerville"/>
          <w:iCs/>
          <w:sz w:val="20"/>
          <w:szCs w:val="20"/>
          <w:lang w:val="en-US"/>
        </w:rPr>
        <w:t>‘Global Environmental Change Rep.’ (25/5/1990)</w:t>
      </w:r>
      <w:r>
        <w:rPr>
          <w:rFonts w:ascii="Baskerville" w:hAnsi="Baskerville"/>
          <w:i/>
          <w:iCs/>
          <w:sz w:val="20"/>
          <w:szCs w:val="20"/>
          <w:lang w:val="en-US"/>
        </w:rPr>
        <w:t>,</w:t>
      </w:r>
      <w:r w:rsidRPr="00760DCB">
        <w:rPr>
          <w:rFonts w:ascii="Baskerville" w:hAnsi="Baskerville"/>
          <w:sz w:val="20"/>
          <w:szCs w:val="20"/>
          <w:lang w:val="en-US"/>
        </w:rPr>
        <w:t xml:space="preserve"> at 2</w:t>
      </w:r>
      <w:r>
        <w:rPr>
          <w:rFonts w:ascii="Baskerville" w:hAnsi="Baskerville"/>
          <w:sz w:val="20"/>
          <w:szCs w:val="20"/>
          <w:lang w:val="en-US"/>
        </w:rPr>
        <w:t xml:space="preserve">. </w:t>
      </w:r>
      <w:r w:rsidRPr="009C18B4">
        <w:rPr>
          <w:rFonts w:ascii="Baskerville" w:hAnsi="Baskerville"/>
          <w:sz w:val="20"/>
          <w:szCs w:val="20"/>
          <w:lang w:val="en-US"/>
        </w:rPr>
        <w:t>A U.S. communique indicated that the United Sta</w:t>
      </w:r>
      <w:r>
        <w:rPr>
          <w:rFonts w:ascii="Baskerville" w:hAnsi="Baskerville"/>
          <w:sz w:val="20"/>
          <w:szCs w:val="20"/>
          <w:lang w:val="en-US"/>
        </w:rPr>
        <w:t>tes “does not believe, as appar</w:t>
      </w:r>
      <w:r w:rsidRPr="009C18B4">
        <w:rPr>
          <w:rFonts w:ascii="Baskerville" w:hAnsi="Baskerville"/>
          <w:sz w:val="20"/>
          <w:szCs w:val="20"/>
          <w:lang w:val="en-US"/>
        </w:rPr>
        <w:t>ently some do</w:t>
      </w:r>
      <w:r>
        <w:rPr>
          <w:rFonts w:ascii="Baskerville" w:hAnsi="Baskerville"/>
          <w:sz w:val="20"/>
          <w:szCs w:val="20"/>
          <w:lang w:val="en-US"/>
        </w:rPr>
        <w:t xml:space="preserve">, </w:t>
      </w:r>
      <w:r w:rsidRPr="009C18B4">
        <w:rPr>
          <w:rFonts w:ascii="Baskerville" w:hAnsi="Baskerville"/>
          <w:sz w:val="20"/>
          <w:szCs w:val="20"/>
          <w:lang w:val="en-US"/>
        </w:rPr>
        <w:t>that we can lightly accept the ... language in the expectation that it will be forgotten with t</w:t>
      </w:r>
      <w:r>
        <w:rPr>
          <w:rFonts w:ascii="Baskerville" w:hAnsi="Baskerville"/>
          <w:sz w:val="20"/>
          <w:szCs w:val="20"/>
          <w:lang w:val="en-US"/>
        </w:rPr>
        <w:t>he passage of time”.</w:t>
      </w:r>
      <w:r w:rsidRPr="009C18B4">
        <w:rPr>
          <w:rFonts w:ascii="Baskerville" w:hAnsi="Baskerville"/>
          <w:sz w:val="20"/>
          <w:szCs w:val="20"/>
          <w:lang w:val="en-US"/>
        </w:rPr>
        <w:t xml:space="preserve"> </w:t>
      </w:r>
    </w:p>
  </w:footnote>
  <w:footnote w:id="52">
    <w:p w14:paraId="2CC050E7" w14:textId="1EF3D397" w:rsidR="00747095" w:rsidRPr="00733201" w:rsidRDefault="00747095">
      <w:pPr>
        <w:pStyle w:val="FootnoteText"/>
        <w:rPr>
          <w:rFonts w:ascii="Baskerville" w:hAnsi="Baskerville"/>
          <w:sz w:val="20"/>
          <w:szCs w:val="20"/>
          <w:lang w:val="en-US"/>
        </w:rPr>
      </w:pPr>
      <w:r w:rsidRPr="0051339F">
        <w:rPr>
          <w:rStyle w:val="FootnoteReference"/>
          <w:rFonts w:ascii="Baskerville" w:hAnsi="Baskerville"/>
          <w:sz w:val="20"/>
          <w:szCs w:val="20"/>
        </w:rPr>
        <w:footnoteRef/>
      </w:r>
      <w:r w:rsidRPr="0051339F">
        <w:rPr>
          <w:rFonts w:ascii="Baskerville" w:hAnsi="Baskerville"/>
          <w:sz w:val="20"/>
          <w:szCs w:val="20"/>
        </w:rPr>
        <w:t xml:space="preserve"> </w:t>
      </w:r>
      <w:r w:rsidRPr="002828EF">
        <w:rPr>
          <w:rFonts w:ascii="Baskerville" w:hAnsi="Baskerville"/>
          <w:sz w:val="20"/>
          <w:szCs w:val="20"/>
          <w:lang w:val="en-US"/>
        </w:rPr>
        <w:t>M</w:t>
      </w:r>
      <w:r>
        <w:rPr>
          <w:rFonts w:ascii="Baskerville" w:hAnsi="Baskerville"/>
          <w:sz w:val="20"/>
          <w:szCs w:val="20"/>
          <w:lang w:val="en-US"/>
        </w:rPr>
        <w:t>. Kruhly, ‘</w:t>
      </w:r>
      <w:r w:rsidRPr="007C401E">
        <w:rPr>
          <w:rFonts w:ascii="Baskerville" w:hAnsi="Baskerville"/>
          <w:sz w:val="20"/>
          <w:szCs w:val="20"/>
          <w:lang w:val="en-US"/>
        </w:rPr>
        <w:t>From the Archives, 1990: U.S. Deemed a Wastrel of Energy</w:t>
      </w:r>
      <w:r>
        <w:rPr>
          <w:rFonts w:ascii="Baskerville" w:hAnsi="Baskerville"/>
          <w:sz w:val="20"/>
          <w:szCs w:val="20"/>
          <w:lang w:val="en-US"/>
        </w:rPr>
        <w:t xml:space="preserve">’, </w:t>
      </w:r>
      <w:r>
        <w:rPr>
          <w:rFonts w:ascii="Baskerville" w:hAnsi="Baskerville"/>
          <w:i/>
          <w:sz w:val="20"/>
          <w:szCs w:val="20"/>
          <w:lang w:val="en-US"/>
        </w:rPr>
        <w:t xml:space="preserve">The New York Times </w:t>
      </w:r>
      <w:r>
        <w:rPr>
          <w:rFonts w:ascii="Baskerville" w:hAnsi="Baskerville"/>
          <w:sz w:val="20"/>
          <w:szCs w:val="20"/>
          <w:lang w:val="en-US"/>
        </w:rPr>
        <w:t>(2/12/2015) &lt;</w:t>
      </w:r>
      <w:r w:rsidRPr="001F1A66">
        <w:rPr>
          <w:rFonts w:ascii="Baskerville" w:hAnsi="Baskerville"/>
          <w:sz w:val="20"/>
          <w:szCs w:val="20"/>
          <w:lang w:val="en-US"/>
        </w:rPr>
        <w:t>https://www.nytimes.com/interactive/projects/cp/climate/2015-paris-climate-talks/from-the-archives-1990-us-energy</w:t>
      </w:r>
      <w:r>
        <w:rPr>
          <w:rFonts w:ascii="Baskerville" w:hAnsi="Baskerville"/>
          <w:sz w:val="20"/>
          <w:szCs w:val="20"/>
          <w:lang w:val="en-US"/>
        </w:rPr>
        <w:t>&gt; Date accessed: 18</w:t>
      </w:r>
      <w:r>
        <w:rPr>
          <w:rFonts w:ascii="Baskerville" w:hAnsi="Baskerville"/>
          <w:sz w:val="20"/>
          <w:szCs w:val="20"/>
          <w:vertAlign w:val="superscript"/>
          <w:lang w:val="en-US"/>
        </w:rPr>
        <w:t xml:space="preserve"> </w:t>
      </w:r>
      <w:r>
        <w:rPr>
          <w:rFonts w:ascii="Baskerville" w:hAnsi="Baskerville"/>
          <w:sz w:val="20"/>
          <w:szCs w:val="20"/>
          <w:lang w:val="en-US"/>
        </w:rPr>
        <w:t xml:space="preserve">January 2017. </w:t>
      </w:r>
      <w:r w:rsidRPr="0051339F">
        <w:rPr>
          <w:rFonts w:ascii="Baskerville" w:hAnsi="Baskerville"/>
          <w:sz w:val="20"/>
          <w:szCs w:val="20"/>
          <w:lang w:val="en-US"/>
        </w:rPr>
        <w:t xml:space="preserve">Ministers from more than 100  countries participated in the </w:t>
      </w:r>
      <w:r>
        <w:rPr>
          <w:rFonts w:ascii="Baskerville" w:hAnsi="Baskerville"/>
          <w:sz w:val="20"/>
          <w:szCs w:val="20"/>
          <w:lang w:val="en-US"/>
        </w:rPr>
        <w:t xml:space="preserve">1990 </w:t>
      </w:r>
      <w:r w:rsidRPr="0051339F">
        <w:rPr>
          <w:rFonts w:ascii="Baskerville" w:hAnsi="Baskerville"/>
          <w:sz w:val="20"/>
          <w:szCs w:val="20"/>
          <w:lang w:val="en-US"/>
        </w:rPr>
        <w:t>Second World Climate Conference</w:t>
      </w:r>
      <w:r>
        <w:rPr>
          <w:rFonts w:ascii="Baskerville" w:hAnsi="Baskerville"/>
          <w:sz w:val="20"/>
          <w:szCs w:val="20"/>
          <w:lang w:val="en-US"/>
        </w:rPr>
        <w:t xml:space="preserve"> in Geneva, Switzerland </w:t>
      </w:r>
      <w:r w:rsidRPr="0051339F">
        <w:rPr>
          <w:rFonts w:ascii="Baskerville" w:hAnsi="Baskerville"/>
          <w:sz w:val="20"/>
          <w:szCs w:val="20"/>
          <w:lang w:val="en-US"/>
        </w:rPr>
        <w:t>and debate</w:t>
      </w:r>
      <w:r>
        <w:rPr>
          <w:rFonts w:ascii="Baskerville" w:hAnsi="Baskerville"/>
          <w:sz w:val="20"/>
          <w:szCs w:val="20"/>
          <w:lang w:val="en-US"/>
        </w:rPr>
        <w:t xml:space="preserve">d </w:t>
      </w:r>
      <w:r w:rsidRPr="0051339F">
        <w:rPr>
          <w:rFonts w:ascii="Baskerville" w:hAnsi="Baskerville"/>
          <w:sz w:val="20"/>
          <w:szCs w:val="20"/>
          <w:lang w:val="en-US"/>
        </w:rPr>
        <w:t>strategies to respond</w:t>
      </w:r>
      <w:r>
        <w:rPr>
          <w:rFonts w:ascii="Baskerville" w:hAnsi="Baskerville"/>
          <w:sz w:val="20"/>
          <w:szCs w:val="20"/>
          <w:lang w:val="en-US"/>
        </w:rPr>
        <w:t xml:space="preserve"> to global climate change. </w:t>
      </w:r>
      <w:r w:rsidRPr="000508A4">
        <w:rPr>
          <w:rFonts w:ascii="Baskerville" w:hAnsi="Baskerville"/>
          <w:sz w:val="20"/>
          <w:szCs w:val="20"/>
          <w:lang w:val="en-US"/>
        </w:rPr>
        <w:t xml:space="preserve">The overwhelming majority of countries were united in calling for immediate action. The United States, however, was strongly opposed to committing itself to cutbacks. </w:t>
      </w:r>
    </w:p>
  </w:footnote>
  <w:footnote w:id="53">
    <w:p w14:paraId="07C6099B" w14:textId="5253C99B" w:rsidR="00747095" w:rsidRPr="0051339F" w:rsidRDefault="00747095">
      <w:pPr>
        <w:pStyle w:val="FootnoteText"/>
        <w:rPr>
          <w:rFonts w:ascii="Baskerville" w:hAnsi="Baskerville"/>
          <w:sz w:val="20"/>
          <w:szCs w:val="20"/>
          <w:lang w:val="en-US"/>
        </w:rPr>
      </w:pPr>
      <w:r w:rsidRPr="0051339F">
        <w:rPr>
          <w:rStyle w:val="FootnoteReference"/>
          <w:rFonts w:ascii="Baskerville" w:hAnsi="Baskerville"/>
          <w:sz w:val="20"/>
          <w:szCs w:val="20"/>
        </w:rPr>
        <w:footnoteRef/>
      </w:r>
      <w:r w:rsidRPr="0051339F">
        <w:rPr>
          <w:rFonts w:ascii="Baskerville" w:hAnsi="Baskerville"/>
          <w:sz w:val="20"/>
          <w:szCs w:val="20"/>
        </w:rPr>
        <w:t xml:space="preserve"> </w:t>
      </w:r>
      <w:r w:rsidRPr="0051339F">
        <w:rPr>
          <w:rFonts w:ascii="Baskerville" w:hAnsi="Baskerville"/>
          <w:sz w:val="20"/>
          <w:szCs w:val="20"/>
          <w:lang w:val="en-US"/>
        </w:rPr>
        <w:t>Address by Secretary of State James Baker, National Governors A</w:t>
      </w:r>
      <w:r>
        <w:rPr>
          <w:rFonts w:ascii="Baskerville" w:hAnsi="Baskerville"/>
          <w:sz w:val="20"/>
          <w:szCs w:val="20"/>
          <w:lang w:val="en-US"/>
        </w:rPr>
        <w:t xml:space="preserve">ssociation, in Washington, D.C. </w:t>
      </w:r>
      <w:r w:rsidRPr="0051339F">
        <w:rPr>
          <w:rFonts w:ascii="Baskerville" w:hAnsi="Baskerville"/>
          <w:sz w:val="20"/>
          <w:szCs w:val="20"/>
          <w:lang w:val="en-US"/>
        </w:rPr>
        <w:t>(</w:t>
      </w:r>
      <w:r>
        <w:rPr>
          <w:rFonts w:ascii="Baskerville" w:hAnsi="Baskerville"/>
          <w:sz w:val="20"/>
          <w:szCs w:val="20"/>
          <w:lang w:val="en-US"/>
        </w:rPr>
        <w:t>26</w:t>
      </w:r>
      <w:r w:rsidRPr="0051339F">
        <w:rPr>
          <w:rFonts w:ascii="Baskerville" w:hAnsi="Baskerville"/>
          <w:sz w:val="20"/>
          <w:szCs w:val="20"/>
          <w:vertAlign w:val="superscript"/>
          <w:lang w:val="en-US"/>
        </w:rPr>
        <w:t>th</w:t>
      </w:r>
      <w:r>
        <w:rPr>
          <w:rFonts w:ascii="Baskerville" w:hAnsi="Baskerville"/>
          <w:sz w:val="20"/>
          <w:szCs w:val="20"/>
          <w:lang w:val="en-US"/>
        </w:rPr>
        <w:t xml:space="preserve"> February </w:t>
      </w:r>
      <w:r w:rsidRPr="0051339F">
        <w:rPr>
          <w:rFonts w:ascii="Baskerville" w:hAnsi="Baskerville"/>
          <w:sz w:val="20"/>
          <w:szCs w:val="20"/>
          <w:lang w:val="en-US"/>
        </w:rPr>
        <w:t xml:space="preserve">1990). </w:t>
      </w:r>
    </w:p>
  </w:footnote>
  <w:footnote w:id="54">
    <w:p w14:paraId="1E743CB2" w14:textId="05FC7378" w:rsidR="00747095" w:rsidRPr="0093547B" w:rsidRDefault="00747095">
      <w:pPr>
        <w:pStyle w:val="FootnoteText"/>
        <w:rPr>
          <w:rFonts w:ascii="Baskerville" w:hAnsi="Baskerville"/>
          <w:sz w:val="20"/>
          <w:szCs w:val="20"/>
          <w:lang w:val="en-US"/>
        </w:rPr>
      </w:pPr>
      <w:r w:rsidRPr="0093547B">
        <w:rPr>
          <w:rStyle w:val="FootnoteReference"/>
          <w:rFonts w:ascii="Baskerville" w:hAnsi="Baskerville"/>
          <w:sz w:val="20"/>
          <w:szCs w:val="20"/>
        </w:rPr>
        <w:footnoteRef/>
      </w:r>
      <w:r w:rsidRPr="0093547B">
        <w:rPr>
          <w:rFonts w:ascii="Baskerville" w:hAnsi="Baskerville"/>
          <w:sz w:val="20"/>
          <w:szCs w:val="20"/>
        </w:rPr>
        <w:t xml:space="preserve"> </w:t>
      </w:r>
      <w:r w:rsidRPr="0093547B">
        <w:rPr>
          <w:rFonts w:ascii="Baskerville" w:hAnsi="Baskerville"/>
          <w:sz w:val="20"/>
          <w:szCs w:val="20"/>
          <w:lang w:val="en-US"/>
        </w:rPr>
        <w:t>Single European Act</w:t>
      </w:r>
      <w:r>
        <w:rPr>
          <w:rFonts w:ascii="Baskerville" w:hAnsi="Baskerville"/>
          <w:sz w:val="20"/>
          <w:szCs w:val="20"/>
          <w:lang w:val="en-US"/>
        </w:rPr>
        <w:t xml:space="preserve"> 1986, Art. 130r(2).</w:t>
      </w:r>
    </w:p>
  </w:footnote>
  <w:footnote w:id="55">
    <w:p w14:paraId="0E10AA47" w14:textId="3E3B09C2" w:rsidR="00747095" w:rsidRPr="00D75DBD" w:rsidRDefault="00747095">
      <w:pPr>
        <w:pStyle w:val="FootnoteText"/>
        <w:rPr>
          <w:rFonts w:ascii="Baskerville" w:hAnsi="Baskerville"/>
          <w:sz w:val="20"/>
          <w:szCs w:val="20"/>
          <w:lang w:val="en-US"/>
        </w:rPr>
      </w:pPr>
      <w:r w:rsidRPr="00D75DBD">
        <w:rPr>
          <w:rStyle w:val="FootnoteReference"/>
          <w:rFonts w:ascii="Baskerville" w:hAnsi="Baskerville"/>
          <w:sz w:val="20"/>
          <w:szCs w:val="20"/>
        </w:rPr>
        <w:footnoteRef/>
      </w:r>
      <w:r w:rsidRPr="00D75DBD">
        <w:rPr>
          <w:rFonts w:ascii="Baskerville" w:hAnsi="Baskerville"/>
          <w:sz w:val="20"/>
          <w:szCs w:val="20"/>
        </w:rPr>
        <w:t xml:space="preserve"> </w:t>
      </w:r>
      <w:r w:rsidRPr="00134C81">
        <w:rPr>
          <w:rFonts w:ascii="Baskerville" w:hAnsi="Baskerville"/>
          <w:sz w:val="20"/>
          <w:szCs w:val="20"/>
          <w:lang w:val="en-US"/>
        </w:rPr>
        <w:t>Conversation with Ludwig Kramer, Directorate General XI, in Brussels (</w:t>
      </w:r>
      <w:r>
        <w:rPr>
          <w:rFonts w:ascii="Baskerville" w:hAnsi="Baskerville"/>
          <w:sz w:val="20"/>
          <w:szCs w:val="20"/>
          <w:lang w:val="en-US"/>
        </w:rPr>
        <w:t>2</w:t>
      </w:r>
      <w:r w:rsidRPr="00134C81">
        <w:rPr>
          <w:rFonts w:ascii="Baskerville" w:hAnsi="Baskerville"/>
          <w:sz w:val="20"/>
          <w:szCs w:val="20"/>
          <w:vertAlign w:val="superscript"/>
          <w:lang w:val="en-US"/>
        </w:rPr>
        <w:t>nd</w:t>
      </w:r>
      <w:r>
        <w:rPr>
          <w:rFonts w:ascii="Baskerville" w:hAnsi="Baskerville"/>
          <w:sz w:val="20"/>
          <w:szCs w:val="20"/>
          <w:lang w:val="en-US"/>
        </w:rPr>
        <w:t xml:space="preserve"> October</w:t>
      </w:r>
      <w:r w:rsidRPr="00134C81">
        <w:rPr>
          <w:rFonts w:ascii="Baskerville" w:hAnsi="Baskerville"/>
          <w:sz w:val="20"/>
          <w:szCs w:val="20"/>
          <w:lang w:val="en-US"/>
        </w:rPr>
        <w:t xml:space="preserve"> 1990). </w:t>
      </w:r>
    </w:p>
  </w:footnote>
  <w:footnote w:id="56">
    <w:p w14:paraId="3A672988" w14:textId="3F969BE9" w:rsidR="00A445DB" w:rsidRPr="00A445DB" w:rsidRDefault="00A445DB">
      <w:pPr>
        <w:pStyle w:val="FootnoteText"/>
        <w:rPr>
          <w:rFonts w:ascii="Baskerville" w:hAnsi="Baskerville"/>
          <w:sz w:val="20"/>
          <w:szCs w:val="20"/>
          <w:lang w:val="en-US"/>
        </w:rPr>
      </w:pPr>
      <w:r w:rsidRPr="00A445DB">
        <w:rPr>
          <w:rStyle w:val="FootnoteReference"/>
          <w:rFonts w:ascii="Baskerville" w:hAnsi="Baskerville"/>
          <w:sz w:val="20"/>
          <w:szCs w:val="20"/>
        </w:rPr>
        <w:footnoteRef/>
      </w:r>
      <w:r w:rsidRPr="00A445DB">
        <w:rPr>
          <w:rFonts w:ascii="Baskerville" w:hAnsi="Baskerville"/>
          <w:sz w:val="20"/>
          <w:szCs w:val="20"/>
        </w:rPr>
        <w:t xml:space="preserve"> </w:t>
      </w:r>
      <w:r w:rsidRPr="00A445DB">
        <w:rPr>
          <w:rFonts w:ascii="Baskerville" w:hAnsi="Baskerville"/>
          <w:sz w:val="20"/>
          <w:szCs w:val="20"/>
          <w:lang w:val="en-US"/>
        </w:rPr>
        <w:t>Communication from the Commission on the Preca</w:t>
      </w:r>
      <w:r>
        <w:rPr>
          <w:rFonts w:ascii="Baskerville" w:hAnsi="Baskerville"/>
          <w:sz w:val="20"/>
          <w:szCs w:val="20"/>
          <w:lang w:val="en-US"/>
        </w:rPr>
        <w:t xml:space="preserve">utionary Principle COM (2000) 1. Available </w:t>
      </w:r>
      <w:r w:rsidRPr="00A445DB">
        <w:rPr>
          <w:rFonts w:ascii="Baskerville" w:hAnsi="Baskerville"/>
          <w:sz w:val="20"/>
          <w:szCs w:val="20"/>
          <w:lang w:val="en-US"/>
        </w:rPr>
        <w:t>at:  </w:t>
      </w:r>
      <w:r>
        <w:rPr>
          <w:rFonts w:ascii="Baskerville" w:hAnsi="Baskerville"/>
          <w:sz w:val="20"/>
          <w:szCs w:val="20"/>
          <w:lang w:val="en-US"/>
        </w:rPr>
        <w:t>&lt;</w:t>
      </w:r>
      <w:r w:rsidRPr="00A445DB">
        <w:rPr>
          <w:rFonts w:ascii="Baskerville" w:hAnsi="Baskerville"/>
          <w:sz w:val="20"/>
          <w:szCs w:val="20"/>
          <w:lang w:val="en-US"/>
        </w:rPr>
        <w:t>http://ec.europa.eu/dgs/health_consumer/library/pub/pub07_en.pdf</w:t>
      </w:r>
      <w:r>
        <w:rPr>
          <w:rFonts w:ascii="Baskerville" w:hAnsi="Baskerville"/>
          <w:sz w:val="20"/>
          <w:szCs w:val="20"/>
          <w:lang w:val="en-US"/>
        </w:rPr>
        <w:t>&gt;.</w:t>
      </w:r>
      <w:r w:rsidRPr="00A445DB">
        <w:rPr>
          <w:rFonts w:ascii="Baskerville" w:hAnsi="Baskerville"/>
          <w:sz w:val="20"/>
          <w:szCs w:val="20"/>
          <w:lang w:val="en-US"/>
        </w:rPr>
        <w:t xml:space="preserve">  </w:t>
      </w:r>
    </w:p>
  </w:footnote>
  <w:footnote w:id="57">
    <w:p w14:paraId="07221563" w14:textId="7CDA1670" w:rsidR="00537C5C" w:rsidRPr="00A41E8C" w:rsidRDefault="00537C5C" w:rsidP="00537C5C">
      <w:pPr>
        <w:pStyle w:val="FootnoteText"/>
        <w:rPr>
          <w:rFonts w:ascii="Baskerville" w:hAnsi="Baskerville"/>
          <w:sz w:val="20"/>
          <w:szCs w:val="20"/>
          <w:lang w:val="en-US"/>
        </w:rPr>
      </w:pPr>
      <w:r w:rsidRPr="00A41E8C">
        <w:rPr>
          <w:rStyle w:val="FootnoteReference"/>
          <w:rFonts w:ascii="Baskerville" w:hAnsi="Baskerville"/>
          <w:sz w:val="20"/>
          <w:szCs w:val="20"/>
        </w:rPr>
        <w:footnoteRef/>
      </w:r>
      <w:r w:rsidRPr="00A41E8C">
        <w:rPr>
          <w:rFonts w:ascii="Baskerville" w:hAnsi="Baskerville"/>
          <w:sz w:val="20"/>
          <w:szCs w:val="20"/>
        </w:rPr>
        <w:t xml:space="preserve"> </w:t>
      </w:r>
      <w:r w:rsidRPr="00A41E8C">
        <w:rPr>
          <w:rFonts w:ascii="Baskerville" w:hAnsi="Baskerville"/>
          <w:i/>
          <w:sz w:val="20"/>
          <w:szCs w:val="20"/>
        </w:rPr>
        <w:t xml:space="preserve">Bergen Declaration </w:t>
      </w:r>
      <w:r w:rsidR="00A41E8C" w:rsidRPr="00A41E8C">
        <w:rPr>
          <w:rFonts w:ascii="Baskerville" w:hAnsi="Baskerville"/>
          <w:sz w:val="20"/>
          <w:szCs w:val="20"/>
        </w:rPr>
        <w:t>(n 3</w:t>
      </w:r>
      <w:r w:rsidRPr="00A41E8C">
        <w:rPr>
          <w:rFonts w:ascii="Baskerville" w:hAnsi="Baskerville"/>
          <w:sz w:val="20"/>
          <w:szCs w:val="20"/>
        </w:rPr>
        <w:t>5), at Art. 7.</w:t>
      </w:r>
    </w:p>
  </w:footnote>
  <w:footnote w:id="58">
    <w:p w14:paraId="6AADE0F2" w14:textId="21530E75" w:rsidR="00537C5C" w:rsidRPr="00537C5C" w:rsidRDefault="00537C5C">
      <w:pPr>
        <w:pStyle w:val="FootnoteText"/>
        <w:rPr>
          <w:rFonts w:ascii="Baskerville" w:hAnsi="Baskerville"/>
          <w:sz w:val="20"/>
          <w:szCs w:val="20"/>
          <w:lang w:val="en-US"/>
        </w:rPr>
      </w:pPr>
      <w:r w:rsidRPr="00537C5C">
        <w:rPr>
          <w:rStyle w:val="FootnoteReference"/>
          <w:rFonts w:ascii="Baskerville" w:hAnsi="Baskerville"/>
          <w:sz w:val="20"/>
          <w:szCs w:val="20"/>
        </w:rPr>
        <w:footnoteRef/>
      </w:r>
      <w:r w:rsidRPr="00537C5C">
        <w:rPr>
          <w:rFonts w:ascii="Baskerville" w:hAnsi="Baskerville"/>
          <w:sz w:val="20"/>
          <w:szCs w:val="20"/>
        </w:rPr>
        <w:t xml:space="preserve"> </w:t>
      </w:r>
      <w:r>
        <w:rPr>
          <w:rFonts w:ascii="Baskerville" w:hAnsi="Baskerville"/>
          <w:sz w:val="20"/>
          <w:szCs w:val="20"/>
        </w:rPr>
        <w:t>Ibid.</w:t>
      </w:r>
    </w:p>
  </w:footnote>
  <w:footnote w:id="59">
    <w:p w14:paraId="74DB485B" w14:textId="7A5B8A8B" w:rsidR="00537C5C" w:rsidRPr="00537C5C" w:rsidRDefault="00537C5C">
      <w:pPr>
        <w:pStyle w:val="FootnoteText"/>
        <w:rPr>
          <w:rFonts w:ascii="Baskerville" w:hAnsi="Baskerville"/>
          <w:sz w:val="20"/>
          <w:szCs w:val="20"/>
          <w:lang w:val="en-US"/>
        </w:rPr>
      </w:pPr>
      <w:r w:rsidRPr="00537C5C">
        <w:rPr>
          <w:rStyle w:val="FootnoteReference"/>
          <w:rFonts w:ascii="Baskerville" w:hAnsi="Baskerville"/>
          <w:sz w:val="20"/>
          <w:szCs w:val="20"/>
        </w:rPr>
        <w:footnoteRef/>
      </w:r>
      <w:r w:rsidRPr="00537C5C">
        <w:rPr>
          <w:rFonts w:ascii="Baskerville" w:hAnsi="Baskerville"/>
          <w:sz w:val="20"/>
          <w:szCs w:val="20"/>
        </w:rPr>
        <w:t xml:space="preserve"> </w:t>
      </w:r>
      <w:r>
        <w:rPr>
          <w:rFonts w:ascii="Baskerville" w:hAnsi="Baskerville"/>
          <w:sz w:val="20"/>
          <w:szCs w:val="20"/>
        </w:rPr>
        <w:t>Ibid.</w:t>
      </w:r>
    </w:p>
  </w:footnote>
  <w:footnote w:id="60">
    <w:p w14:paraId="5358052E" w14:textId="73074E80" w:rsidR="00747095" w:rsidRPr="00537C5C" w:rsidRDefault="00747095">
      <w:pPr>
        <w:pStyle w:val="FootnoteText"/>
        <w:rPr>
          <w:rFonts w:ascii="Baskerville" w:hAnsi="Baskerville"/>
          <w:sz w:val="20"/>
          <w:szCs w:val="20"/>
        </w:rPr>
      </w:pPr>
      <w:r w:rsidRPr="009A6F32">
        <w:rPr>
          <w:rStyle w:val="FootnoteReference"/>
          <w:rFonts w:ascii="Baskerville" w:hAnsi="Baskerville"/>
          <w:sz w:val="20"/>
          <w:szCs w:val="20"/>
        </w:rPr>
        <w:footnoteRef/>
      </w:r>
      <w:r w:rsidRPr="009A6F32">
        <w:rPr>
          <w:rFonts w:ascii="Baskerville" w:hAnsi="Baskerville"/>
          <w:sz w:val="20"/>
          <w:szCs w:val="20"/>
        </w:rPr>
        <w:t xml:space="preserve"> </w:t>
      </w:r>
      <w:r w:rsidRPr="00351A8A">
        <w:rPr>
          <w:rFonts w:ascii="Baskerville" w:hAnsi="Baskerville"/>
          <w:sz w:val="20"/>
          <w:szCs w:val="20"/>
          <w:lang w:val="en-US"/>
        </w:rPr>
        <w:t>T</w:t>
      </w:r>
      <w:r>
        <w:rPr>
          <w:rFonts w:ascii="Baskerville" w:hAnsi="Baskerville"/>
          <w:sz w:val="20"/>
          <w:szCs w:val="20"/>
          <w:lang w:val="en-US"/>
        </w:rPr>
        <w:t>.</w:t>
      </w:r>
      <w:r w:rsidRPr="00351A8A">
        <w:rPr>
          <w:rFonts w:ascii="Baskerville" w:hAnsi="Baskerville"/>
          <w:sz w:val="20"/>
          <w:szCs w:val="20"/>
          <w:lang w:val="en-US"/>
        </w:rPr>
        <w:t xml:space="preserve"> O’Riordan &amp; J</w:t>
      </w:r>
      <w:r>
        <w:rPr>
          <w:rFonts w:ascii="Baskerville" w:hAnsi="Baskerville"/>
          <w:sz w:val="20"/>
          <w:szCs w:val="20"/>
          <w:lang w:val="en-US"/>
        </w:rPr>
        <w:t>.</w:t>
      </w:r>
      <w:r w:rsidRPr="00351A8A">
        <w:rPr>
          <w:rFonts w:ascii="Baskerville" w:hAnsi="Baskerville"/>
          <w:sz w:val="20"/>
          <w:szCs w:val="20"/>
          <w:lang w:val="en-US"/>
        </w:rPr>
        <w:t xml:space="preserve"> Cameron, </w:t>
      </w:r>
      <w:r>
        <w:rPr>
          <w:rFonts w:ascii="Baskerville" w:hAnsi="Baskerville"/>
          <w:sz w:val="20"/>
          <w:szCs w:val="20"/>
          <w:lang w:val="en-US"/>
        </w:rPr>
        <w:t>‘</w:t>
      </w:r>
      <w:r w:rsidRPr="00351A8A">
        <w:rPr>
          <w:rFonts w:ascii="Baskerville" w:hAnsi="Baskerville"/>
          <w:sz w:val="20"/>
          <w:szCs w:val="20"/>
          <w:lang w:val="en-US"/>
        </w:rPr>
        <w:t>The History and Contemporary Significance of the Precautionary Principle</w:t>
      </w:r>
      <w:r>
        <w:rPr>
          <w:rFonts w:ascii="Baskerville" w:hAnsi="Baskerville"/>
          <w:sz w:val="20"/>
          <w:szCs w:val="20"/>
          <w:lang w:val="en-US"/>
        </w:rPr>
        <w:t>’</w:t>
      </w:r>
      <w:r w:rsidRPr="00351A8A">
        <w:rPr>
          <w:rFonts w:ascii="Baskerville" w:hAnsi="Baskerville"/>
          <w:sz w:val="20"/>
          <w:szCs w:val="20"/>
          <w:lang w:val="en-US"/>
        </w:rPr>
        <w:t>, in T</w:t>
      </w:r>
      <w:r>
        <w:rPr>
          <w:rFonts w:ascii="Baskerville" w:hAnsi="Baskerville"/>
          <w:sz w:val="20"/>
          <w:szCs w:val="20"/>
          <w:lang w:val="en-US"/>
        </w:rPr>
        <w:t>.</w:t>
      </w:r>
      <w:r w:rsidRPr="00351A8A">
        <w:rPr>
          <w:rFonts w:ascii="Baskerville" w:hAnsi="Baskerville"/>
          <w:sz w:val="20"/>
          <w:szCs w:val="20"/>
          <w:lang w:val="en-US"/>
        </w:rPr>
        <w:t xml:space="preserve"> O’Riordan &amp; J</w:t>
      </w:r>
      <w:r>
        <w:rPr>
          <w:rFonts w:ascii="Baskerville" w:hAnsi="Baskerville"/>
          <w:sz w:val="20"/>
          <w:szCs w:val="20"/>
          <w:lang w:val="en-US"/>
        </w:rPr>
        <w:t>.</w:t>
      </w:r>
      <w:r w:rsidRPr="00351A8A">
        <w:rPr>
          <w:rFonts w:ascii="Baskerville" w:hAnsi="Baskerville"/>
          <w:sz w:val="20"/>
          <w:szCs w:val="20"/>
          <w:lang w:val="en-US"/>
        </w:rPr>
        <w:t xml:space="preserve"> Cameron</w:t>
      </w:r>
      <w:r>
        <w:rPr>
          <w:rFonts w:ascii="Baskerville" w:hAnsi="Baskerville"/>
          <w:sz w:val="20"/>
          <w:szCs w:val="20"/>
          <w:lang w:val="en-US"/>
        </w:rPr>
        <w:t xml:space="preserve"> (eds.)</w:t>
      </w:r>
      <w:r w:rsidRPr="00351A8A">
        <w:rPr>
          <w:rFonts w:ascii="Baskerville" w:hAnsi="Baskerville"/>
          <w:sz w:val="20"/>
          <w:szCs w:val="20"/>
          <w:lang w:val="en-US"/>
        </w:rPr>
        <w:t xml:space="preserve">, </w:t>
      </w:r>
      <w:r>
        <w:rPr>
          <w:rFonts w:ascii="Baskerville" w:hAnsi="Baskerville"/>
          <w:i/>
          <w:sz w:val="20"/>
          <w:szCs w:val="20"/>
          <w:lang w:val="en-US"/>
        </w:rPr>
        <w:t xml:space="preserve">Interpreting the Precautionary Principle </w:t>
      </w:r>
      <w:r w:rsidRPr="00351A8A">
        <w:rPr>
          <w:rFonts w:ascii="Baskerville" w:hAnsi="Baskerville"/>
          <w:sz w:val="20"/>
          <w:szCs w:val="20"/>
          <w:lang w:val="en-US"/>
        </w:rPr>
        <w:t>(</w:t>
      </w:r>
      <w:r w:rsidRPr="002A4E26">
        <w:rPr>
          <w:rFonts w:ascii="Baskerville" w:hAnsi="Baskerville"/>
          <w:sz w:val="20"/>
          <w:szCs w:val="20"/>
        </w:rPr>
        <w:t>London</w:t>
      </w:r>
      <w:r>
        <w:rPr>
          <w:rFonts w:ascii="Baskerville" w:hAnsi="Baskerville"/>
          <w:sz w:val="20"/>
          <w:szCs w:val="20"/>
        </w:rPr>
        <w:t>:</w:t>
      </w:r>
      <w:r w:rsidRPr="002A4E26">
        <w:rPr>
          <w:rFonts w:ascii="Baskerville" w:hAnsi="Baskerville"/>
          <w:sz w:val="20"/>
          <w:szCs w:val="20"/>
        </w:rPr>
        <w:t xml:space="preserve"> </w:t>
      </w:r>
      <w:r>
        <w:rPr>
          <w:rFonts w:ascii="Baskerville" w:hAnsi="Baskerville"/>
          <w:sz w:val="20"/>
          <w:szCs w:val="20"/>
        </w:rPr>
        <w:t xml:space="preserve">Graham &amp; Trotman </w:t>
      </w:r>
      <w:r w:rsidRPr="00351A8A">
        <w:rPr>
          <w:rFonts w:ascii="Baskerville" w:hAnsi="Baskerville"/>
          <w:sz w:val="20"/>
          <w:szCs w:val="20"/>
          <w:lang w:val="en-US"/>
        </w:rPr>
        <w:t>1994)</w:t>
      </w:r>
      <w:r>
        <w:rPr>
          <w:rFonts w:ascii="Baskerville" w:hAnsi="Baskerville"/>
          <w:sz w:val="20"/>
          <w:szCs w:val="20"/>
          <w:lang w:val="en-US"/>
        </w:rPr>
        <w:t xml:space="preserve"> </w:t>
      </w:r>
      <w:r w:rsidRPr="00351A8A">
        <w:rPr>
          <w:rFonts w:ascii="Baskerville" w:hAnsi="Baskerville"/>
          <w:sz w:val="20"/>
          <w:szCs w:val="20"/>
          <w:lang w:val="en-US"/>
        </w:rPr>
        <w:t>12. </w:t>
      </w:r>
    </w:p>
  </w:footnote>
  <w:footnote w:id="61">
    <w:p w14:paraId="7ED6DD45" w14:textId="075FF283" w:rsidR="00747095" w:rsidRPr="007C628B" w:rsidRDefault="00747095">
      <w:pPr>
        <w:pStyle w:val="FootnoteText"/>
        <w:rPr>
          <w:rFonts w:ascii="Baskerville" w:hAnsi="Baskerville"/>
          <w:sz w:val="20"/>
          <w:szCs w:val="20"/>
          <w:lang w:val="en-US"/>
        </w:rPr>
      </w:pPr>
      <w:r w:rsidRPr="007C628B">
        <w:rPr>
          <w:rStyle w:val="FootnoteReference"/>
          <w:rFonts w:ascii="Baskerville" w:hAnsi="Baskerville"/>
          <w:sz w:val="20"/>
          <w:szCs w:val="20"/>
        </w:rPr>
        <w:footnoteRef/>
      </w:r>
      <w:r w:rsidRPr="007C628B">
        <w:rPr>
          <w:rFonts w:ascii="Baskerville" w:hAnsi="Baskerville"/>
          <w:sz w:val="20"/>
          <w:szCs w:val="20"/>
        </w:rPr>
        <w:t xml:space="preserve"> </w:t>
      </w:r>
      <w:r>
        <w:rPr>
          <w:rFonts w:ascii="Baskerville" w:hAnsi="Baskerville"/>
          <w:sz w:val="20"/>
          <w:szCs w:val="20"/>
        </w:rPr>
        <w:t>M. Stevens, ‘</w:t>
      </w:r>
      <w:r w:rsidRPr="00A05297">
        <w:rPr>
          <w:rFonts w:ascii="Baskerville" w:hAnsi="Baskerville"/>
          <w:sz w:val="20"/>
          <w:szCs w:val="20"/>
          <w:lang w:val="en-US"/>
        </w:rPr>
        <w:t>The Precautionary Principle in the International Arena</w:t>
      </w:r>
      <w:r>
        <w:rPr>
          <w:rFonts w:ascii="Baskerville" w:hAnsi="Baskerville"/>
          <w:sz w:val="20"/>
          <w:szCs w:val="20"/>
          <w:lang w:val="en-US"/>
        </w:rPr>
        <w:t xml:space="preserve">’, </w:t>
      </w:r>
      <w:r>
        <w:rPr>
          <w:rFonts w:ascii="Baskerville" w:hAnsi="Baskerville"/>
          <w:i/>
          <w:sz w:val="20"/>
          <w:szCs w:val="20"/>
          <w:lang w:val="en-US"/>
        </w:rPr>
        <w:t xml:space="preserve">Sustainable Development Law &amp; Policy </w:t>
      </w:r>
      <w:r>
        <w:rPr>
          <w:rFonts w:ascii="Baskerville" w:hAnsi="Baskerville"/>
          <w:sz w:val="20"/>
          <w:szCs w:val="20"/>
          <w:lang w:val="en-US"/>
        </w:rPr>
        <w:t>(2002) 2(2)</w:t>
      </w:r>
      <w:r>
        <w:rPr>
          <w:rFonts w:ascii="Baskerville" w:hAnsi="Baskerville"/>
          <w:sz w:val="20"/>
          <w:szCs w:val="20"/>
        </w:rPr>
        <w:t>, p 15.</w:t>
      </w:r>
    </w:p>
  </w:footnote>
  <w:footnote w:id="62">
    <w:p w14:paraId="14E64BF2" w14:textId="720A9D8E" w:rsidR="00DB2541" w:rsidRPr="00DB2541" w:rsidRDefault="00DB2541">
      <w:pPr>
        <w:pStyle w:val="FootnoteText"/>
        <w:rPr>
          <w:rFonts w:ascii="Baskerville" w:hAnsi="Baskerville"/>
          <w:sz w:val="20"/>
          <w:szCs w:val="20"/>
          <w:lang w:val="en-US"/>
        </w:rPr>
      </w:pPr>
      <w:r w:rsidRPr="00DB2541">
        <w:rPr>
          <w:rStyle w:val="FootnoteReference"/>
          <w:rFonts w:ascii="Baskerville" w:hAnsi="Baskerville"/>
          <w:sz w:val="20"/>
          <w:szCs w:val="20"/>
        </w:rPr>
        <w:footnoteRef/>
      </w:r>
      <w:r w:rsidRPr="00DB2541">
        <w:rPr>
          <w:rFonts w:ascii="Baskerville" w:hAnsi="Baskerville"/>
          <w:sz w:val="20"/>
          <w:szCs w:val="20"/>
        </w:rPr>
        <w:t xml:space="preserve"> </w:t>
      </w:r>
      <w:r>
        <w:rPr>
          <w:rFonts w:ascii="Baskerville" w:hAnsi="Baskerville"/>
          <w:sz w:val="20"/>
          <w:szCs w:val="20"/>
        </w:rPr>
        <w:t>Ibid.</w:t>
      </w:r>
    </w:p>
  </w:footnote>
  <w:footnote w:id="63">
    <w:p w14:paraId="6E3A0C2E" w14:textId="1E11899A" w:rsidR="00747095" w:rsidRPr="00B41F30" w:rsidRDefault="00747095">
      <w:pPr>
        <w:pStyle w:val="FootnoteText"/>
        <w:rPr>
          <w:rFonts w:ascii="Baskerville" w:hAnsi="Baskerville"/>
          <w:sz w:val="20"/>
          <w:szCs w:val="20"/>
          <w:lang w:val="en-US"/>
        </w:rPr>
      </w:pPr>
      <w:r w:rsidRPr="00B41F30">
        <w:rPr>
          <w:rStyle w:val="FootnoteReference"/>
          <w:rFonts w:ascii="Baskerville" w:hAnsi="Baskerville"/>
          <w:sz w:val="20"/>
          <w:szCs w:val="20"/>
        </w:rPr>
        <w:footnoteRef/>
      </w:r>
      <w:r w:rsidRPr="00B41F30">
        <w:rPr>
          <w:rFonts w:ascii="Baskerville" w:hAnsi="Baskerville"/>
          <w:sz w:val="20"/>
          <w:szCs w:val="20"/>
        </w:rPr>
        <w:t xml:space="preserve"> </w:t>
      </w:r>
      <w:r w:rsidRPr="00B41F30">
        <w:rPr>
          <w:rFonts w:ascii="Baskerville" w:hAnsi="Baskerville"/>
          <w:sz w:val="20"/>
          <w:szCs w:val="20"/>
          <w:lang w:val="en-US"/>
        </w:rPr>
        <w:t>J</w:t>
      </w:r>
      <w:r>
        <w:rPr>
          <w:rFonts w:ascii="Baskerville" w:hAnsi="Baskerville"/>
          <w:sz w:val="20"/>
          <w:szCs w:val="20"/>
          <w:lang w:val="en-US"/>
        </w:rPr>
        <w:t>.</w:t>
      </w:r>
      <w:r w:rsidRPr="00B41F30">
        <w:rPr>
          <w:rFonts w:ascii="Baskerville" w:hAnsi="Baskerville"/>
          <w:sz w:val="20"/>
          <w:szCs w:val="20"/>
          <w:lang w:val="en-US"/>
        </w:rPr>
        <w:t xml:space="preserve"> Cameron, </w:t>
      </w:r>
      <w:r>
        <w:rPr>
          <w:rFonts w:ascii="Baskerville" w:hAnsi="Baskerville"/>
          <w:sz w:val="20"/>
          <w:szCs w:val="20"/>
          <w:lang w:val="en-US"/>
        </w:rPr>
        <w:t>‘</w:t>
      </w:r>
      <w:r w:rsidRPr="00B41F30">
        <w:rPr>
          <w:rFonts w:ascii="Baskerville" w:hAnsi="Baskerville"/>
          <w:sz w:val="20"/>
          <w:szCs w:val="20"/>
          <w:lang w:val="en-US"/>
        </w:rPr>
        <w:t>The Precautionary Principle: Core Meaning, Constitutional Framework and Procedures for Implementation</w:t>
      </w:r>
      <w:r>
        <w:rPr>
          <w:rFonts w:ascii="Baskerville" w:hAnsi="Baskerville"/>
          <w:sz w:val="20"/>
          <w:szCs w:val="20"/>
          <w:lang w:val="en-US"/>
        </w:rPr>
        <w:t>’</w:t>
      </w:r>
      <w:r w:rsidRPr="00B41F30">
        <w:rPr>
          <w:rFonts w:ascii="Baskerville" w:hAnsi="Baskerville"/>
          <w:sz w:val="20"/>
          <w:szCs w:val="20"/>
          <w:lang w:val="en-US"/>
        </w:rPr>
        <w:t xml:space="preserve">, in </w:t>
      </w:r>
      <w:r>
        <w:rPr>
          <w:rFonts w:ascii="Baskerville" w:hAnsi="Baskerville"/>
          <w:sz w:val="20"/>
          <w:szCs w:val="20"/>
          <w:lang w:val="en-US"/>
        </w:rPr>
        <w:t xml:space="preserve">R. Harding </w:t>
      </w:r>
      <w:r w:rsidRPr="00B41F30">
        <w:rPr>
          <w:rFonts w:ascii="Baskerville" w:hAnsi="Baskerville"/>
          <w:sz w:val="20"/>
          <w:szCs w:val="20"/>
          <w:lang w:val="en-US"/>
        </w:rPr>
        <w:t xml:space="preserve">&amp; </w:t>
      </w:r>
      <w:r>
        <w:rPr>
          <w:rFonts w:ascii="Baskerville" w:hAnsi="Baskerville"/>
          <w:sz w:val="20"/>
          <w:szCs w:val="20"/>
          <w:lang w:val="en-US"/>
        </w:rPr>
        <w:t>E. Fisher (eds.),</w:t>
      </w:r>
      <w:r w:rsidRPr="00B41F30">
        <w:rPr>
          <w:rFonts w:ascii="Baskerville" w:hAnsi="Baskerville"/>
          <w:sz w:val="20"/>
          <w:szCs w:val="20"/>
          <w:lang w:val="en-US"/>
        </w:rPr>
        <w:t xml:space="preserve"> </w:t>
      </w:r>
      <w:r>
        <w:rPr>
          <w:rFonts w:ascii="Baskerville" w:hAnsi="Baskerville"/>
          <w:sz w:val="20"/>
          <w:szCs w:val="20"/>
          <w:lang w:val="en-US"/>
        </w:rPr>
        <w:t>Perspectives on the Precautionary Principle (Federation Press 1999) 30, at 50.</w:t>
      </w:r>
    </w:p>
  </w:footnote>
  <w:footnote w:id="64">
    <w:p w14:paraId="50704D9B" w14:textId="53A5B086" w:rsidR="009E3E4E" w:rsidRPr="00A41E8C" w:rsidRDefault="009E3E4E" w:rsidP="009E3E4E">
      <w:pPr>
        <w:pStyle w:val="FootnoteText"/>
        <w:rPr>
          <w:rFonts w:ascii="Baskerville" w:hAnsi="Baskerville"/>
          <w:sz w:val="20"/>
          <w:szCs w:val="20"/>
          <w:lang w:val="en-US"/>
        </w:rPr>
      </w:pPr>
      <w:r w:rsidRPr="00A41E8C">
        <w:rPr>
          <w:rStyle w:val="FootnoteReference"/>
          <w:rFonts w:ascii="Baskerville" w:hAnsi="Baskerville"/>
          <w:sz w:val="20"/>
          <w:szCs w:val="20"/>
        </w:rPr>
        <w:footnoteRef/>
      </w:r>
      <w:r w:rsidRPr="00A41E8C">
        <w:rPr>
          <w:rFonts w:ascii="Baskerville" w:hAnsi="Baskerville"/>
          <w:sz w:val="20"/>
          <w:szCs w:val="20"/>
        </w:rPr>
        <w:t xml:space="preserve"> </w:t>
      </w:r>
      <w:r w:rsidRPr="00A41E8C">
        <w:rPr>
          <w:rFonts w:ascii="Baskerville" w:hAnsi="Baskerville"/>
          <w:i/>
          <w:sz w:val="20"/>
          <w:szCs w:val="20"/>
        </w:rPr>
        <w:t xml:space="preserve">Bergen Declaration </w:t>
      </w:r>
      <w:r w:rsidRPr="00A41E8C">
        <w:rPr>
          <w:rFonts w:ascii="Baskerville" w:hAnsi="Baskerville"/>
          <w:sz w:val="20"/>
          <w:szCs w:val="20"/>
        </w:rPr>
        <w:t xml:space="preserve">(n </w:t>
      </w:r>
      <w:r w:rsidR="00A41E8C" w:rsidRPr="00A41E8C">
        <w:rPr>
          <w:rFonts w:ascii="Baskerville" w:hAnsi="Baskerville"/>
          <w:sz w:val="20"/>
          <w:szCs w:val="20"/>
        </w:rPr>
        <w:t>3</w:t>
      </w:r>
      <w:r w:rsidRPr="00A41E8C">
        <w:rPr>
          <w:rFonts w:ascii="Baskerville" w:hAnsi="Baskerville"/>
          <w:sz w:val="20"/>
          <w:szCs w:val="20"/>
        </w:rPr>
        <w:t>5), at Art. 7.</w:t>
      </w:r>
    </w:p>
  </w:footnote>
  <w:footnote w:id="65">
    <w:p w14:paraId="72C989F6" w14:textId="291A928B" w:rsidR="00747095" w:rsidRPr="00EE6092" w:rsidRDefault="00747095">
      <w:pPr>
        <w:pStyle w:val="FootnoteText"/>
        <w:rPr>
          <w:rFonts w:ascii="Baskerville" w:hAnsi="Baskerville"/>
          <w:sz w:val="20"/>
          <w:szCs w:val="20"/>
          <w:lang w:val="en-US"/>
        </w:rPr>
      </w:pPr>
      <w:r w:rsidRPr="00EE6092">
        <w:rPr>
          <w:rStyle w:val="FootnoteReference"/>
          <w:rFonts w:ascii="Baskerville" w:hAnsi="Baskerville"/>
          <w:sz w:val="20"/>
          <w:szCs w:val="20"/>
        </w:rPr>
        <w:footnoteRef/>
      </w:r>
      <w:r w:rsidRPr="00EE6092">
        <w:rPr>
          <w:rFonts w:ascii="Baskerville" w:hAnsi="Baskerville"/>
          <w:sz w:val="20"/>
          <w:szCs w:val="20"/>
        </w:rPr>
        <w:t xml:space="preserve"> </w:t>
      </w:r>
      <w:r>
        <w:rPr>
          <w:rFonts w:ascii="Baskerville" w:hAnsi="Baskerville"/>
          <w:sz w:val="20"/>
          <w:szCs w:val="20"/>
        </w:rPr>
        <w:t>Ibid.</w:t>
      </w:r>
    </w:p>
  </w:footnote>
  <w:footnote w:id="66">
    <w:p w14:paraId="515CD647" w14:textId="2DA661D2" w:rsidR="00430B90" w:rsidRPr="00430B90" w:rsidRDefault="00430B90">
      <w:pPr>
        <w:pStyle w:val="FootnoteText"/>
        <w:rPr>
          <w:rFonts w:ascii="Baskerville" w:hAnsi="Baskerville"/>
          <w:sz w:val="20"/>
          <w:szCs w:val="20"/>
          <w:lang w:val="en-US"/>
        </w:rPr>
      </w:pPr>
      <w:r w:rsidRPr="00430B90">
        <w:rPr>
          <w:rStyle w:val="FootnoteReference"/>
          <w:rFonts w:ascii="Baskerville" w:hAnsi="Baskerville"/>
          <w:sz w:val="20"/>
          <w:szCs w:val="20"/>
        </w:rPr>
        <w:footnoteRef/>
      </w:r>
      <w:r w:rsidRPr="00430B90">
        <w:rPr>
          <w:rFonts w:ascii="Baskerville" w:hAnsi="Baskerville"/>
          <w:sz w:val="20"/>
          <w:szCs w:val="20"/>
        </w:rPr>
        <w:t xml:space="preserve"> </w:t>
      </w:r>
      <w:r>
        <w:rPr>
          <w:rFonts w:ascii="Baskerville" w:hAnsi="Baskerville"/>
          <w:sz w:val="20"/>
          <w:szCs w:val="20"/>
        </w:rPr>
        <w:t>Ibid.</w:t>
      </w:r>
    </w:p>
  </w:footnote>
  <w:footnote w:id="67">
    <w:p w14:paraId="6AA185B8" w14:textId="77777777" w:rsidR="00FB56B4" w:rsidRPr="00E15050" w:rsidRDefault="00FB56B4" w:rsidP="00FB56B4">
      <w:pPr>
        <w:pStyle w:val="FootnoteText"/>
        <w:rPr>
          <w:rFonts w:ascii="Baskerville" w:hAnsi="Baskerville"/>
          <w:sz w:val="20"/>
          <w:szCs w:val="20"/>
          <w:lang w:val="en-US"/>
        </w:rPr>
      </w:pPr>
      <w:r w:rsidRPr="00E15050">
        <w:rPr>
          <w:rStyle w:val="FootnoteReference"/>
          <w:rFonts w:ascii="Baskerville" w:hAnsi="Baskerville"/>
          <w:sz w:val="20"/>
          <w:szCs w:val="20"/>
        </w:rPr>
        <w:footnoteRef/>
      </w:r>
      <w:r w:rsidRPr="00E15050">
        <w:rPr>
          <w:rFonts w:ascii="Baskerville" w:hAnsi="Baskerville"/>
          <w:sz w:val="20"/>
          <w:szCs w:val="20"/>
        </w:rPr>
        <w:t xml:space="preserve"> </w:t>
      </w:r>
      <w:r w:rsidRPr="00E15050">
        <w:rPr>
          <w:rFonts w:ascii="Baskerville" w:hAnsi="Baskerville"/>
          <w:sz w:val="20"/>
          <w:szCs w:val="20"/>
          <w:lang w:val="en-US"/>
        </w:rPr>
        <w:t xml:space="preserve">For example, the Declaration of the Hague, March 11, 1989, asserts that “the duty of the community of nations vis-a-vis present and future generations to do all that can be done to preserve the quality of the atmosphere”. </w:t>
      </w:r>
      <w:r w:rsidRPr="00E15050">
        <w:rPr>
          <w:rFonts w:ascii="Baskerville" w:hAnsi="Baskerville"/>
          <w:i/>
          <w:iCs/>
          <w:sz w:val="20"/>
          <w:szCs w:val="20"/>
          <w:lang w:val="en-US"/>
        </w:rPr>
        <w:t xml:space="preserve">Hague Declaration on the Environment, </w:t>
      </w:r>
      <w:r w:rsidRPr="00E15050">
        <w:rPr>
          <w:rFonts w:ascii="Baskerville" w:hAnsi="Baskerville"/>
          <w:iCs/>
          <w:sz w:val="20"/>
          <w:szCs w:val="20"/>
          <w:lang w:val="en-US"/>
        </w:rPr>
        <w:t>28</w:t>
      </w:r>
      <w:r w:rsidRPr="00E15050">
        <w:rPr>
          <w:rFonts w:ascii="Baskerville" w:hAnsi="Baskerville"/>
          <w:i/>
          <w:iCs/>
          <w:sz w:val="20"/>
          <w:szCs w:val="20"/>
          <w:lang w:val="en-US"/>
        </w:rPr>
        <w:t xml:space="preserve"> </w:t>
      </w:r>
      <w:r w:rsidRPr="00E15050">
        <w:rPr>
          <w:rFonts w:ascii="Baskerville" w:hAnsi="Baskerville"/>
          <w:sz w:val="20"/>
          <w:szCs w:val="20"/>
          <w:lang w:val="en-US"/>
        </w:rPr>
        <w:t xml:space="preserve">I.L.M. 1308 (1989). </w:t>
      </w:r>
    </w:p>
  </w:footnote>
  <w:footnote w:id="68">
    <w:p w14:paraId="00A49335" w14:textId="59DE318D" w:rsidR="00747095" w:rsidRPr="002972A4" w:rsidRDefault="00747095">
      <w:pPr>
        <w:pStyle w:val="FootnoteText"/>
        <w:rPr>
          <w:rFonts w:ascii="Baskerville" w:hAnsi="Baskerville"/>
          <w:sz w:val="20"/>
          <w:szCs w:val="20"/>
          <w:lang w:val="en-US"/>
        </w:rPr>
      </w:pPr>
      <w:r w:rsidRPr="002972A4">
        <w:rPr>
          <w:rStyle w:val="FootnoteReference"/>
          <w:rFonts w:ascii="Baskerville" w:hAnsi="Baskerville"/>
          <w:sz w:val="20"/>
          <w:szCs w:val="20"/>
        </w:rPr>
        <w:footnoteRef/>
      </w:r>
      <w:r w:rsidRPr="002972A4">
        <w:rPr>
          <w:rFonts w:ascii="Baskerville" w:hAnsi="Baskerville"/>
          <w:sz w:val="20"/>
          <w:szCs w:val="20"/>
        </w:rPr>
        <w:t xml:space="preserve"> </w:t>
      </w:r>
      <w:r w:rsidRPr="00E37C9B">
        <w:rPr>
          <w:rFonts w:ascii="Baskerville" w:hAnsi="Baskerville"/>
          <w:sz w:val="20"/>
          <w:szCs w:val="20"/>
          <w:lang w:val="en-US"/>
        </w:rPr>
        <w:t xml:space="preserve">World Commission on the Ethics of Scientific Knowledge and Technology </w:t>
      </w:r>
      <w:r>
        <w:rPr>
          <w:rFonts w:ascii="Baskerville" w:hAnsi="Baskerville"/>
          <w:sz w:val="20"/>
          <w:szCs w:val="20"/>
          <w:lang w:val="en-US"/>
        </w:rPr>
        <w:t xml:space="preserve">(COMEST), </w:t>
      </w:r>
      <w:r>
        <w:rPr>
          <w:rFonts w:ascii="Baskerville" w:hAnsi="Baskerville"/>
          <w:i/>
          <w:sz w:val="20"/>
          <w:szCs w:val="20"/>
        </w:rPr>
        <w:t>The Precautionary Principle</w:t>
      </w:r>
      <w:r>
        <w:rPr>
          <w:rFonts w:ascii="Baskerville" w:hAnsi="Baskerville"/>
          <w:sz w:val="20"/>
          <w:szCs w:val="20"/>
        </w:rPr>
        <w:t xml:space="preserve"> (France: UNESCO 2005) p 21.</w:t>
      </w:r>
    </w:p>
  </w:footnote>
  <w:footnote w:id="69">
    <w:p w14:paraId="2C8F9028" w14:textId="277696EA" w:rsidR="00747095" w:rsidRPr="00CA7D22" w:rsidRDefault="00747095" w:rsidP="005E4F4C">
      <w:pPr>
        <w:pStyle w:val="FootnoteText"/>
        <w:rPr>
          <w:rFonts w:ascii="Baskerville" w:hAnsi="Baskerville"/>
          <w:sz w:val="20"/>
          <w:szCs w:val="20"/>
        </w:rPr>
      </w:pPr>
      <w:r w:rsidRPr="00CA7D22">
        <w:rPr>
          <w:rStyle w:val="FootnoteReference"/>
          <w:rFonts w:ascii="Baskerville" w:hAnsi="Baskerville"/>
          <w:sz w:val="20"/>
          <w:szCs w:val="20"/>
        </w:rPr>
        <w:footnoteRef/>
      </w:r>
      <w:r w:rsidRPr="00CA7D22">
        <w:rPr>
          <w:rFonts w:ascii="Baskerville" w:hAnsi="Baskerville"/>
          <w:sz w:val="20"/>
          <w:szCs w:val="20"/>
        </w:rPr>
        <w:t xml:space="preserve"> Some experts argue that there is sufficient state practice to support the emergence of the precautionary principle as a principle of customary international law. See T. Christoforou, “The Precautionary </w:t>
      </w:r>
      <w:r>
        <w:rPr>
          <w:rFonts w:ascii="Baskerville" w:hAnsi="Baskerville"/>
          <w:sz w:val="20"/>
          <w:szCs w:val="20"/>
        </w:rPr>
        <w:t>Principle in EC Law and Science</w:t>
      </w:r>
      <w:r w:rsidRPr="00CA7D22">
        <w:rPr>
          <w:rFonts w:ascii="Baskerville" w:hAnsi="Baskerville"/>
          <w:sz w:val="20"/>
          <w:szCs w:val="20"/>
        </w:rPr>
        <w:t xml:space="preserve">” in J. Tickner (ed.), </w:t>
      </w:r>
      <w:r w:rsidRPr="00CA7D22">
        <w:rPr>
          <w:rFonts w:ascii="Baskerville" w:hAnsi="Baskerville"/>
          <w:i/>
          <w:iCs/>
          <w:sz w:val="20"/>
          <w:szCs w:val="20"/>
        </w:rPr>
        <w:t>Environmental Science and Preventive Public Policy</w:t>
      </w:r>
      <w:r>
        <w:rPr>
          <w:rFonts w:ascii="Baskerville" w:hAnsi="Baskerville"/>
          <w:sz w:val="20"/>
          <w:szCs w:val="20"/>
        </w:rPr>
        <w:t xml:space="preserve"> (Island Press</w:t>
      </w:r>
      <w:r w:rsidRPr="00CA7D22">
        <w:rPr>
          <w:rFonts w:ascii="Baskerville" w:hAnsi="Baskerville"/>
          <w:sz w:val="20"/>
          <w:szCs w:val="20"/>
        </w:rPr>
        <w:t xml:space="preserve"> 2003</w:t>
      </w:r>
      <w:r>
        <w:rPr>
          <w:rFonts w:ascii="Baskerville" w:hAnsi="Baskerville"/>
          <w:sz w:val="20"/>
          <w:szCs w:val="20"/>
        </w:rPr>
        <w:t>)</w:t>
      </w:r>
      <w:r w:rsidRPr="00CA7D22">
        <w:rPr>
          <w:rFonts w:ascii="Baskerville" w:hAnsi="Baskerville"/>
          <w:sz w:val="20"/>
          <w:szCs w:val="20"/>
        </w:rPr>
        <w:t xml:space="preserve">, Chapter 16; J. Cameron and J. Abouchar, “The Status of the Precautionary Principle in International Law,” in D. Freestone and E. Hey (eds.), </w:t>
      </w:r>
      <w:r w:rsidRPr="00CA7D22">
        <w:rPr>
          <w:rFonts w:ascii="Baskerville" w:hAnsi="Baskerville"/>
          <w:i/>
          <w:iCs/>
          <w:sz w:val="20"/>
          <w:szCs w:val="20"/>
        </w:rPr>
        <w:t>The Precautionary Principle in International Law</w:t>
      </w:r>
      <w:r>
        <w:rPr>
          <w:rFonts w:ascii="Baskerville" w:hAnsi="Baskerville"/>
          <w:sz w:val="20"/>
          <w:szCs w:val="20"/>
        </w:rPr>
        <w:t xml:space="preserve"> (Kluwer </w:t>
      </w:r>
      <w:r w:rsidRPr="00CA7D22">
        <w:rPr>
          <w:rFonts w:ascii="Baskerville" w:hAnsi="Baskerville"/>
          <w:sz w:val="20"/>
          <w:szCs w:val="20"/>
        </w:rPr>
        <w:t>1996</w:t>
      </w:r>
      <w:r>
        <w:rPr>
          <w:rFonts w:ascii="Baskerville" w:hAnsi="Baskerville"/>
          <w:sz w:val="20"/>
          <w:szCs w:val="20"/>
        </w:rPr>
        <w:t>), p</w:t>
      </w:r>
      <w:r w:rsidRPr="00CA7D22">
        <w:rPr>
          <w:rFonts w:ascii="Baskerville" w:hAnsi="Baskerville"/>
          <w:sz w:val="20"/>
          <w:szCs w:val="20"/>
        </w:rPr>
        <w:t xml:space="preserve"> 52. </w:t>
      </w:r>
      <w:r>
        <w:rPr>
          <w:rFonts w:ascii="Baskerville" w:hAnsi="Baskerville"/>
          <w:sz w:val="20"/>
          <w:szCs w:val="20"/>
        </w:rPr>
        <w:t>However, o</w:t>
      </w:r>
      <w:r w:rsidRPr="00CA7D22">
        <w:rPr>
          <w:rFonts w:ascii="Baskerville" w:hAnsi="Baskerville"/>
          <w:sz w:val="20"/>
          <w:szCs w:val="20"/>
        </w:rPr>
        <w:t xml:space="preserve">ther academics consider that the precautionary principle is not yet a principle of international law particularly given the variety of interpretations. See P. Birnie and A. Boyle, </w:t>
      </w:r>
      <w:r w:rsidRPr="00CA7D22">
        <w:rPr>
          <w:rFonts w:ascii="Baskerville" w:hAnsi="Baskerville"/>
          <w:i/>
          <w:iCs/>
          <w:sz w:val="20"/>
          <w:szCs w:val="20"/>
        </w:rPr>
        <w:t>International Law and the Environment</w:t>
      </w:r>
      <w:r>
        <w:rPr>
          <w:rFonts w:ascii="Baskerville" w:hAnsi="Baskerville"/>
          <w:sz w:val="20"/>
          <w:szCs w:val="20"/>
        </w:rPr>
        <w:t xml:space="preserve"> (OUP</w:t>
      </w:r>
      <w:r w:rsidRPr="00CA7D22">
        <w:rPr>
          <w:rFonts w:ascii="Baskerville" w:hAnsi="Baskerville"/>
          <w:sz w:val="20"/>
          <w:szCs w:val="20"/>
        </w:rPr>
        <w:t xml:space="preserve"> 2002</w:t>
      </w:r>
      <w:r>
        <w:rPr>
          <w:rFonts w:ascii="Baskerville" w:hAnsi="Baskerville"/>
          <w:sz w:val="20"/>
          <w:szCs w:val="20"/>
        </w:rPr>
        <w:t>)</w:t>
      </w:r>
      <w:r w:rsidRPr="00CA7D22">
        <w:rPr>
          <w:rFonts w:ascii="Baskerville" w:hAnsi="Baskerville"/>
          <w:sz w:val="20"/>
          <w:szCs w:val="20"/>
        </w:rPr>
        <w:t xml:space="preserve">, p 98. </w:t>
      </w:r>
    </w:p>
  </w:footnote>
  <w:footnote w:id="70">
    <w:p w14:paraId="30D72EE6" w14:textId="737E268B" w:rsidR="00747095" w:rsidRPr="008D566B" w:rsidRDefault="00747095">
      <w:pPr>
        <w:pStyle w:val="FootnoteText"/>
        <w:rPr>
          <w:rFonts w:ascii="Baskerville" w:hAnsi="Baskerville"/>
          <w:sz w:val="20"/>
          <w:szCs w:val="20"/>
        </w:rPr>
      </w:pPr>
      <w:r w:rsidRPr="008D566B">
        <w:rPr>
          <w:rStyle w:val="FootnoteReference"/>
          <w:rFonts w:ascii="Baskerville" w:hAnsi="Baskerville"/>
          <w:sz w:val="20"/>
          <w:szCs w:val="20"/>
        </w:rPr>
        <w:footnoteRef/>
      </w:r>
      <w:r w:rsidRPr="008D566B">
        <w:rPr>
          <w:rFonts w:ascii="Baskerville" w:hAnsi="Baskerville"/>
          <w:sz w:val="20"/>
          <w:szCs w:val="20"/>
        </w:rPr>
        <w:t xml:space="preserve"> </w:t>
      </w:r>
      <w:r w:rsidR="008D566B" w:rsidRPr="008D566B">
        <w:rPr>
          <w:rFonts w:ascii="Baskerville" w:hAnsi="Baskerville"/>
          <w:sz w:val="20"/>
          <w:szCs w:val="20"/>
        </w:rPr>
        <w:t>Treaty Establishing the European Economic Community, (25/3/1957), 298 U.N.T.S. 11.</w:t>
      </w:r>
    </w:p>
  </w:footnote>
  <w:footnote w:id="71">
    <w:p w14:paraId="278FD03D" w14:textId="07B2E678" w:rsidR="00747095" w:rsidRPr="00CA7D22" w:rsidRDefault="00747095" w:rsidP="005E4F4C">
      <w:pPr>
        <w:pStyle w:val="FootnoteText"/>
        <w:rPr>
          <w:rFonts w:ascii="Baskerville" w:hAnsi="Baskerville"/>
          <w:sz w:val="20"/>
          <w:szCs w:val="20"/>
        </w:rPr>
      </w:pPr>
      <w:r w:rsidRPr="00CA7D22">
        <w:rPr>
          <w:rStyle w:val="FootnoteReference"/>
          <w:rFonts w:ascii="Baskerville" w:hAnsi="Baskerville"/>
          <w:sz w:val="20"/>
          <w:szCs w:val="20"/>
        </w:rPr>
        <w:footnoteRef/>
      </w:r>
      <w:r w:rsidRPr="00CA7D22">
        <w:rPr>
          <w:rFonts w:ascii="Baskerville" w:hAnsi="Baskerville"/>
          <w:sz w:val="20"/>
          <w:szCs w:val="20"/>
        </w:rPr>
        <w:t xml:space="preserve"> Case C-157/96 </w:t>
      </w:r>
      <w:r w:rsidRPr="00CA7D22">
        <w:rPr>
          <w:rFonts w:ascii="Baskerville" w:hAnsi="Baskerville"/>
          <w:i/>
          <w:sz w:val="20"/>
          <w:szCs w:val="20"/>
        </w:rPr>
        <w:t>BSE</w:t>
      </w:r>
      <w:r w:rsidRPr="00CA7D22">
        <w:rPr>
          <w:rFonts w:ascii="Baskerville" w:hAnsi="Baskerville"/>
          <w:sz w:val="20"/>
          <w:szCs w:val="20"/>
        </w:rPr>
        <w:t xml:space="preserve"> (1998) ECR1-2211; Case T-13/99 </w:t>
      </w:r>
      <w:r w:rsidRPr="00CA7D22">
        <w:rPr>
          <w:rFonts w:ascii="Baskerville" w:hAnsi="Baskerville"/>
          <w:i/>
          <w:sz w:val="20"/>
          <w:szCs w:val="20"/>
        </w:rPr>
        <w:t>Pifzer</w:t>
      </w:r>
      <w:r w:rsidRPr="00CA7D22">
        <w:rPr>
          <w:rFonts w:ascii="Baskerville" w:hAnsi="Baskerville"/>
          <w:sz w:val="20"/>
          <w:szCs w:val="20"/>
        </w:rPr>
        <w:t xml:space="preserve"> (2002) ECR 11-3305, and Case T-70/99 </w:t>
      </w:r>
      <w:r w:rsidRPr="00CA7D22">
        <w:rPr>
          <w:rFonts w:ascii="Baskerville" w:hAnsi="Baskerville"/>
          <w:i/>
          <w:sz w:val="20"/>
          <w:szCs w:val="20"/>
        </w:rPr>
        <w:t>Alpharama</w:t>
      </w:r>
      <w:r w:rsidRPr="00CA7D22">
        <w:rPr>
          <w:rFonts w:ascii="Baskerville" w:hAnsi="Baskerville"/>
          <w:sz w:val="20"/>
          <w:szCs w:val="20"/>
        </w:rPr>
        <w:t xml:space="preserve"> (2002) ECR 11-3945. For an in-depth treatment of these cases, see T</w:t>
      </w:r>
      <w:r>
        <w:rPr>
          <w:rFonts w:ascii="Baskerville" w:hAnsi="Baskerville"/>
          <w:sz w:val="20"/>
          <w:szCs w:val="20"/>
        </w:rPr>
        <w:t>.</w:t>
      </w:r>
      <w:r w:rsidRPr="00CA7D22">
        <w:rPr>
          <w:rFonts w:ascii="Baskerville" w:hAnsi="Baskerville"/>
          <w:sz w:val="20"/>
          <w:szCs w:val="20"/>
        </w:rPr>
        <w:t xml:space="preserve"> Christoforou, “The Precautionary Principle in </w:t>
      </w:r>
      <w:r>
        <w:rPr>
          <w:rFonts w:ascii="Baskerville" w:hAnsi="Baskerville"/>
          <w:sz w:val="20"/>
          <w:szCs w:val="20"/>
        </w:rPr>
        <w:t>EC Law and the WTO Legal System</w:t>
      </w:r>
      <w:r w:rsidRPr="00CA7D22">
        <w:rPr>
          <w:rFonts w:ascii="Baskerville" w:hAnsi="Baskerville"/>
          <w:sz w:val="20"/>
          <w:szCs w:val="20"/>
        </w:rPr>
        <w:t xml:space="preserve">” in G. Kremlis, G. Balias and A. Sifakis (eds.), </w:t>
      </w:r>
      <w:r w:rsidRPr="00CA7D22">
        <w:rPr>
          <w:rFonts w:ascii="Baskerville" w:hAnsi="Baskerville"/>
          <w:i/>
          <w:iCs/>
          <w:sz w:val="20"/>
          <w:szCs w:val="20"/>
        </w:rPr>
        <w:t>The Precautionary Principle</w:t>
      </w:r>
      <w:r w:rsidRPr="00CA7D22">
        <w:rPr>
          <w:rFonts w:ascii="Baskerville" w:hAnsi="Baskerville"/>
          <w:sz w:val="20"/>
          <w:szCs w:val="20"/>
        </w:rPr>
        <w:t xml:space="preserve"> </w:t>
      </w:r>
      <w:r>
        <w:rPr>
          <w:rFonts w:ascii="Baskerville" w:hAnsi="Baskerville"/>
          <w:sz w:val="20"/>
          <w:szCs w:val="20"/>
        </w:rPr>
        <w:t>(Athens: Sakkoulas</w:t>
      </w:r>
      <w:r w:rsidRPr="00CA7D22">
        <w:rPr>
          <w:rFonts w:ascii="Baskerville" w:hAnsi="Baskerville"/>
          <w:sz w:val="20"/>
          <w:szCs w:val="20"/>
        </w:rPr>
        <w:t xml:space="preserve"> 2004</w:t>
      </w:r>
      <w:r>
        <w:rPr>
          <w:rFonts w:ascii="Baskerville" w:hAnsi="Baskerville"/>
          <w:sz w:val="20"/>
          <w:szCs w:val="20"/>
        </w:rPr>
        <w:t>)</w:t>
      </w:r>
      <w:r w:rsidRPr="00CA7D22">
        <w:rPr>
          <w:rFonts w:ascii="Baskerville" w:hAnsi="Baskerville"/>
          <w:sz w:val="20"/>
          <w:szCs w:val="20"/>
        </w:rPr>
        <w:t>, p</w:t>
      </w:r>
      <w:r>
        <w:rPr>
          <w:rFonts w:ascii="Baskerville" w:hAnsi="Baskerville"/>
          <w:sz w:val="20"/>
          <w:szCs w:val="20"/>
        </w:rPr>
        <w:t>p.</w:t>
      </w:r>
      <w:r w:rsidRPr="00CA7D22">
        <w:rPr>
          <w:rFonts w:ascii="Baskerville" w:hAnsi="Baskerville"/>
          <w:sz w:val="20"/>
          <w:szCs w:val="20"/>
        </w:rPr>
        <w:t xml:space="preserve"> 99-149. </w:t>
      </w:r>
    </w:p>
  </w:footnote>
  <w:footnote w:id="72">
    <w:p w14:paraId="5334696F" w14:textId="77777777" w:rsidR="00747095" w:rsidRPr="00CA7D22" w:rsidRDefault="00747095" w:rsidP="005E4F4C">
      <w:pPr>
        <w:pStyle w:val="FootnoteText"/>
        <w:rPr>
          <w:rFonts w:ascii="Baskerville" w:hAnsi="Baskerville"/>
          <w:sz w:val="20"/>
          <w:szCs w:val="20"/>
          <w:lang w:val="en-US"/>
        </w:rPr>
      </w:pPr>
      <w:r w:rsidRPr="00CA7D22">
        <w:rPr>
          <w:rStyle w:val="FootnoteReference"/>
          <w:rFonts w:ascii="Baskerville" w:hAnsi="Baskerville"/>
          <w:sz w:val="20"/>
          <w:szCs w:val="20"/>
        </w:rPr>
        <w:footnoteRef/>
      </w:r>
      <w:r w:rsidRPr="00CA7D22">
        <w:rPr>
          <w:rFonts w:ascii="Baskerville" w:hAnsi="Baskerville"/>
          <w:sz w:val="20"/>
          <w:szCs w:val="20"/>
        </w:rPr>
        <w:t xml:space="preserve"> Ibid.</w:t>
      </w:r>
    </w:p>
  </w:footnote>
  <w:footnote w:id="73">
    <w:p w14:paraId="1CBDA6C9" w14:textId="77777777" w:rsidR="00747095" w:rsidRPr="00CA7D22" w:rsidRDefault="00747095" w:rsidP="005E4F4C">
      <w:pPr>
        <w:pStyle w:val="FootnoteText"/>
        <w:rPr>
          <w:rFonts w:ascii="Baskerville" w:hAnsi="Baskerville"/>
          <w:sz w:val="20"/>
          <w:szCs w:val="20"/>
        </w:rPr>
      </w:pPr>
      <w:r w:rsidRPr="00CA7D22">
        <w:rPr>
          <w:rStyle w:val="FootnoteReference"/>
          <w:rFonts w:ascii="Baskerville" w:hAnsi="Baskerville"/>
          <w:sz w:val="20"/>
          <w:szCs w:val="20"/>
        </w:rPr>
        <w:footnoteRef/>
      </w:r>
      <w:r w:rsidRPr="00CA7D22">
        <w:rPr>
          <w:rFonts w:ascii="Baskerville" w:hAnsi="Baskerville"/>
          <w:sz w:val="20"/>
          <w:szCs w:val="20"/>
        </w:rPr>
        <w:t xml:space="preserve"> S. Shaw and R. Schwartz, ‘</w:t>
      </w:r>
      <w:r w:rsidRPr="00CA7D22">
        <w:rPr>
          <w:rFonts w:ascii="Baskerville" w:hAnsi="Baskerville"/>
          <w:bCs/>
          <w:sz w:val="20"/>
          <w:szCs w:val="20"/>
        </w:rPr>
        <w:t>Trading Precaution: The Precautionary Principle and the WTO’, United Nations University – Institute of Advanced Studies Report</w:t>
      </w:r>
      <w:r w:rsidRPr="00CA7D22">
        <w:rPr>
          <w:rFonts w:ascii="Baskerville" w:hAnsi="Baskerville"/>
          <w:b/>
          <w:bCs/>
          <w:sz w:val="20"/>
          <w:szCs w:val="20"/>
        </w:rPr>
        <w:t xml:space="preserve"> </w:t>
      </w:r>
      <w:r w:rsidRPr="00CA7D22">
        <w:rPr>
          <w:rFonts w:ascii="Baskerville" w:hAnsi="Baskerville"/>
          <w:bCs/>
          <w:sz w:val="20"/>
          <w:szCs w:val="20"/>
        </w:rPr>
        <w:t>2005</w:t>
      </w:r>
      <w:r w:rsidRPr="00CA7D22">
        <w:rPr>
          <w:rFonts w:ascii="Baskerville" w:hAnsi="Baskerville"/>
          <w:sz w:val="20"/>
          <w:szCs w:val="20"/>
        </w:rPr>
        <w:t>, p 4.</w:t>
      </w:r>
    </w:p>
  </w:footnote>
  <w:footnote w:id="74">
    <w:p w14:paraId="5D9A8783" w14:textId="665B87CC" w:rsidR="00747095" w:rsidRPr="006C1BDB" w:rsidRDefault="00747095">
      <w:pPr>
        <w:pStyle w:val="FootnoteText"/>
        <w:rPr>
          <w:rFonts w:ascii="Baskerville" w:hAnsi="Baskerville"/>
          <w:sz w:val="20"/>
          <w:szCs w:val="20"/>
          <w:lang w:val="en-US"/>
        </w:rPr>
      </w:pPr>
      <w:r w:rsidRPr="006C1BDB">
        <w:rPr>
          <w:rStyle w:val="FootnoteReference"/>
          <w:rFonts w:ascii="Baskerville" w:hAnsi="Baskerville"/>
          <w:sz w:val="20"/>
          <w:szCs w:val="20"/>
        </w:rPr>
        <w:footnoteRef/>
      </w:r>
      <w:r w:rsidRPr="006C1BDB">
        <w:rPr>
          <w:rFonts w:ascii="Baskerville" w:hAnsi="Baskerville"/>
          <w:sz w:val="20"/>
          <w:szCs w:val="20"/>
        </w:rPr>
        <w:t xml:space="preserve"> ‘Guidelines for Applying the Precautionary Principle’ (n </w:t>
      </w:r>
      <w:r w:rsidR="006C1BDB" w:rsidRPr="006C1BDB">
        <w:rPr>
          <w:rFonts w:ascii="Baskerville" w:hAnsi="Baskerville"/>
          <w:sz w:val="20"/>
          <w:szCs w:val="20"/>
        </w:rPr>
        <w:t>8</w:t>
      </w:r>
      <w:r w:rsidRPr="006C1BDB">
        <w:rPr>
          <w:rFonts w:ascii="Baskerville" w:hAnsi="Baskerville"/>
          <w:sz w:val="20"/>
          <w:szCs w:val="20"/>
        </w:rPr>
        <w:t>)</w:t>
      </w:r>
      <w:r w:rsidRPr="006C1BDB">
        <w:rPr>
          <w:rFonts w:ascii="Baskerville" w:hAnsi="Baskerville"/>
          <w:bCs/>
          <w:iCs/>
          <w:sz w:val="20"/>
          <w:szCs w:val="20"/>
          <w:lang w:val="en-US"/>
        </w:rPr>
        <w:t>, p 6.</w:t>
      </w:r>
    </w:p>
  </w:footnote>
  <w:footnote w:id="75">
    <w:p w14:paraId="32B4303B" w14:textId="77777777" w:rsidR="00747095" w:rsidRPr="00CA7D22" w:rsidRDefault="00747095" w:rsidP="005E4F4C">
      <w:pPr>
        <w:pStyle w:val="FootnoteText"/>
        <w:rPr>
          <w:rFonts w:ascii="Baskerville" w:hAnsi="Baskerville"/>
          <w:sz w:val="20"/>
          <w:szCs w:val="20"/>
          <w:lang w:val="en-US"/>
        </w:rPr>
      </w:pPr>
      <w:r w:rsidRPr="00CA7D22">
        <w:rPr>
          <w:rStyle w:val="FootnoteReference"/>
          <w:rFonts w:ascii="Baskerville" w:hAnsi="Baskerville"/>
          <w:sz w:val="20"/>
          <w:szCs w:val="20"/>
        </w:rPr>
        <w:footnoteRef/>
      </w:r>
      <w:r w:rsidRPr="00CA7D22">
        <w:rPr>
          <w:rFonts w:ascii="Baskerville" w:hAnsi="Baskerville"/>
          <w:sz w:val="20"/>
          <w:szCs w:val="20"/>
        </w:rPr>
        <w:t xml:space="preserve"> Ibid, p 8.</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D358CB" w14:textId="08456EA7" w:rsidR="00747095" w:rsidRPr="00622177" w:rsidRDefault="00747095">
    <w:pPr>
      <w:pStyle w:val="Header"/>
      <w:rPr>
        <w:rFonts w:ascii="Baskerville" w:hAnsi="Baskerville"/>
      </w:rPr>
    </w:pPr>
    <w:r>
      <w:rPr>
        <w:rFonts w:ascii="Baskerville" w:hAnsi="Baskerville"/>
      </w:rPr>
      <w:t>Christopher Olsen                                                                                          17/1/2017</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37"/>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445E3F"/>
    <w:multiLevelType w:val="hybridMultilevel"/>
    <w:tmpl w:val="96023DFA"/>
    <w:lvl w:ilvl="0" w:tplc="232A5F7A">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3B95E1D"/>
    <w:multiLevelType w:val="multilevel"/>
    <w:tmpl w:val="B8483C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FA58A9"/>
    <w:multiLevelType w:val="multilevel"/>
    <w:tmpl w:val="15BE7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336613C"/>
    <w:multiLevelType w:val="hybridMultilevel"/>
    <w:tmpl w:val="EA8453E8"/>
    <w:lvl w:ilvl="0" w:tplc="0409000F">
      <w:start w:val="1"/>
      <w:numFmt w:val="decimal"/>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5">
    <w:nsid w:val="3F850D70"/>
    <w:multiLevelType w:val="hybridMultilevel"/>
    <w:tmpl w:val="82F43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C2F"/>
    <w:rsid w:val="00002738"/>
    <w:rsid w:val="00002E64"/>
    <w:rsid w:val="00006239"/>
    <w:rsid w:val="000074DC"/>
    <w:rsid w:val="00013AF3"/>
    <w:rsid w:val="0001490F"/>
    <w:rsid w:val="00014E85"/>
    <w:rsid w:val="00016F34"/>
    <w:rsid w:val="0002058B"/>
    <w:rsid w:val="00020B5A"/>
    <w:rsid w:val="00021897"/>
    <w:rsid w:val="00035B22"/>
    <w:rsid w:val="0003603C"/>
    <w:rsid w:val="000375AE"/>
    <w:rsid w:val="00037ED4"/>
    <w:rsid w:val="00041BB5"/>
    <w:rsid w:val="00042682"/>
    <w:rsid w:val="000508A4"/>
    <w:rsid w:val="00052BB0"/>
    <w:rsid w:val="00065100"/>
    <w:rsid w:val="00076EA3"/>
    <w:rsid w:val="0008163A"/>
    <w:rsid w:val="000851BA"/>
    <w:rsid w:val="000869C9"/>
    <w:rsid w:val="00087676"/>
    <w:rsid w:val="00095255"/>
    <w:rsid w:val="000962D7"/>
    <w:rsid w:val="000A1A0A"/>
    <w:rsid w:val="000A424D"/>
    <w:rsid w:val="000A58D8"/>
    <w:rsid w:val="000B4E20"/>
    <w:rsid w:val="000B6819"/>
    <w:rsid w:val="000B76C2"/>
    <w:rsid w:val="000C1B98"/>
    <w:rsid w:val="000C1C55"/>
    <w:rsid w:val="000C4380"/>
    <w:rsid w:val="000C5C05"/>
    <w:rsid w:val="000D606E"/>
    <w:rsid w:val="000D62C1"/>
    <w:rsid w:val="000E0DB1"/>
    <w:rsid w:val="000E6D85"/>
    <w:rsid w:val="000F0DD1"/>
    <w:rsid w:val="000F2936"/>
    <w:rsid w:val="000F7F86"/>
    <w:rsid w:val="0010161D"/>
    <w:rsid w:val="00106CB1"/>
    <w:rsid w:val="0011007D"/>
    <w:rsid w:val="00112C57"/>
    <w:rsid w:val="00113D1E"/>
    <w:rsid w:val="00113D2D"/>
    <w:rsid w:val="00114233"/>
    <w:rsid w:val="00120362"/>
    <w:rsid w:val="00127491"/>
    <w:rsid w:val="00130AB3"/>
    <w:rsid w:val="00130BF8"/>
    <w:rsid w:val="00134553"/>
    <w:rsid w:val="00134C81"/>
    <w:rsid w:val="0013589D"/>
    <w:rsid w:val="001401DC"/>
    <w:rsid w:val="001441B4"/>
    <w:rsid w:val="00144D12"/>
    <w:rsid w:val="00145F8E"/>
    <w:rsid w:val="001475C5"/>
    <w:rsid w:val="001478CC"/>
    <w:rsid w:val="00150E17"/>
    <w:rsid w:val="001568DD"/>
    <w:rsid w:val="0016476D"/>
    <w:rsid w:val="001701D9"/>
    <w:rsid w:val="00172E52"/>
    <w:rsid w:val="0017352B"/>
    <w:rsid w:val="00174893"/>
    <w:rsid w:val="00176364"/>
    <w:rsid w:val="001763F8"/>
    <w:rsid w:val="00176B1F"/>
    <w:rsid w:val="00180788"/>
    <w:rsid w:val="00181E9F"/>
    <w:rsid w:val="00193D5D"/>
    <w:rsid w:val="0019769A"/>
    <w:rsid w:val="001A1BBD"/>
    <w:rsid w:val="001C4F23"/>
    <w:rsid w:val="001C59D8"/>
    <w:rsid w:val="001D0B6F"/>
    <w:rsid w:val="001D1443"/>
    <w:rsid w:val="001D61E6"/>
    <w:rsid w:val="001D70E2"/>
    <w:rsid w:val="001E0934"/>
    <w:rsid w:val="001E56CD"/>
    <w:rsid w:val="001E7CC5"/>
    <w:rsid w:val="001F17DB"/>
    <w:rsid w:val="001F1A66"/>
    <w:rsid w:val="00200B24"/>
    <w:rsid w:val="00201A1E"/>
    <w:rsid w:val="00202FAC"/>
    <w:rsid w:val="00207534"/>
    <w:rsid w:val="00211F2A"/>
    <w:rsid w:val="00213554"/>
    <w:rsid w:val="002144FE"/>
    <w:rsid w:val="002146A4"/>
    <w:rsid w:val="00214860"/>
    <w:rsid w:val="002212BC"/>
    <w:rsid w:val="00223C2B"/>
    <w:rsid w:val="00225793"/>
    <w:rsid w:val="002258A6"/>
    <w:rsid w:val="00235CDC"/>
    <w:rsid w:val="00243420"/>
    <w:rsid w:val="002436A4"/>
    <w:rsid w:val="0025752D"/>
    <w:rsid w:val="002616FB"/>
    <w:rsid w:val="00262BDC"/>
    <w:rsid w:val="002656CF"/>
    <w:rsid w:val="00272DBE"/>
    <w:rsid w:val="00273F34"/>
    <w:rsid w:val="00274139"/>
    <w:rsid w:val="002748B6"/>
    <w:rsid w:val="002754B0"/>
    <w:rsid w:val="00276CDB"/>
    <w:rsid w:val="00276D56"/>
    <w:rsid w:val="002775FC"/>
    <w:rsid w:val="00277796"/>
    <w:rsid w:val="00281FC6"/>
    <w:rsid w:val="002828EF"/>
    <w:rsid w:val="00282BA3"/>
    <w:rsid w:val="00283D3A"/>
    <w:rsid w:val="00286032"/>
    <w:rsid w:val="002877BC"/>
    <w:rsid w:val="00290781"/>
    <w:rsid w:val="002923CB"/>
    <w:rsid w:val="00294766"/>
    <w:rsid w:val="002955D9"/>
    <w:rsid w:val="00295EBD"/>
    <w:rsid w:val="002972A4"/>
    <w:rsid w:val="002A25C7"/>
    <w:rsid w:val="002A47AE"/>
    <w:rsid w:val="002A4E26"/>
    <w:rsid w:val="002B1575"/>
    <w:rsid w:val="002B65AC"/>
    <w:rsid w:val="002C01C7"/>
    <w:rsid w:val="002C1BBA"/>
    <w:rsid w:val="002C53E8"/>
    <w:rsid w:val="002C6CC8"/>
    <w:rsid w:val="002C6D25"/>
    <w:rsid w:val="002D16E5"/>
    <w:rsid w:val="002D797F"/>
    <w:rsid w:val="002E25E1"/>
    <w:rsid w:val="002E2F1B"/>
    <w:rsid w:val="002E5DB9"/>
    <w:rsid w:val="002F12D9"/>
    <w:rsid w:val="00310276"/>
    <w:rsid w:val="00310782"/>
    <w:rsid w:val="00313634"/>
    <w:rsid w:val="003137B4"/>
    <w:rsid w:val="00320263"/>
    <w:rsid w:val="00325173"/>
    <w:rsid w:val="003253A7"/>
    <w:rsid w:val="00327D36"/>
    <w:rsid w:val="00330A35"/>
    <w:rsid w:val="0033198D"/>
    <w:rsid w:val="00340397"/>
    <w:rsid w:val="00342BF6"/>
    <w:rsid w:val="00344324"/>
    <w:rsid w:val="00351A8A"/>
    <w:rsid w:val="00353ACB"/>
    <w:rsid w:val="00357408"/>
    <w:rsid w:val="00361A20"/>
    <w:rsid w:val="003748A6"/>
    <w:rsid w:val="003807F8"/>
    <w:rsid w:val="003822EB"/>
    <w:rsid w:val="003840FA"/>
    <w:rsid w:val="0039114B"/>
    <w:rsid w:val="00392CD7"/>
    <w:rsid w:val="00395568"/>
    <w:rsid w:val="003A4FBA"/>
    <w:rsid w:val="003A51C6"/>
    <w:rsid w:val="003A57AE"/>
    <w:rsid w:val="003A6964"/>
    <w:rsid w:val="003B0629"/>
    <w:rsid w:val="003B2F98"/>
    <w:rsid w:val="003B4C83"/>
    <w:rsid w:val="003C6FFB"/>
    <w:rsid w:val="003D0DDF"/>
    <w:rsid w:val="003D22BF"/>
    <w:rsid w:val="003E2AF5"/>
    <w:rsid w:val="003E41C2"/>
    <w:rsid w:val="003E48C3"/>
    <w:rsid w:val="003E6444"/>
    <w:rsid w:val="003F04E1"/>
    <w:rsid w:val="003F17F3"/>
    <w:rsid w:val="003F645C"/>
    <w:rsid w:val="004006FD"/>
    <w:rsid w:val="00420688"/>
    <w:rsid w:val="00420827"/>
    <w:rsid w:val="004210CE"/>
    <w:rsid w:val="00422D47"/>
    <w:rsid w:val="00430B90"/>
    <w:rsid w:val="004326D8"/>
    <w:rsid w:val="00434724"/>
    <w:rsid w:val="0044113F"/>
    <w:rsid w:val="004414FB"/>
    <w:rsid w:val="00445D74"/>
    <w:rsid w:val="00446FF6"/>
    <w:rsid w:val="00453DBC"/>
    <w:rsid w:val="00454D4D"/>
    <w:rsid w:val="00460965"/>
    <w:rsid w:val="00466545"/>
    <w:rsid w:val="0046760B"/>
    <w:rsid w:val="00482B84"/>
    <w:rsid w:val="00484936"/>
    <w:rsid w:val="00486960"/>
    <w:rsid w:val="0048722D"/>
    <w:rsid w:val="00490257"/>
    <w:rsid w:val="0049322D"/>
    <w:rsid w:val="004942B0"/>
    <w:rsid w:val="00495E7F"/>
    <w:rsid w:val="00496A21"/>
    <w:rsid w:val="004A71AA"/>
    <w:rsid w:val="004B0227"/>
    <w:rsid w:val="004B05D9"/>
    <w:rsid w:val="004B397C"/>
    <w:rsid w:val="004C68A3"/>
    <w:rsid w:val="004C7163"/>
    <w:rsid w:val="004D0618"/>
    <w:rsid w:val="004D3568"/>
    <w:rsid w:val="004D4C0E"/>
    <w:rsid w:val="004E52EA"/>
    <w:rsid w:val="004E53E1"/>
    <w:rsid w:val="004F010E"/>
    <w:rsid w:val="005007AB"/>
    <w:rsid w:val="00505773"/>
    <w:rsid w:val="005108B0"/>
    <w:rsid w:val="0051339F"/>
    <w:rsid w:val="00523AC6"/>
    <w:rsid w:val="00524FAA"/>
    <w:rsid w:val="005276FE"/>
    <w:rsid w:val="00533C79"/>
    <w:rsid w:val="00534DA3"/>
    <w:rsid w:val="00537C5C"/>
    <w:rsid w:val="00545320"/>
    <w:rsid w:val="005469C7"/>
    <w:rsid w:val="00552CE8"/>
    <w:rsid w:val="00556E8D"/>
    <w:rsid w:val="0056302B"/>
    <w:rsid w:val="0057643F"/>
    <w:rsid w:val="00576AB3"/>
    <w:rsid w:val="00580BA7"/>
    <w:rsid w:val="00581C2F"/>
    <w:rsid w:val="00587683"/>
    <w:rsid w:val="00593732"/>
    <w:rsid w:val="00595FB7"/>
    <w:rsid w:val="00597473"/>
    <w:rsid w:val="005A004C"/>
    <w:rsid w:val="005A061F"/>
    <w:rsid w:val="005A1558"/>
    <w:rsid w:val="005A298A"/>
    <w:rsid w:val="005A5701"/>
    <w:rsid w:val="005B36BB"/>
    <w:rsid w:val="005C30B6"/>
    <w:rsid w:val="005D4032"/>
    <w:rsid w:val="005E17B3"/>
    <w:rsid w:val="005E1EEA"/>
    <w:rsid w:val="005E2C5C"/>
    <w:rsid w:val="005E3F8C"/>
    <w:rsid w:val="005E4F4C"/>
    <w:rsid w:val="005E6A22"/>
    <w:rsid w:val="005F0C59"/>
    <w:rsid w:val="005F3D75"/>
    <w:rsid w:val="00600491"/>
    <w:rsid w:val="006020F5"/>
    <w:rsid w:val="006021C7"/>
    <w:rsid w:val="00602D89"/>
    <w:rsid w:val="00602D9C"/>
    <w:rsid w:val="00604665"/>
    <w:rsid w:val="0060598F"/>
    <w:rsid w:val="00607469"/>
    <w:rsid w:val="00615E5B"/>
    <w:rsid w:val="00616455"/>
    <w:rsid w:val="0061782E"/>
    <w:rsid w:val="00622177"/>
    <w:rsid w:val="0062287B"/>
    <w:rsid w:val="00622EB9"/>
    <w:rsid w:val="006238BD"/>
    <w:rsid w:val="006262B1"/>
    <w:rsid w:val="00630C9D"/>
    <w:rsid w:val="00633CB9"/>
    <w:rsid w:val="00635F42"/>
    <w:rsid w:val="00641234"/>
    <w:rsid w:val="00643AA1"/>
    <w:rsid w:val="00651C10"/>
    <w:rsid w:val="00655B2D"/>
    <w:rsid w:val="00655F49"/>
    <w:rsid w:val="00657C41"/>
    <w:rsid w:val="00667D4B"/>
    <w:rsid w:val="00671A5D"/>
    <w:rsid w:val="00673DDA"/>
    <w:rsid w:val="00674B48"/>
    <w:rsid w:val="00680673"/>
    <w:rsid w:val="006906CD"/>
    <w:rsid w:val="0069504D"/>
    <w:rsid w:val="006A7FE6"/>
    <w:rsid w:val="006B0F5E"/>
    <w:rsid w:val="006B2C09"/>
    <w:rsid w:val="006B45E6"/>
    <w:rsid w:val="006C120F"/>
    <w:rsid w:val="006C1BDB"/>
    <w:rsid w:val="006C6793"/>
    <w:rsid w:val="006D13DA"/>
    <w:rsid w:val="006D14C8"/>
    <w:rsid w:val="006D7A5C"/>
    <w:rsid w:val="006E2460"/>
    <w:rsid w:val="006E40C9"/>
    <w:rsid w:val="006F04B1"/>
    <w:rsid w:val="006F15A0"/>
    <w:rsid w:val="006F26E0"/>
    <w:rsid w:val="006F6084"/>
    <w:rsid w:val="007026BC"/>
    <w:rsid w:val="007038BA"/>
    <w:rsid w:val="00714327"/>
    <w:rsid w:val="0071529D"/>
    <w:rsid w:val="00733201"/>
    <w:rsid w:val="00733B8B"/>
    <w:rsid w:val="007356B9"/>
    <w:rsid w:val="007445C5"/>
    <w:rsid w:val="00747095"/>
    <w:rsid w:val="00751B14"/>
    <w:rsid w:val="00754871"/>
    <w:rsid w:val="007566BB"/>
    <w:rsid w:val="00760DCB"/>
    <w:rsid w:val="007624E5"/>
    <w:rsid w:val="007629E7"/>
    <w:rsid w:val="00762D3B"/>
    <w:rsid w:val="007648E7"/>
    <w:rsid w:val="00771F99"/>
    <w:rsid w:val="00785138"/>
    <w:rsid w:val="0078602F"/>
    <w:rsid w:val="00786D63"/>
    <w:rsid w:val="00786E2B"/>
    <w:rsid w:val="0079208A"/>
    <w:rsid w:val="007924D8"/>
    <w:rsid w:val="007A51F8"/>
    <w:rsid w:val="007B5CDA"/>
    <w:rsid w:val="007B71DC"/>
    <w:rsid w:val="007C401E"/>
    <w:rsid w:val="007C4B68"/>
    <w:rsid w:val="007C530D"/>
    <w:rsid w:val="007C628B"/>
    <w:rsid w:val="007D0000"/>
    <w:rsid w:val="007D086B"/>
    <w:rsid w:val="007D0D33"/>
    <w:rsid w:val="007D3109"/>
    <w:rsid w:val="007D7882"/>
    <w:rsid w:val="007E0BDE"/>
    <w:rsid w:val="007E229F"/>
    <w:rsid w:val="007E62A0"/>
    <w:rsid w:val="007F4287"/>
    <w:rsid w:val="007F5532"/>
    <w:rsid w:val="00806BC3"/>
    <w:rsid w:val="00811893"/>
    <w:rsid w:val="00812F6D"/>
    <w:rsid w:val="00815F4A"/>
    <w:rsid w:val="00821174"/>
    <w:rsid w:val="00822AC2"/>
    <w:rsid w:val="0082373A"/>
    <w:rsid w:val="00830F8F"/>
    <w:rsid w:val="008432ED"/>
    <w:rsid w:val="00843786"/>
    <w:rsid w:val="0084382D"/>
    <w:rsid w:val="00843CED"/>
    <w:rsid w:val="00844462"/>
    <w:rsid w:val="008450E6"/>
    <w:rsid w:val="00846404"/>
    <w:rsid w:val="0084681F"/>
    <w:rsid w:val="00847A6B"/>
    <w:rsid w:val="00850B96"/>
    <w:rsid w:val="008510E9"/>
    <w:rsid w:val="008542E0"/>
    <w:rsid w:val="008563AC"/>
    <w:rsid w:val="00863BA0"/>
    <w:rsid w:val="00866B6B"/>
    <w:rsid w:val="00867337"/>
    <w:rsid w:val="008742EA"/>
    <w:rsid w:val="00876395"/>
    <w:rsid w:val="00876D1C"/>
    <w:rsid w:val="00887019"/>
    <w:rsid w:val="00887CB9"/>
    <w:rsid w:val="0089050A"/>
    <w:rsid w:val="008A046F"/>
    <w:rsid w:val="008B036D"/>
    <w:rsid w:val="008B0F87"/>
    <w:rsid w:val="008B4632"/>
    <w:rsid w:val="008C0DEC"/>
    <w:rsid w:val="008C3B2F"/>
    <w:rsid w:val="008C3F1F"/>
    <w:rsid w:val="008C4073"/>
    <w:rsid w:val="008C6557"/>
    <w:rsid w:val="008C6FD0"/>
    <w:rsid w:val="008D566B"/>
    <w:rsid w:val="008E2B10"/>
    <w:rsid w:val="008E71EE"/>
    <w:rsid w:val="008E73DA"/>
    <w:rsid w:val="008F3F8C"/>
    <w:rsid w:val="008F465A"/>
    <w:rsid w:val="008F751C"/>
    <w:rsid w:val="009037EB"/>
    <w:rsid w:val="00903D82"/>
    <w:rsid w:val="0091068F"/>
    <w:rsid w:val="0091591A"/>
    <w:rsid w:val="00916C55"/>
    <w:rsid w:val="00920517"/>
    <w:rsid w:val="00920A91"/>
    <w:rsid w:val="00922F17"/>
    <w:rsid w:val="00930480"/>
    <w:rsid w:val="00933271"/>
    <w:rsid w:val="0093547B"/>
    <w:rsid w:val="00935790"/>
    <w:rsid w:val="009365D1"/>
    <w:rsid w:val="00942088"/>
    <w:rsid w:val="0094288C"/>
    <w:rsid w:val="00943E49"/>
    <w:rsid w:val="00946C58"/>
    <w:rsid w:val="0095441C"/>
    <w:rsid w:val="00954481"/>
    <w:rsid w:val="00954B91"/>
    <w:rsid w:val="00956EC3"/>
    <w:rsid w:val="00956FAE"/>
    <w:rsid w:val="009642B9"/>
    <w:rsid w:val="009705A0"/>
    <w:rsid w:val="00970E64"/>
    <w:rsid w:val="00973CD2"/>
    <w:rsid w:val="00977219"/>
    <w:rsid w:val="0099101D"/>
    <w:rsid w:val="009A079D"/>
    <w:rsid w:val="009A1498"/>
    <w:rsid w:val="009A1D56"/>
    <w:rsid w:val="009A2A79"/>
    <w:rsid w:val="009A6F32"/>
    <w:rsid w:val="009B576D"/>
    <w:rsid w:val="009B7995"/>
    <w:rsid w:val="009C18B4"/>
    <w:rsid w:val="009C1C0B"/>
    <w:rsid w:val="009C74C4"/>
    <w:rsid w:val="009D11B2"/>
    <w:rsid w:val="009D3436"/>
    <w:rsid w:val="009D578D"/>
    <w:rsid w:val="009D610E"/>
    <w:rsid w:val="009E3AE2"/>
    <w:rsid w:val="009E3E4E"/>
    <w:rsid w:val="009E5D13"/>
    <w:rsid w:val="009E7B63"/>
    <w:rsid w:val="009F779D"/>
    <w:rsid w:val="00A04721"/>
    <w:rsid w:val="00A05297"/>
    <w:rsid w:val="00A10B28"/>
    <w:rsid w:val="00A13B32"/>
    <w:rsid w:val="00A2615A"/>
    <w:rsid w:val="00A32A3D"/>
    <w:rsid w:val="00A341AD"/>
    <w:rsid w:val="00A34FC0"/>
    <w:rsid w:val="00A363CD"/>
    <w:rsid w:val="00A41E8C"/>
    <w:rsid w:val="00A41EA4"/>
    <w:rsid w:val="00A42DD2"/>
    <w:rsid w:val="00A444AC"/>
    <w:rsid w:val="00A445DB"/>
    <w:rsid w:val="00A46252"/>
    <w:rsid w:val="00A465F9"/>
    <w:rsid w:val="00A47C9D"/>
    <w:rsid w:val="00A50EBA"/>
    <w:rsid w:val="00A51DE6"/>
    <w:rsid w:val="00A5329D"/>
    <w:rsid w:val="00A53E17"/>
    <w:rsid w:val="00A571F3"/>
    <w:rsid w:val="00A621D5"/>
    <w:rsid w:val="00A640C7"/>
    <w:rsid w:val="00A645D3"/>
    <w:rsid w:val="00A64F10"/>
    <w:rsid w:val="00A67B03"/>
    <w:rsid w:val="00A67C2E"/>
    <w:rsid w:val="00A71F30"/>
    <w:rsid w:val="00A75C8E"/>
    <w:rsid w:val="00A7623C"/>
    <w:rsid w:val="00A81A06"/>
    <w:rsid w:val="00A8250B"/>
    <w:rsid w:val="00A8686E"/>
    <w:rsid w:val="00A8719B"/>
    <w:rsid w:val="00A92D41"/>
    <w:rsid w:val="00AA09D4"/>
    <w:rsid w:val="00AA59F7"/>
    <w:rsid w:val="00AB6E8C"/>
    <w:rsid w:val="00AB779F"/>
    <w:rsid w:val="00AB78E5"/>
    <w:rsid w:val="00AC18B1"/>
    <w:rsid w:val="00AC3E53"/>
    <w:rsid w:val="00AD4199"/>
    <w:rsid w:val="00AE1C51"/>
    <w:rsid w:val="00AE35EA"/>
    <w:rsid w:val="00AF7A1D"/>
    <w:rsid w:val="00B072EE"/>
    <w:rsid w:val="00B1686E"/>
    <w:rsid w:val="00B22AE3"/>
    <w:rsid w:val="00B25C42"/>
    <w:rsid w:val="00B25EAF"/>
    <w:rsid w:val="00B26E3B"/>
    <w:rsid w:val="00B353CB"/>
    <w:rsid w:val="00B41F30"/>
    <w:rsid w:val="00B43E57"/>
    <w:rsid w:val="00B45F8A"/>
    <w:rsid w:val="00B4702D"/>
    <w:rsid w:val="00B47CEF"/>
    <w:rsid w:val="00B47E30"/>
    <w:rsid w:val="00B5290B"/>
    <w:rsid w:val="00B531B0"/>
    <w:rsid w:val="00B53AF5"/>
    <w:rsid w:val="00B54164"/>
    <w:rsid w:val="00B545C6"/>
    <w:rsid w:val="00B56AFD"/>
    <w:rsid w:val="00B56D57"/>
    <w:rsid w:val="00B56E6A"/>
    <w:rsid w:val="00B57E79"/>
    <w:rsid w:val="00B62B68"/>
    <w:rsid w:val="00B6642F"/>
    <w:rsid w:val="00B66D1D"/>
    <w:rsid w:val="00B70E65"/>
    <w:rsid w:val="00B721FE"/>
    <w:rsid w:val="00B7299F"/>
    <w:rsid w:val="00B748AB"/>
    <w:rsid w:val="00B77953"/>
    <w:rsid w:val="00B855FF"/>
    <w:rsid w:val="00B92530"/>
    <w:rsid w:val="00B93410"/>
    <w:rsid w:val="00B94F59"/>
    <w:rsid w:val="00B961DD"/>
    <w:rsid w:val="00BA2C4F"/>
    <w:rsid w:val="00BA5239"/>
    <w:rsid w:val="00BA6DA9"/>
    <w:rsid w:val="00BA7E0A"/>
    <w:rsid w:val="00BB34C8"/>
    <w:rsid w:val="00BC10E9"/>
    <w:rsid w:val="00BC4472"/>
    <w:rsid w:val="00BC6886"/>
    <w:rsid w:val="00BD1C7C"/>
    <w:rsid w:val="00BD47D5"/>
    <w:rsid w:val="00BD50F8"/>
    <w:rsid w:val="00BE1206"/>
    <w:rsid w:val="00BE145A"/>
    <w:rsid w:val="00BE5372"/>
    <w:rsid w:val="00BE60E3"/>
    <w:rsid w:val="00BF1C2F"/>
    <w:rsid w:val="00BF3A87"/>
    <w:rsid w:val="00C0584A"/>
    <w:rsid w:val="00C14D13"/>
    <w:rsid w:val="00C15480"/>
    <w:rsid w:val="00C17512"/>
    <w:rsid w:val="00C20E53"/>
    <w:rsid w:val="00C26309"/>
    <w:rsid w:val="00C36C45"/>
    <w:rsid w:val="00C36CC4"/>
    <w:rsid w:val="00C37C18"/>
    <w:rsid w:val="00C41B4A"/>
    <w:rsid w:val="00C4252D"/>
    <w:rsid w:val="00C42C04"/>
    <w:rsid w:val="00C4417C"/>
    <w:rsid w:val="00C51DBB"/>
    <w:rsid w:val="00C53C49"/>
    <w:rsid w:val="00C544A6"/>
    <w:rsid w:val="00C56555"/>
    <w:rsid w:val="00C625F9"/>
    <w:rsid w:val="00C65B43"/>
    <w:rsid w:val="00C70E9C"/>
    <w:rsid w:val="00C716FD"/>
    <w:rsid w:val="00C73A50"/>
    <w:rsid w:val="00C76306"/>
    <w:rsid w:val="00C83338"/>
    <w:rsid w:val="00C866D6"/>
    <w:rsid w:val="00C93F5C"/>
    <w:rsid w:val="00C97C5B"/>
    <w:rsid w:val="00CA04ED"/>
    <w:rsid w:val="00CA0DA4"/>
    <w:rsid w:val="00CA4C9D"/>
    <w:rsid w:val="00CA781A"/>
    <w:rsid w:val="00CA7D22"/>
    <w:rsid w:val="00CB0248"/>
    <w:rsid w:val="00CC0179"/>
    <w:rsid w:val="00CC277A"/>
    <w:rsid w:val="00CD694F"/>
    <w:rsid w:val="00CE1291"/>
    <w:rsid w:val="00CE745D"/>
    <w:rsid w:val="00CF6633"/>
    <w:rsid w:val="00CF67AF"/>
    <w:rsid w:val="00D10ED2"/>
    <w:rsid w:val="00D1463D"/>
    <w:rsid w:val="00D14D89"/>
    <w:rsid w:val="00D1533F"/>
    <w:rsid w:val="00D3236A"/>
    <w:rsid w:val="00D33E1B"/>
    <w:rsid w:val="00D51C67"/>
    <w:rsid w:val="00D53A9A"/>
    <w:rsid w:val="00D56B83"/>
    <w:rsid w:val="00D57AC8"/>
    <w:rsid w:val="00D62FB4"/>
    <w:rsid w:val="00D64F34"/>
    <w:rsid w:val="00D750A9"/>
    <w:rsid w:val="00D75DBD"/>
    <w:rsid w:val="00D80D96"/>
    <w:rsid w:val="00D85A5A"/>
    <w:rsid w:val="00D87916"/>
    <w:rsid w:val="00D909AD"/>
    <w:rsid w:val="00D97B21"/>
    <w:rsid w:val="00DA672A"/>
    <w:rsid w:val="00DB0665"/>
    <w:rsid w:val="00DB21D8"/>
    <w:rsid w:val="00DB2541"/>
    <w:rsid w:val="00DB37BF"/>
    <w:rsid w:val="00DB508B"/>
    <w:rsid w:val="00DB5662"/>
    <w:rsid w:val="00DB64BE"/>
    <w:rsid w:val="00DC238B"/>
    <w:rsid w:val="00DC3314"/>
    <w:rsid w:val="00DC39F5"/>
    <w:rsid w:val="00DC44FA"/>
    <w:rsid w:val="00DD145E"/>
    <w:rsid w:val="00DD32B2"/>
    <w:rsid w:val="00DD4A71"/>
    <w:rsid w:val="00DD4E6D"/>
    <w:rsid w:val="00DD65CF"/>
    <w:rsid w:val="00DE011E"/>
    <w:rsid w:val="00DE055D"/>
    <w:rsid w:val="00DE1DCC"/>
    <w:rsid w:val="00DE28F5"/>
    <w:rsid w:val="00DE37E7"/>
    <w:rsid w:val="00DE7848"/>
    <w:rsid w:val="00E056AE"/>
    <w:rsid w:val="00E0699F"/>
    <w:rsid w:val="00E1333B"/>
    <w:rsid w:val="00E15050"/>
    <w:rsid w:val="00E26BB6"/>
    <w:rsid w:val="00E275FB"/>
    <w:rsid w:val="00E372AF"/>
    <w:rsid w:val="00E37C9B"/>
    <w:rsid w:val="00E4061D"/>
    <w:rsid w:val="00E417E1"/>
    <w:rsid w:val="00E43F48"/>
    <w:rsid w:val="00E44171"/>
    <w:rsid w:val="00E56E0C"/>
    <w:rsid w:val="00E616E0"/>
    <w:rsid w:val="00E62339"/>
    <w:rsid w:val="00E65C9C"/>
    <w:rsid w:val="00E80073"/>
    <w:rsid w:val="00E807B6"/>
    <w:rsid w:val="00E830BF"/>
    <w:rsid w:val="00E842A3"/>
    <w:rsid w:val="00E84FE1"/>
    <w:rsid w:val="00E857ED"/>
    <w:rsid w:val="00E95B7B"/>
    <w:rsid w:val="00EA4590"/>
    <w:rsid w:val="00EB5276"/>
    <w:rsid w:val="00EB54D2"/>
    <w:rsid w:val="00EC1E61"/>
    <w:rsid w:val="00EC2BDD"/>
    <w:rsid w:val="00EC609F"/>
    <w:rsid w:val="00EC674A"/>
    <w:rsid w:val="00EC6BA3"/>
    <w:rsid w:val="00EC7F3C"/>
    <w:rsid w:val="00ED4267"/>
    <w:rsid w:val="00ED6732"/>
    <w:rsid w:val="00EE5018"/>
    <w:rsid w:val="00EE6092"/>
    <w:rsid w:val="00EF177E"/>
    <w:rsid w:val="00EF7020"/>
    <w:rsid w:val="00F02622"/>
    <w:rsid w:val="00F04DD1"/>
    <w:rsid w:val="00F05353"/>
    <w:rsid w:val="00F16908"/>
    <w:rsid w:val="00F210B8"/>
    <w:rsid w:val="00F26646"/>
    <w:rsid w:val="00F35809"/>
    <w:rsid w:val="00F46565"/>
    <w:rsid w:val="00F5149F"/>
    <w:rsid w:val="00F56AEB"/>
    <w:rsid w:val="00F64D52"/>
    <w:rsid w:val="00F75C6B"/>
    <w:rsid w:val="00F76642"/>
    <w:rsid w:val="00F8020B"/>
    <w:rsid w:val="00F81ABD"/>
    <w:rsid w:val="00F85AC9"/>
    <w:rsid w:val="00F92003"/>
    <w:rsid w:val="00F932E5"/>
    <w:rsid w:val="00FA36BF"/>
    <w:rsid w:val="00FB1069"/>
    <w:rsid w:val="00FB3F26"/>
    <w:rsid w:val="00FB56B4"/>
    <w:rsid w:val="00FB5E16"/>
    <w:rsid w:val="00FC17FF"/>
    <w:rsid w:val="00FC3250"/>
    <w:rsid w:val="00FC5227"/>
    <w:rsid w:val="00FC59AE"/>
    <w:rsid w:val="00FC67B7"/>
    <w:rsid w:val="00FD3997"/>
    <w:rsid w:val="00FD707F"/>
    <w:rsid w:val="00FD7B67"/>
    <w:rsid w:val="00FE24B2"/>
    <w:rsid w:val="00FE57BB"/>
    <w:rsid w:val="00FE5D00"/>
    <w:rsid w:val="00FF207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3686B7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C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4199"/>
    <w:pPr>
      <w:tabs>
        <w:tab w:val="center" w:pos="4320"/>
        <w:tab w:val="right" w:pos="8640"/>
      </w:tabs>
    </w:pPr>
  </w:style>
  <w:style w:type="character" w:customStyle="1" w:styleId="HeaderChar">
    <w:name w:val="Header Char"/>
    <w:basedOn w:val="DefaultParagraphFont"/>
    <w:link w:val="Header"/>
    <w:uiPriority w:val="99"/>
    <w:rsid w:val="00AD4199"/>
  </w:style>
  <w:style w:type="paragraph" w:styleId="Footer">
    <w:name w:val="footer"/>
    <w:basedOn w:val="Normal"/>
    <w:link w:val="FooterChar"/>
    <w:uiPriority w:val="99"/>
    <w:unhideWhenUsed/>
    <w:rsid w:val="00AD4199"/>
    <w:pPr>
      <w:tabs>
        <w:tab w:val="center" w:pos="4320"/>
        <w:tab w:val="right" w:pos="8640"/>
      </w:tabs>
    </w:pPr>
  </w:style>
  <w:style w:type="character" w:customStyle="1" w:styleId="FooterChar">
    <w:name w:val="Footer Char"/>
    <w:basedOn w:val="DefaultParagraphFont"/>
    <w:link w:val="Footer"/>
    <w:uiPriority w:val="99"/>
    <w:rsid w:val="00AD4199"/>
  </w:style>
  <w:style w:type="paragraph" w:styleId="FootnoteText">
    <w:name w:val="footnote text"/>
    <w:basedOn w:val="Normal"/>
    <w:link w:val="FootnoteTextChar"/>
    <w:uiPriority w:val="99"/>
    <w:unhideWhenUsed/>
    <w:rsid w:val="005E4F4C"/>
  </w:style>
  <w:style w:type="character" w:customStyle="1" w:styleId="FootnoteTextChar">
    <w:name w:val="Footnote Text Char"/>
    <w:basedOn w:val="DefaultParagraphFont"/>
    <w:link w:val="FootnoteText"/>
    <w:uiPriority w:val="99"/>
    <w:rsid w:val="005E4F4C"/>
  </w:style>
  <w:style w:type="character" w:styleId="FootnoteReference">
    <w:name w:val="footnote reference"/>
    <w:basedOn w:val="DefaultParagraphFont"/>
    <w:uiPriority w:val="99"/>
    <w:unhideWhenUsed/>
    <w:rsid w:val="005E4F4C"/>
    <w:rPr>
      <w:vertAlign w:val="superscript"/>
    </w:rPr>
  </w:style>
  <w:style w:type="paragraph" w:styleId="NormalWeb">
    <w:name w:val="Normal (Web)"/>
    <w:basedOn w:val="Normal"/>
    <w:uiPriority w:val="99"/>
    <w:semiHidden/>
    <w:unhideWhenUsed/>
    <w:rsid w:val="00843CED"/>
    <w:rPr>
      <w:rFonts w:ascii="Times New Roman" w:hAnsi="Times New Roman" w:cs="Times New Roman"/>
    </w:rPr>
  </w:style>
  <w:style w:type="character" w:styleId="Hyperlink">
    <w:name w:val="Hyperlink"/>
    <w:basedOn w:val="DefaultParagraphFont"/>
    <w:uiPriority w:val="99"/>
    <w:unhideWhenUsed/>
    <w:rsid w:val="00E056AE"/>
    <w:rPr>
      <w:color w:val="0000FF" w:themeColor="hyperlink"/>
      <w:u w:val="single"/>
    </w:rPr>
  </w:style>
  <w:style w:type="paragraph" w:styleId="ListParagraph">
    <w:name w:val="List Paragraph"/>
    <w:basedOn w:val="Normal"/>
    <w:uiPriority w:val="34"/>
    <w:qFormat/>
    <w:rsid w:val="00A8719B"/>
    <w:pPr>
      <w:ind w:left="720"/>
      <w:contextualSpacing/>
    </w:pPr>
  </w:style>
  <w:style w:type="character" w:styleId="PageNumber">
    <w:name w:val="page number"/>
    <w:basedOn w:val="DefaultParagraphFont"/>
    <w:uiPriority w:val="99"/>
    <w:semiHidden/>
    <w:unhideWhenUsed/>
    <w:rsid w:val="001763F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C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4199"/>
    <w:pPr>
      <w:tabs>
        <w:tab w:val="center" w:pos="4320"/>
        <w:tab w:val="right" w:pos="8640"/>
      </w:tabs>
    </w:pPr>
  </w:style>
  <w:style w:type="character" w:customStyle="1" w:styleId="HeaderChar">
    <w:name w:val="Header Char"/>
    <w:basedOn w:val="DefaultParagraphFont"/>
    <w:link w:val="Header"/>
    <w:uiPriority w:val="99"/>
    <w:rsid w:val="00AD4199"/>
  </w:style>
  <w:style w:type="paragraph" w:styleId="Footer">
    <w:name w:val="footer"/>
    <w:basedOn w:val="Normal"/>
    <w:link w:val="FooterChar"/>
    <w:uiPriority w:val="99"/>
    <w:unhideWhenUsed/>
    <w:rsid w:val="00AD4199"/>
    <w:pPr>
      <w:tabs>
        <w:tab w:val="center" w:pos="4320"/>
        <w:tab w:val="right" w:pos="8640"/>
      </w:tabs>
    </w:pPr>
  </w:style>
  <w:style w:type="character" w:customStyle="1" w:styleId="FooterChar">
    <w:name w:val="Footer Char"/>
    <w:basedOn w:val="DefaultParagraphFont"/>
    <w:link w:val="Footer"/>
    <w:uiPriority w:val="99"/>
    <w:rsid w:val="00AD4199"/>
  </w:style>
  <w:style w:type="paragraph" w:styleId="FootnoteText">
    <w:name w:val="footnote text"/>
    <w:basedOn w:val="Normal"/>
    <w:link w:val="FootnoteTextChar"/>
    <w:uiPriority w:val="99"/>
    <w:unhideWhenUsed/>
    <w:rsid w:val="005E4F4C"/>
  </w:style>
  <w:style w:type="character" w:customStyle="1" w:styleId="FootnoteTextChar">
    <w:name w:val="Footnote Text Char"/>
    <w:basedOn w:val="DefaultParagraphFont"/>
    <w:link w:val="FootnoteText"/>
    <w:uiPriority w:val="99"/>
    <w:rsid w:val="005E4F4C"/>
  </w:style>
  <w:style w:type="character" w:styleId="FootnoteReference">
    <w:name w:val="footnote reference"/>
    <w:basedOn w:val="DefaultParagraphFont"/>
    <w:uiPriority w:val="99"/>
    <w:unhideWhenUsed/>
    <w:rsid w:val="005E4F4C"/>
    <w:rPr>
      <w:vertAlign w:val="superscript"/>
    </w:rPr>
  </w:style>
  <w:style w:type="paragraph" w:styleId="NormalWeb">
    <w:name w:val="Normal (Web)"/>
    <w:basedOn w:val="Normal"/>
    <w:uiPriority w:val="99"/>
    <w:semiHidden/>
    <w:unhideWhenUsed/>
    <w:rsid w:val="00843CED"/>
    <w:rPr>
      <w:rFonts w:ascii="Times New Roman" w:hAnsi="Times New Roman" w:cs="Times New Roman"/>
    </w:rPr>
  </w:style>
  <w:style w:type="character" w:styleId="Hyperlink">
    <w:name w:val="Hyperlink"/>
    <w:basedOn w:val="DefaultParagraphFont"/>
    <w:uiPriority w:val="99"/>
    <w:unhideWhenUsed/>
    <w:rsid w:val="00E056AE"/>
    <w:rPr>
      <w:color w:val="0000FF" w:themeColor="hyperlink"/>
      <w:u w:val="single"/>
    </w:rPr>
  </w:style>
  <w:style w:type="paragraph" w:styleId="ListParagraph">
    <w:name w:val="List Paragraph"/>
    <w:basedOn w:val="Normal"/>
    <w:uiPriority w:val="34"/>
    <w:qFormat/>
    <w:rsid w:val="00A8719B"/>
    <w:pPr>
      <w:ind w:left="720"/>
      <w:contextualSpacing/>
    </w:pPr>
  </w:style>
  <w:style w:type="character" w:styleId="PageNumber">
    <w:name w:val="page number"/>
    <w:basedOn w:val="DefaultParagraphFont"/>
    <w:uiPriority w:val="99"/>
    <w:semiHidden/>
    <w:unhideWhenUsed/>
    <w:rsid w:val="001763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330042">
      <w:bodyDiv w:val="1"/>
      <w:marLeft w:val="0"/>
      <w:marRight w:val="0"/>
      <w:marTop w:val="0"/>
      <w:marBottom w:val="0"/>
      <w:divBdr>
        <w:top w:val="none" w:sz="0" w:space="0" w:color="auto"/>
        <w:left w:val="none" w:sz="0" w:space="0" w:color="auto"/>
        <w:bottom w:val="none" w:sz="0" w:space="0" w:color="auto"/>
        <w:right w:val="none" w:sz="0" w:space="0" w:color="auto"/>
      </w:divBdr>
      <w:divsChild>
        <w:div w:id="2082437155">
          <w:marLeft w:val="0"/>
          <w:marRight w:val="0"/>
          <w:marTop w:val="0"/>
          <w:marBottom w:val="0"/>
          <w:divBdr>
            <w:top w:val="none" w:sz="0" w:space="0" w:color="auto"/>
            <w:left w:val="none" w:sz="0" w:space="0" w:color="auto"/>
            <w:bottom w:val="none" w:sz="0" w:space="0" w:color="auto"/>
            <w:right w:val="none" w:sz="0" w:space="0" w:color="auto"/>
          </w:divBdr>
          <w:divsChild>
            <w:div w:id="1722166301">
              <w:marLeft w:val="0"/>
              <w:marRight w:val="0"/>
              <w:marTop w:val="0"/>
              <w:marBottom w:val="0"/>
              <w:divBdr>
                <w:top w:val="none" w:sz="0" w:space="0" w:color="auto"/>
                <w:left w:val="none" w:sz="0" w:space="0" w:color="auto"/>
                <w:bottom w:val="none" w:sz="0" w:space="0" w:color="auto"/>
                <w:right w:val="none" w:sz="0" w:space="0" w:color="auto"/>
              </w:divBdr>
              <w:divsChild>
                <w:div w:id="643585032">
                  <w:marLeft w:val="0"/>
                  <w:marRight w:val="0"/>
                  <w:marTop w:val="0"/>
                  <w:marBottom w:val="0"/>
                  <w:divBdr>
                    <w:top w:val="none" w:sz="0" w:space="0" w:color="auto"/>
                    <w:left w:val="none" w:sz="0" w:space="0" w:color="auto"/>
                    <w:bottom w:val="none" w:sz="0" w:space="0" w:color="auto"/>
                    <w:right w:val="none" w:sz="0" w:space="0" w:color="auto"/>
                  </w:divBdr>
                  <w:divsChild>
                    <w:div w:id="123296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9619026">
      <w:bodyDiv w:val="1"/>
      <w:marLeft w:val="0"/>
      <w:marRight w:val="0"/>
      <w:marTop w:val="0"/>
      <w:marBottom w:val="0"/>
      <w:divBdr>
        <w:top w:val="none" w:sz="0" w:space="0" w:color="auto"/>
        <w:left w:val="none" w:sz="0" w:space="0" w:color="auto"/>
        <w:bottom w:val="none" w:sz="0" w:space="0" w:color="auto"/>
        <w:right w:val="none" w:sz="0" w:space="0" w:color="auto"/>
      </w:divBdr>
      <w:divsChild>
        <w:div w:id="1215504460">
          <w:marLeft w:val="0"/>
          <w:marRight w:val="0"/>
          <w:marTop w:val="0"/>
          <w:marBottom w:val="0"/>
          <w:divBdr>
            <w:top w:val="none" w:sz="0" w:space="0" w:color="auto"/>
            <w:left w:val="none" w:sz="0" w:space="0" w:color="auto"/>
            <w:bottom w:val="none" w:sz="0" w:space="0" w:color="auto"/>
            <w:right w:val="none" w:sz="0" w:space="0" w:color="auto"/>
          </w:divBdr>
          <w:divsChild>
            <w:div w:id="2058426909">
              <w:marLeft w:val="0"/>
              <w:marRight w:val="0"/>
              <w:marTop w:val="0"/>
              <w:marBottom w:val="0"/>
              <w:divBdr>
                <w:top w:val="none" w:sz="0" w:space="0" w:color="auto"/>
                <w:left w:val="none" w:sz="0" w:space="0" w:color="auto"/>
                <w:bottom w:val="none" w:sz="0" w:space="0" w:color="auto"/>
                <w:right w:val="none" w:sz="0" w:space="0" w:color="auto"/>
              </w:divBdr>
              <w:divsChild>
                <w:div w:id="158584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224894">
      <w:bodyDiv w:val="1"/>
      <w:marLeft w:val="0"/>
      <w:marRight w:val="0"/>
      <w:marTop w:val="0"/>
      <w:marBottom w:val="0"/>
      <w:divBdr>
        <w:top w:val="none" w:sz="0" w:space="0" w:color="auto"/>
        <w:left w:val="none" w:sz="0" w:space="0" w:color="auto"/>
        <w:bottom w:val="none" w:sz="0" w:space="0" w:color="auto"/>
        <w:right w:val="none" w:sz="0" w:space="0" w:color="auto"/>
      </w:divBdr>
      <w:divsChild>
        <w:div w:id="171726335">
          <w:marLeft w:val="0"/>
          <w:marRight w:val="0"/>
          <w:marTop w:val="0"/>
          <w:marBottom w:val="0"/>
          <w:divBdr>
            <w:top w:val="none" w:sz="0" w:space="0" w:color="auto"/>
            <w:left w:val="none" w:sz="0" w:space="0" w:color="auto"/>
            <w:bottom w:val="none" w:sz="0" w:space="0" w:color="auto"/>
            <w:right w:val="none" w:sz="0" w:space="0" w:color="auto"/>
          </w:divBdr>
          <w:divsChild>
            <w:div w:id="572281905">
              <w:marLeft w:val="0"/>
              <w:marRight w:val="0"/>
              <w:marTop w:val="0"/>
              <w:marBottom w:val="0"/>
              <w:divBdr>
                <w:top w:val="none" w:sz="0" w:space="0" w:color="auto"/>
                <w:left w:val="none" w:sz="0" w:space="0" w:color="auto"/>
                <w:bottom w:val="none" w:sz="0" w:space="0" w:color="auto"/>
                <w:right w:val="none" w:sz="0" w:space="0" w:color="auto"/>
              </w:divBdr>
              <w:divsChild>
                <w:div w:id="1655450301">
                  <w:marLeft w:val="0"/>
                  <w:marRight w:val="0"/>
                  <w:marTop w:val="0"/>
                  <w:marBottom w:val="0"/>
                  <w:divBdr>
                    <w:top w:val="none" w:sz="0" w:space="0" w:color="auto"/>
                    <w:left w:val="none" w:sz="0" w:space="0" w:color="auto"/>
                    <w:bottom w:val="none" w:sz="0" w:space="0" w:color="auto"/>
                    <w:right w:val="none" w:sz="0" w:space="0" w:color="auto"/>
                  </w:divBdr>
                  <w:divsChild>
                    <w:div w:id="76403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358133">
      <w:bodyDiv w:val="1"/>
      <w:marLeft w:val="0"/>
      <w:marRight w:val="0"/>
      <w:marTop w:val="0"/>
      <w:marBottom w:val="0"/>
      <w:divBdr>
        <w:top w:val="none" w:sz="0" w:space="0" w:color="auto"/>
        <w:left w:val="none" w:sz="0" w:space="0" w:color="auto"/>
        <w:bottom w:val="none" w:sz="0" w:space="0" w:color="auto"/>
        <w:right w:val="none" w:sz="0" w:space="0" w:color="auto"/>
      </w:divBdr>
      <w:divsChild>
        <w:div w:id="1476412759">
          <w:marLeft w:val="0"/>
          <w:marRight w:val="0"/>
          <w:marTop w:val="0"/>
          <w:marBottom w:val="0"/>
          <w:divBdr>
            <w:top w:val="none" w:sz="0" w:space="0" w:color="auto"/>
            <w:left w:val="none" w:sz="0" w:space="0" w:color="auto"/>
            <w:bottom w:val="none" w:sz="0" w:space="0" w:color="auto"/>
            <w:right w:val="none" w:sz="0" w:space="0" w:color="auto"/>
          </w:divBdr>
          <w:divsChild>
            <w:div w:id="1892691920">
              <w:marLeft w:val="0"/>
              <w:marRight w:val="0"/>
              <w:marTop w:val="0"/>
              <w:marBottom w:val="0"/>
              <w:divBdr>
                <w:top w:val="none" w:sz="0" w:space="0" w:color="auto"/>
                <w:left w:val="none" w:sz="0" w:space="0" w:color="auto"/>
                <w:bottom w:val="none" w:sz="0" w:space="0" w:color="auto"/>
                <w:right w:val="none" w:sz="0" w:space="0" w:color="auto"/>
              </w:divBdr>
              <w:divsChild>
                <w:div w:id="1025206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061592">
      <w:bodyDiv w:val="1"/>
      <w:marLeft w:val="0"/>
      <w:marRight w:val="0"/>
      <w:marTop w:val="0"/>
      <w:marBottom w:val="0"/>
      <w:divBdr>
        <w:top w:val="none" w:sz="0" w:space="0" w:color="auto"/>
        <w:left w:val="none" w:sz="0" w:space="0" w:color="auto"/>
        <w:bottom w:val="none" w:sz="0" w:space="0" w:color="auto"/>
        <w:right w:val="none" w:sz="0" w:space="0" w:color="auto"/>
      </w:divBdr>
      <w:divsChild>
        <w:div w:id="855116441">
          <w:marLeft w:val="0"/>
          <w:marRight w:val="0"/>
          <w:marTop w:val="0"/>
          <w:marBottom w:val="0"/>
          <w:divBdr>
            <w:top w:val="none" w:sz="0" w:space="0" w:color="auto"/>
            <w:left w:val="none" w:sz="0" w:space="0" w:color="auto"/>
            <w:bottom w:val="none" w:sz="0" w:space="0" w:color="auto"/>
            <w:right w:val="none" w:sz="0" w:space="0" w:color="auto"/>
          </w:divBdr>
          <w:divsChild>
            <w:div w:id="229852496">
              <w:marLeft w:val="0"/>
              <w:marRight w:val="0"/>
              <w:marTop w:val="0"/>
              <w:marBottom w:val="0"/>
              <w:divBdr>
                <w:top w:val="none" w:sz="0" w:space="0" w:color="auto"/>
                <w:left w:val="none" w:sz="0" w:space="0" w:color="auto"/>
                <w:bottom w:val="none" w:sz="0" w:space="0" w:color="auto"/>
                <w:right w:val="none" w:sz="0" w:space="0" w:color="auto"/>
              </w:divBdr>
              <w:divsChild>
                <w:div w:id="663053373">
                  <w:marLeft w:val="0"/>
                  <w:marRight w:val="0"/>
                  <w:marTop w:val="0"/>
                  <w:marBottom w:val="0"/>
                  <w:divBdr>
                    <w:top w:val="none" w:sz="0" w:space="0" w:color="auto"/>
                    <w:left w:val="none" w:sz="0" w:space="0" w:color="auto"/>
                    <w:bottom w:val="none" w:sz="0" w:space="0" w:color="auto"/>
                    <w:right w:val="none" w:sz="0" w:space="0" w:color="auto"/>
                  </w:divBdr>
                  <w:divsChild>
                    <w:div w:id="10968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6539366">
      <w:bodyDiv w:val="1"/>
      <w:marLeft w:val="0"/>
      <w:marRight w:val="0"/>
      <w:marTop w:val="0"/>
      <w:marBottom w:val="0"/>
      <w:divBdr>
        <w:top w:val="none" w:sz="0" w:space="0" w:color="auto"/>
        <w:left w:val="none" w:sz="0" w:space="0" w:color="auto"/>
        <w:bottom w:val="none" w:sz="0" w:space="0" w:color="auto"/>
        <w:right w:val="none" w:sz="0" w:space="0" w:color="auto"/>
      </w:divBdr>
    </w:div>
    <w:div w:id="1225339395">
      <w:bodyDiv w:val="1"/>
      <w:marLeft w:val="0"/>
      <w:marRight w:val="0"/>
      <w:marTop w:val="0"/>
      <w:marBottom w:val="0"/>
      <w:divBdr>
        <w:top w:val="none" w:sz="0" w:space="0" w:color="auto"/>
        <w:left w:val="none" w:sz="0" w:space="0" w:color="auto"/>
        <w:bottom w:val="none" w:sz="0" w:space="0" w:color="auto"/>
        <w:right w:val="none" w:sz="0" w:space="0" w:color="auto"/>
      </w:divBdr>
      <w:divsChild>
        <w:div w:id="352927827">
          <w:marLeft w:val="0"/>
          <w:marRight w:val="0"/>
          <w:marTop w:val="0"/>
          <w:marBottom w:val="0"/>
          <w:divBdr>
            <w:top w:val="none" w:sz="0" w:space="0" w:color="auto"/>
            <w:left w:val="none" w:sz="0" w:space="0" w:color="auto"/>
            <w:bottom w:val="none" w:sz="0" w:space="0" w:color="auto"/>
            <w:right w:val="none" w:sz="0" w:space="0" w:color="auto"/>
          </w:divBdr>
          <w:divsChild>
            <w:div w:id="1029723299">
              <w:marLeft w:val="0"/>
              <w:marRight w:val="0"/>
              <w:marTop w:val="0"/>
              <w:marBottom w:val="0"/>
              <w:divBdr>
                <w:top w:val="none" w:sz="0" w:space="0" w:color="auto"/>
                <w:left w:val="none" w:sz="0" w:space="0" w:color="auto"/>
                <w:bottom w:val="none" w:sz="0" w:space="0" w:color="auto"/>
                <w:right w:val="none" w:sz="0" w:space="0" w:color="auto"/>
              </w:divBdr>
              <w:divsChild>
                <w:div w:id="2080668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674891">
      <w:bodyDiv w:val="1"/>
      <w:marLeft w:val="0"/>
      <w:marRight w:val="0"/>
      <w:marTop w:val="0"/>
      <w:marBottom w:val="0"/>
      <w:divBdr>
        <w:top w:val="none" w:sz="0" w:space="0" w:color="auto"/>
        <w:left w:val="none" w:sz="0" w:space="0" w:color="auto"/>
        <w:bottom w:val="none" w:sz="0" w:space="0" w:color="auto"/>
        <w:right w:val="none" w:sz="0" w:space="0" w:color="auto"/>
      </w:divBdr>
      <w:divsChild>
        <w:div w:id="767430589">
          <w:marLeft w:val="0"/>
          <w:marRight w:val="0"/>
          <w:marTop w:val="0"/>
          <w:marBottom w:val="0"/>
          <w:divBdr>
            <w:top w:val="none" w:sz="0" w:space="0" w:color="auto"/>
            <w:left w:val="none" w:sz="0" w:space="0" w:color="auto"/>
            <w:bottom w:val="none" w:sz="0" w:space="0" w:color="auto"/>
            <w:right w:val="none" w:sz="0" w:space="0" w:color="auto"/>
          </w:divBdr>
          <w:divsChild>
            <w:div w:id="1764644204">
              <w:marLeft w:val="0"/>
              <w:marRight w:val="0"/>
              <w:marTop w:val="0"/>
              <w:marBottom w:val="0"/>
              <w:divBdr>
                <w:top w:val="none" w:sz="0" w:space="0" w:color="auto"/>
                <w:left w:val="none" w:sz="0" w:space="0" w:color="auto"/>
                <w:bottom w:val="none" w:sz="0" w:space="0" w:color="auto"/>
                <w:right w:val="none" w:sz="0" w:space="0" w:color="auto"/>
              </w:divBdr>
              <w:divsChild>
                <w:div w:id="1932397124">
                  <w:marLeft w:val="0"/>
                  <w:marRight w:val="0"/>
                  <w:marTop w:val="0"/>
                  <w:marBottom w:val="0"/>
                  <w:divBdr>
                    <w:top w:val="none" w:sz="0" w:space="0" w:color="auto"/>
                    <w:left w:val="none" w:sz="0" w:space="0" w:color="auto"/>
                    <w:bottom w:val="none" w:sz="0" w:space="0" w:color="auto"/>
                    <w:right w:val="none" w:sz="0" w:space="0" w:color="auto"/>
                  </w:divBdr>
                  <w:divsChild>
                    <w:div w:id="28096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2199706">
      <w:bodyDiv w:val="1"/>
      <w:marLeft w:val="0"/>
      <w:marRight w:val="0"/>
      <w:marTop w:val="0"/>
      <w:marBottom w:val="0"/>
      <w:divBdr>
        <w:top w:val="none" w:sz="0" w:space="0" w:color="auto"/>
        <w:left w:val="none" w:sz="0" w:space="0" w:color="auto"/>
        <w:bottom w:val="none" w:sz="0" w:space="0" w:color="auto"/>
        <w:right w:val="none" w:sz="0" w:space="0" w:color="auto"/>
      </w:divBdr>
      <w:divsChild>
        <w:div w:id="1548569310">
          <w:marLeft w:val="0"/>
          <w:marRight w:val="0"/>
          <w:marTop w:val="0"/>
          <w:marBottom w:val="0"/>
          <w:divBdr>
            <w:top w:val="none" w:sz="0" w:space="0" w:color="auto"/>
            <w:left w:val="none" w:sz="0" w:space="0" w:color="auto"/>
            <w:bottom w:val="none" w:sz="0" w:space="0" w:color="auto"/>
            <w:right w:val="none" w:sz="0" w:space="0" w:color="auto"/>
          </w:divBdr>
          <w:divsChild>
            <w:div w:id="405693222">
              <w:marLeft w:val="0"/>
              <w:marRight w:val="0"/>
              <w:marTop w:val="0"/>
              <w:marBottom w:val="0"/>
              <w:divBdr>
                <w:top w:val="none" w:sz="0" w:space="0" w:color="auto"/>
                <w:left w:val="none" w:sz="0" w:space="0" w:color="auto"/>
                <w:bottom w:val="none" w:sz="0" w:space="0" w:color="auto"/>
                <w:right w:val="none" w:sz="0" w:space="0" w:color="auto"/>
              </w:divBdr>
              <w:divsChild>
                <w:div w:id="1176386281">
                  <w:marLeft w:val="0"/>
                  <w:marRight w:val="0"/>
                  <w:marTop w:val="0"/>
                  <w:marBottom w:val="0"/>
                  <w:divBdr>
                    <w:top w:val="none" w:sz="0" w:space="0" w:color="auto"/>
                    <w:left w:val="none" w:sz="0" w:space="0" w:color="auto"/>
                    <w:bottom w:val="none" w:sz="0" w:space="0" w:color="auto"/>
                    <w:right w:val="none" w:sz="0" w:space="0" w:color="auto"/>
                  </w:divBdr>
                  <w:divsChild>
                    <w:div w:id="877013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967501">
      <w:bodyDiv w:val="1"/>
      <w:marLeft w:val="0"/>
      <w:marRight w:val="0"/>
      <w:marTop w:val="0"/>
      <w:marBottom w:val="0"/>
      <w:divBdr>
        <w:top w:val="none" w:sz="0" w:space="0" w:color="auto"/>
        <w:left w:val="none" w:sz="0" w:space="0" w:color="auto"/>
        <w:bottom w:val="none" w:sz="0" w:space="0" w:color="auto"/>
        <w:right w:val="none" w:sz="0" w:space="0" w:color="auto"/>
      </w:divBdr>
      <w:divsChild>
        <w:div w:id="1820537729">
          <w:marLeft w:val="0"/>
          <w:marRight w:val="0"/>
          <w:marTop w:val="0"/>
          <w:marBottom w:val="0"/>
          <w:divBdr>
            <w:top w:val="none" w:sz="0" w:space="0" w:color="auto"/>
            <w:left w:val="none" w:sz="0" w:space="0" w:color="auto"/>
            <w:bottom w:val="none" w:sz="0" w:space="0" w:color="auto"/>
            <w:right w:val="none" w:sz="0" w:space="0" w:color="auto"/>
          </w:divBdr>
          <w:divsChild>
            <w:div w:id="747730261">
              <w:marLeft w:val="0"/>
              <w:marRight w:val="0"/>
              <w:marTop w:val="0"/>
              <w:marBottom w:val="0"/>
              <w:divBdr>
                <w:top w:val="none" w:sz="0" w:space="0" w:color="auto"/>
                <w:left w:val="none" w:sz="0" w:space="0" w:color="auto"/>
                <w:bottom w:val="none" w:sz="0" w:space="0" w:color="auto"/>
                <w:right w:val="none" w:sz="0" w:space="0" w:color="auto"/>
              </w:divBdr>
              <w:divsChild>
                <w:div w:id="1426876324">
                  <w:marLeft w:val="0"/>
                  <w:marRight w:val="0"/>
                  <w:marTop w:val="0"/>
                  <w:marBottom w:val="0"/>
                  <w:divBdr>
                    <w:top w:val="none" w:sz="0" w:space="0" w:color="auto"/>
                    <w:left w:val="none" w:sz="0" w:space="0" w:color="auto"/>
                    <w:bottom w:val="none" w:sz="0" w:space="0" w:color="auto"/>
                    <w:right w:val="none" w:sz="0" w:space="0" w:color="auto"/>
                  </w:divBdr>
                  <w:divsChild>
                    <w:div w:id="16633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3816214">
      <w:bodyDiv w:val="1"/>
      <w:marLeft w:val="0"/>
      <w:marRight w:val="0"/>
      <w:marTop w:val="0"/>
      <w:marBottom w:val="0"/>
      <w:divBdr>
        <w:top w:val="none" w:sz="0" w:space="0" w:color="auto"/>
        <w:left w:val="none" w:sz="0" w:space="0" w:color="auto"/>
        <w:bottom w:val="none" w:sz="0" w:space="0" w:color="auto"/>
        <w:right w:val="none" w:sz="0" w:space="0" w:color="auto"/>
      </w:divBdr>
      <w:divsChild>
        <w:div w:id="193082424">
          <w:marLeft w:val="0"/>
          <w:marRight w:val="0"/>
          <w:marTop w:val="0"/>
          <w:marBottom w:val="0"/>
          <w:divBdr>
            <w:top w:val="none" w:sz="0" w:space="0" w:color="auto"/>
            <w:left w:val="none" w:sz="0" w:space="0" w:color="auto"/>
            <w:bottom w:val="none" w:sz="0" w:space="0" w:color="auto"/>
            <w:right w:val="none" w:sz="0" w:space="0" w:color="auto"/>
          </w:divBdr>
          <w:divsChild>
            <w:div w:id="1676226253">
              <w:marLeft w:val="0"/>
              <w:marRight w:val="0"/>
              <w:marTop w:val="0"/>
              <w:marBottom w:val="0"/>
              <w:divBdr>
                <w:top w:val="none" w:sz="0" w:space="0" w:color="auto"/>
                <w:left w:val="none" w:sz="0" w:space="0" w:color="auto"/>
                <w:bottom w:val="none" w:sz="0" w:space="0" w:color="auto"/>
                <w:right w:val="none" w:sz="0" w:space="0" w:color="auto"/>
              </w:divBdr>
              <w:divsChild>
                <w:div w:id="1968772871">
                  <w:marLeft w:val="0"/>
                  <w:marRight w:val="0"/>
                  <w:marTop w:val="0"/>
                  <w:marBottom w:val="0"/>
                  <w:divBdr>
                    <w:top w:val="none" w:sz="0" w:space="0" w:color="auto"/>
                    <w:left w:val="none" w:sz="0" w:space="0" w:color="auto"/>
                    <w:bottom w:val="none" w:sz="0" w:space="0" w:color="auto"/>
                    <w:right w:val="none" w:sz="0" w:space="0" w:color="auto"/>
                  </w:divBdr>
                  <w:divsChild>
                    <w:div w:id="54487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589230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446</TotalTime>
  <Pages>14</Pages>
  <Words>4158</Words>
  <Characters>23701</Characters>
  <Application>Microsoft Macintosh Word</Application>
  <DocSecurity>0</DocSecurity>
  <Lines>197</Lines>
  <Paragraphs>55</Paragraphs>
  <ScaleCrop>false</ScaleCrop>
  <Company/>
  <LinksUpToDate>false</LinksUpToDate>
  <CharactersWithSpaces>27804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1385</cp:revision>
  <dcterms:created xsi:type="dcterms:W3CDTF">2017-01-27T13:37:00Z</dcterms:created>
  <dcterms:modified xsi:type="dcterms:W3CDTF">2017-03-15T17:40:00Z</dcterms:modified>
</cp:coreProperties>
</file>