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3C481F2E" w:rsidR="00AF31F5" w:rsidRDefault="00146077" w:rsidP="003272A5">
      <w:pPr>
        <w:jc w:val="center"/>
        <w:rPr>
          <w:rFonts w:ascii="Baskerville" w:hAnsi="Baskerville"/>
          <w:sz w:val="28"/>
          <w:szCs w:val="28"/>
          <w:u w:val="single"/>
        </w:rPr>
      </w:pPr>
      <w:r>
        <w:rPr>
          <w:rFonts w:ascii="Baskerville" w:hAnsi="Baskerville"/>
          <w:sz w:val="28"/>
          <w:szCs w:val="28"/>
          <w:u w:val="single"/>
        </w:rPr>
        <w:t>Environmental Law</w:t>
      </w:r>
      <w:r w:rsidR="003272A5" w:rsidRPr="00322286">
        <w:rPr>
          <w:rFonts w:ascii="Baskerville" w:hAnsi="Baskerville"/>
          <w:sz w:val="28"/>
          <w:szCs w:val="28"/>
          <w:u w:val="single"/>
        </w:rPr>
        <w:t>: Formative Essay</w:t>
      </w:r>
    </w:p>
    <w:p w14:paraId="0AEB755A" w14:textId="77777777" w:rsidR="00082A07" w:rsidRPr="00322286" w:rsidRDefault="00082A07" w:rsidP="003272A5">
      <w:pPr>
        <w:jc w:val="center"/>
        <w:rPr>
          <w:rFonts w:ascii="Baskerville" w:hAnsi="Baskerville"/>
          <w:sz w:val="28"/>
          <w:szCs w:val="28"/>
          <w:u w:val="single"/>
        </w:rPr>
      </w:pPr>
    </w:p>
    <w:p w14:paraId="72CAFAC1" w14:textId="29FF587D" w:rsidR="003272A5" w:rsidRDefault="00245592" w:rsidP="003272A5">
      <w:pPr>
        <w:jc w:val="center"/>
        <w:rPr>
          <w:rFonts w:ascii="Baskerville" w:hAnsi="Baskerville"/>
          <w:b/>
          <w:bCs/>
          <w:i/>
          <w:u w:val="single"/>
          <w:lang w:val="en-US"/>
        </w:rPr>
      </w:pPr>
      <w:r w:rsidRPr="00245592">
        <w:rPr>
          <w:rFonts w:ascii="Baskerville" w:hAnsi="Baskerville"/>
          <w:b/>
          <w:bCs/>
          <w:i/>
          <w:u w:val="single"/>
          <w:lang w:val="en-US"/>
        </w:rPr>
        <w:t xml:space="preserve">To what extent </w:t>
      </w:r>
      <w:r w:rsidR="00DC4AFC">
        <w:rPr>
          <w:rFonts w:ascii="Baskerville" w:hAnsi="Baskerville"/>
          <w:b/>
          <w:bCs/>
          <w:i/>
          <w:u w:val="single"/>
          <w:lang w:val="en-US"/>
        </w:rPr>
        <w:t xml:space="preserve">do </w:t>
      </w:r>
      <w:r w:rsidRPr="00245592">
        <w:rPr>
          <w:rFonts w:ascii="Baskerville" w:hAnsi="Baskerville"/>
          <w:b/>
          <w:bCs/>
          <w:i/>
          <w:u w:val="single"/>
          <w:lang w:val="en-US"/>
        </w:rPr>
        <w:t xml:space="preserve">environmental principles help courts </w:t>
      </w:r>
      <w:r w:rsidR="00DC4AFC">
        <w:rPr>
          <w:rFonts w:ascii="Baskerville" w:hAnsi="Baskerville"/>
          <w:b/>
          <w:bCs/>
          <w:i/>
          <w:u w:val="single"/>
          <w:lang w:val="en-US"/>
        </w:rPr>
        <w:t xml:space="preserve">to </w:t>
      </w:r>
      <w:r w:rsidRPr="00245592">
        <w:rPr>
          <w:rFonts w:ascii="Baskerville" w:hAnsi="Baskerville"/>
          <w:b/>
          <w:bCs/>
          <w:i/>
          <w:u w:val="single"/>
          <w:lang w:val="en-US"/>
        </w:rPr>
        <w:t>settle disputes?</w:t>
      </w:r>
    </w:p>
    <w:p w14:paraId="3260CABD" w14:textId="77777777" w:rsidR="00245592" w:rsidRDefault="00245592" w:rsidP="003272A5">
      <w:pPr>
        <w:jc w:val="center"/>
        <w:rPr>
          <w:rFonts w:ascii="Baskerville" w:hAnsi="Baskerville"/>
          <w:b/>
          <w:bCs/>
          <w:u w:val="single"/>
          <w:lang w:val="en-US"/>
        </w:rPr>
      </w:pPr>
    </w:p>
    <w:p w14:paraId="7002B95E" w14:textId="7A1E5774" w:rsidR="003272A5" w:rsidRDefault="00142410" w:rsidP="003272A5">
      <w:pPr>
        <w:rPr>
          <w:rFonts w:ascii="Baskerville" w:hAnsi="Baskerville"/>
          <w:b/>
          <w:bCs/>
          <w:u w:val="single"/>
          <w:lang w:val="en-US"/>
        </w:rPr>
      </w:pPr>
      <w:r>
        <w:rPr>
          <w:rFonts w:ascii="Baskerville" w:hAnsi="Baskerville"/>
          <w:b/>
          <w:bCs/>
          <w:u w:val="single"/>
          <w:lang w:val="en-US"/>
        </w:rPr>
        <w:t>Word Count</w:t>
      </w:r>
      <w:r w:rsidR="00A1557C">
        <w:rPr>
          <w:rFonts w:ascii="Baskerville" w:hAnsi="Baskerville"/>
          <w:b/>
          <w:bCs/>
          <w:u w:val="single"/>
          <w:lang w:val="en-US"/>
        </w:rPr>
        <w:t xml:space="preserve"> (excluding footnotes)</w:t>
      </w:r>
      <w:r>
        <w:rPr>
          <w:rFonts w:ascii="Baskerville" w:hAnsi="Baskerville"/>
          <w:b/>
          <w:bCs/>
          <w:u w:val="single"/>
          <w:lang w:val="en-US"/>
        </w:rPr>
        <w:t>: 1,5</w:t>
      </w:r>
      <w:r w:rsidR="0041338A">
        <w:rPr>
          <w:rFonts w:ascii="Baskerville" w:hAnsi="Baskerville"/>
          <w:b/>
          <w:bCs/>
          <w:u w:val="single"/>
          <w:lang w:val="en-US"/>
        </w:rPr>
        <w:t>22</w:t>
      </w:r>
      <w:r w:rsidR="003272A5">
        <w:rPr>
          <w:rFonts w:ascii="Baskerville" w:hAnsi="Baskerville"/>
          <w:b/>
          <w:bCs/>
          <w:u w:val="single"/>
          <w:lang w:val="en-US"/>
        </w:rPr>
        <w:t xml:space="preserve"> words</w:t>
      </w:r>
    </w:p>
    <w:p w14:paraId="4505E65E" w14:textId="77777777" w:rsidR="00D22990" w:rsidRDefault="00D22990" w:rsidP="00D22990">
      <w:pPr>
        <w:rPr>
          <w:rFonts w:ascii="Baskerville" w:hAnsi="Baskerville"/>
          <w:lang w:val="en-US"/>
        </w:rPr>
      </w:pPr>
    </w:p>
    <w:p w14:paraId="0F8C4C65" w14:textId="56FAC4CA" w:rsidR="005802FA" w:rsidRPr="009151F4" w:rsidRDefault="002B3337" w:rsidP="00D22990">
      <w:pPr>
        <w:rPr>
          <w:rFonts w:ascii="Baskerville" w:hAnsi="Baskerville"/>
          <w:b/>
          <w:u w:val="single"/>
          <w:lang w:val="en-US"/>
        </w:rPr>
      </w:pPr>
      <w:bookmarkStart w:id="0" w:name="OLE_LINK1"/>
      <w:bookmarkStart w:id="1" w:name="OLE_LINK2"/>
      <w:r w:rsidRPr="009151F4">
        <w:rPr>
          <w:rFonts w:ascii="Baskerville" w:hAnsi="Baskerville"/>
          <w:b/>
          <w:u w:val="single"/>
          <w:lang w:val="en-US"/>
        </w:rPr>
        <w:t>Introduction</w:t>
      </w:r>
    </w:p>
    <w:p w14:paraId="622397EA" w14:textId="3F38B9A9" w:rsidR="00D22990" w:rsidRPr="00B02398" w:rsidRDefault="00EC30DE" w:rsidP="00D22990">
      <w:pPr>
        <w:rPr>
          <w:rFonts w:ascii="Baskerville" w:hAnsi="Baskerville"/>
        </w:rPr>
      </w:pPr>
      <w:r w:rsidRPr="00B02398">
        <w:rPr>
          <w:rFonts w:ascii="Baskerville" w:hAnsi="Baskerville"/>
          <w:lang w:val="en-US"/>
        </w:rPr>
        <w:t>Environmental principles exist in international declarations (such as the Rio Declaration)</w:t>
      </w:r>
      <w:r w:rsidR="008F3BE7" w:rsidRPr="00B02398">
        <w:rPr>
          <w:rFonts w:ascii="Baskerville" w:hAnsi="Baskerville"/>
          <w:lang w:val="en-US"/>
        </w:rPr>
        <w:t>;</w:t>
      </w:r>
      <w:r w:rsidRPr="00B02398">
        <w:rPr>
          <w:rFonts w:ascii="Baskerville" w:hAnsi="Baskerville"/>
          <w:lang w:val="en-US"/>
        </w:rPr>
        <w:t xml:space="preserve"> policy documents, treaties</w:t>
      </w:r>
      <w:r w:rsidR="008F3BE7" w:rsidRPr="00B02398">
        <w:rPr>
          <w:rFonts w:ascii="Baskerville" w:hAnsi="Baskerville"/>
          <w:lang w:val="en-US"/>
        </w:rPr>
        <w:t>,</w:t>
      </w:r>
      <w:r w:rsidRPr="00B02398">
        <w:rPr>
          <w:rFonts w:ascii="Baskerville" w:hAnsi="Baskerville"/>
          <w:lang w:val="en-US"/>
        </w:rPr>
        <w:t xml:space="preserve"> directives and</w:t>
      </w:r>
      <w:r w:rsidR="008F3BE7" w:rsidRPr="00B02398">
        <w:rPr>
          <w:rFonts w:ascii="Baskerville" w:hAnsi="Baskerville"/>
          <w:lang w:val="en-US"/>
        </w:rPr>
        <w:t>, most importantly for the purposes of this essay,</w:t>
      </w:r>
      <w:r w:rsidRPr="00B02398">
        <w:rPr>
          <w:rFonts w:ascii="Baskerville" w:hAnsi="Baskerville"/>
          <w:lang w:val="en-US"/>
        </w:rPr>
        <w:t xml:space="preserve"> the jurisprudence of the courts. </w:t>
      </w:r>
      <w:r w:rsidR="008F3BE7" w:rsidRPr="00B02398">
        <w:rPr>
          <w:rFonts w:ascii="Baskerville" w:hAnsi="Baskerville"/>
          <w:lang w:val="en-US"/>
        </w:rPr>
        <w:t xml:space="preserve">However, </w:t>
      </w:r>
      <w:r w:rsidR="00CC3372" w:rsidRPr="00B02398">
        <w:rPr>
          <w:rFonts w:ascii="Baskerville" w:hAnsi="Baskerville"/>
          <w:lang w:val="en-US"/>
        </w:rPr>
        <w:t xml:space="preserve">owing to the vague and multiple definitions of these principles, </w:t>
      </w:r>
      <w:r w:rsidR="008F3BE7" w:rsidRPr="00B02398">
        <w:rPr>
          <w:rFonts w:ascii="Baskerville" w:hAnsi="Baskerville"/>
          <w:lang w:val="en-US"/>
        </w:rPr>
        <w:t>t</w:t>
      </w:r>
      <w:r w:rsidR="00D22990" w:rsidRPr="00B02398">
        <w:rPr>
          <w:rFonts w:ascii="Baskerville" w:hAnsi="Baskerville"/>
          <w:lang w:val="en-US"/>
        </w:rPr>
        <w:t>here continues to be ‘considerable debate as to what, within the field of environmental law, constitutes “rules” or “principles”; what is “soft law”</w:t>
      </w:r>
      <w:r w:rsidR="00BC71C4" w:rsidRPr="00B02398">
        <w:rPr>
          <w:rFonts w:ascii="Baskerville" w:hAnsi="Baskerville"/>
          <w:lang w:val="en-US"/>
        </w:rPr>
        <w:t>;’</w:t>
      </w:r>
      <w:r w:rsidR="00BC71C4" w:rsidRPr="00B02398">
        <w:rPr>
          <w:rStyle w:val="FootnoteReference"/>
          <w:rFonts w:ascii="Baskerville" w:hAnsi="Baskerville"/>
          <w:lang w:val="en-US"/>
        </w:rPr>
        <w:footnoteReference w:id="1"/>
      </w:r>
      <w:r w:rsidR="00BC71C4" w:rsidRPr="00B02398">
        <w:rPr>
          <w:rFonts w:ascii="Baskerville" w:hAnsi="Baskerville"/>
          <w:lang w:val="en-US"/>
        </w:rPr>
        <w:t xml:space="preserve"> </w:t>
      </w:r>
      <w:r w:rsidR="00D22990" w:rsidRPr="00B02398">
        <w:rPr>
          <w:rFonts w:ascii="Baskerville" w:hAnsi="Baskerville"/>
          <w:lang w:val="en-US"/>
        </w:rPr>
        <w:t>and which environmental treaty law</w:t>
      </w:r>
      <w:r w:rsidR="00BC71C4" w:rsidRPr="00B02398">
        <w:rPr>
          <w:rFonts w:ascii="Baskerville" w:hAnsi="Baskerville"/>
          <w:lang w:val="en-US"/>
        </w:rPr>
        <w:t>s</w:t>
      </w:r>
      <w:r w:rsidR="00D22990" w:rsidRPr="00B02398">
        <w:rPr>
          <w:rFonts w:ascii="Baskerville" w:hAnsi="Baskerville"/>
          <w:lang w:val="en-US"/>
        </w:rPr>
        <w:t xml:space="preserve"> or principles have </w:t>
      </w:r>
      <w:r w:rsidR="00BC71C4" w:rsidRPr="00B02398">
        <w:rPr>
          <w:rFonts w:ascii="Baskerville" w:hAnsi="Baskerville"/>
          <w:lang w:val="en-US"/>
        </w:rPr>
        <w:t>developed customary international law</w:t>
      </w:r>
      <w:r w:rsidR="00D22990" w:rsidRPr="00B02398">
        <w:rPr>
          <w:rFonts w:ascii="Baskerville" w:hAnsi="Baskerville"/>
          <w:lang w:val="en-US"/>
        </w:rPr>
        <w:t>.</w:t>
      </w:r>
      <w:r w:rsidR="00CC3372" w:rsidRPr="00B02398">
        <w:rPr>
          <w:rFonts w:ascii="Baskerville" w:hAnsi="Baskerville"/>
          <w:lang w:val="en-US"/>
        </w:rPr>
        <w:t xml:space="preserve"> </w:t>
      </w:r>
      <w:r w:rsidR="009A42F3" w:rsidRPr="00B02398">
        <w:rPr>
          <w:rFonts w:ascii="Baskerville" w:hAnsi="Baskerville"/>
          <w:lang w:val="en-US"/>
        </w:rPr>
        <w:t>The extent to which these environmental principles help courts to settle disputes is an ongoing discussion</w:t>
      </w:r>
      <w:r w:rsidR="00AC5738" w:rsidRPr="00B02398">
        <w:rPr>
          <w:rFonts w:ascii="Baskerville" w:hAnsi="Baskerville"/>
          <w:lang w:val="en-US"/>
        </w:rPr>
        <w:t xml:space="preserve"> that we </w:t>
      </w:r>
      <w:r w:rsidR="0045028C" w:rsidRPr="00B02398">
        <w:rPr>
          <w:rFonts w:ascii="Baskerville" w:hAnsi="Baskerville"/>
          <w:lang w:val="en-US"/>
        </w:rPr>
        <w:t>shall</w:t>
      </w:r>
      <w:r w:rsidR="00AC5738" w:rsidRPr="00B02398">
        <w:rPr>
          <w:rFonts w:ascii="Baskerville" w:hAnsi="Baskerville"/>
          <w:lang w:val="en-US"/>
        </w:rPr>
        <w:t xml:space="preserve"> examine here</w:t>
      </w:r>
      <w:r w:rsidR="0045028C" w:rsidRPr="00B02398">
        <w:rPr>
          <w:rFonts w:ascii="Baskerville" w:hAnsi="Baskerville"/>
          <w:lang w:val="en-US"/>
        </w:rPr>
        <w:t>.</w:t>
      </w:r>
    </w:p>
    <w:p w14:paraId="2F0F283B" w14:textId="77777777" w:rsidR="001A540D" w:rsidRDefault="001A540D" w:rsidP="00D22990">
      <w:pPr>
        <w:rPr>
          <w:rFonts w:ascii="Baskerville" w:hAnsi="Baskerville"/>
          <w:lang w:val="en-US"/>
        </w:rPr>
      </w:pPr>
    </w:p>
    <w:p w14:paraId="066DB576" w14:textId="77777777" w:rsidR="00FA5C07" w:rsidRPr="009151F4" w:rsidRDefault="00FA5C07" w:rsidP="00FA5C07">
      <w:pPr>
        <w:rPr>
          <w:rFonts w:ascii="Baskerville" w:hAnsi="Baskerville"/>
          <w:b/>
          <w:u w:val="single"/>
        </w:rPr>
      </w:pPr>
      <w:r w:rsidRPr="009151F4">
        <w:rPr>
          <w:rFonts w:ascii="Baskerville" w:hAnsi="Baskerville"/>
          <w:b/>
          <w:u w:val="single"/>
        </w:rPr>
        <w:t>Polluter Pays Principle</w:t>
      </w:r>
    </w:p>
    <w:p w14:paraId="6BA19D52" w14:textId="29BA26AC" w:rsidR="006D2415" w:rsidRPr="00B02398" w:rsidRDefault="0001377D" w:rsidP="00921744">
      <w:pPr>
        <w:rPr>
          <w:rFonts w:ascii="Baskerville" w:hAnsi="Baskerville"/>
          <w:lang w:val="en-US"/>
        </w:rPr>
      </w:pPr>
      <w:r w:rsidRPr="002D68AE">
        <w:rPr>
          <w:rFonts w:ascii="Baskerville" w:hAnsi="Baskerville"/>
        </w:rPr>
        <w:t xml:space="preserve">The </w:t>
      </w:r>
      <w:r w:rsidR="009334E8" w:rsidRPr="002D68AE">
        <w:rPr>
          <w:rFonts w:ascii="Baskerville" w:hAnsi="Baskerville"/>
        </w:rPr>
        <w:t>polluter pays</w:t>
      </w:r>
      <w:r w:rsidRPr="002D68AE">
        <w:rPr>
          <w:rFonts w:ascii="Baskerville" w:hAnsi="Baskerville"/>
        </w:rPr>
        <w:t xml:space="preserve"> principle was formulated under principle 16 of the Rio Declaration</w:t>
      </w:r>
      <w:r w:rsidR="001626B1" w:rsidRPr="002D68AE">
        <w:rPr>
          <w:rFonts w:ascii="Baskerville" w:hAnsi="Baskerville"/>
        </w:rPr>
        <w:t>.</w:t>
      </w:r>
      <w:r w:rsidRPr="002D68AE">
        <w:rPr>
          <w:rStyle w:val="FootnoteReference"/>
          <w:rFonts w:ascii="Baskerville" w:hAnsi="Baskerville"/>
        </w:rPr>
        <w:footnoteReference w:id="2"/>
      </w:r>
      <w:r w:rsidR="001E00BB">
        <w:rPr>
          <w:rFonts w:ascii="Baskerville" w:hAnsi="Baskerville"/>
          <w:color w:val="FF0000"/>
        </w:rPr>
        <w:t xml:space="preserve"> </w:t>
      </w:r>
      <w:r w:rsidR="00C35947" w:rsidRPr="00B02398">
        <w:rPr>
          <w:rFonts w:ascii="Baskerville" w:hAnsi="Baskerville"/>
          <w:lang w:val="en-US"/>
        </w:rPr>
        <w:t xml:space="preserve">The Environmental Damage </w:t>
      </w:r>
      <w:r w:rsidR="00E42B8C" w:rsidRPr="00B02398">
        <w:rPr>
          <w:rFonts w:ascii="Baskerville" w:hAnsi="Baskerville"/>
          <w:lang w:val="en-US"/>
        </w:rPr>
        <w:t>(Prevention and Remediation) Regulations 2009</w:t>
      </w:r>
      <w:r w:rsidR="00C35947" w:rsidRPr="00B02398">
        <w:rPr>
          <w:rFonts w:ascii="Baskerville" w:hAnsi="Baskerville"/>
          <w:lang w:val="en-US"/>
        </w:rPr>
        <w:t xml:space="preserve"> are </w:t>
      </w:r>
      <w:r w:rsidR="001E00BB">
        <w:rPr>
          <w:rFonts w:ascii="Baskerville" w:hAnsi="Baskerville"/>
          <w:lang w:val="en-US"/>
        </w:rPr>
        <w:t xml:space="preserve">also </w:t>
      </w:r>
      <w:r w:rsidR="00C35947" w:rsidRPr="00B02398">
        <w:rPr>
          <w:rFonts w:ascii="Baskerville" w:hAnsi="Baskerville"/>
          <w:lang w:val="en-US"/>
        </w:rPr>
        <w:t xml:space="preserve">based on the polluter pays principle, </w:t>
      </w:r>
      <w:r w:rsidR="002E62BE" w:rsidRPr="00B02398">
        <w:rPr>
          <w:rFonts w:ascii="Baskerville" w:hAnsi="Baskerville"/>
          <w:lang w:val="en-US"/>
        </w:rPr>
        <w:t>which states that</w:t>
      </w:r>
      <w:r w:rsidR="00C35947" w:rsidRPr="00B02398">
        <w:rPr>
          <w:rFonts w:ascii="Baskerville" w:hAnsi="Baskerville"/>
          <w:lang w:val="en-US"/>
        </w:rPr>
        <w:t xml:space="preserve"> those individuals who are </w:t>
      </w:r>
      <w:r w:rsidR="007055E4" w:rsidRPr="00B02398">
        <w:rPr>
          <w:rFonts w:ascii="Baskerville" w:hAnsi="Baskerville"/>
          <w:lang w:val="en-US"/>
        </w:rPr>
        <w:t>liable</w:t>
      </w:r>
      <w:r w:rsidR="00C35947" w:rsidRPr="00B02398">
        <w:rPr>
          <w:rFonts w:ascii="Baskerville" w:hAnsi="Baskerville"/>
          <w:lang w:val="en-US"/>
        </w:rPr>
        <w:t xml:space="preserve"> for an</w:t>
      </w:r>
      <w:r w:rsidR="00434771" w:rsidRPr="00B02398">
        <w:rPr>
          <w:rFonts w:ascii="Baskerville" w:hAnsi="Baskerville"/>
          <w:lang w:val="en-US"/>
        </w:rPr>
        <w:t>y</w:t>
      </w:r>
      <w:r w:rsidR="00C35947" w:rsidRPr="00B02398">
        <w:rPr>
          <w:rFonts w:ascii="Baskerville" w:hAnsi="Baskerville"/>
          <w:lang w:val="en-US"/>
        </w:rPr>
        <w:t xml:space="preserve"> environmental damage are required to prevent and</w:t>
      </w:r>
      <w:r w:rsidR="00434771" w:rsidRPr="00B02398">
        <w:rPr>
          <w:rFonts w:ascii="Baskerville" w:hAnsi="Baskerville"/>
          <w:lang w:val="en-US"/>
        </w:rPr>
        <w:t>,</w:t>
      </w:r>
      <w:r w:rsidR="00C35947" w:rsidRPr="00B02398">
        <w:rPr>
          <w:rFonts w:ascii="Baskerville" w:hAnsi="Baskerville"/>
          <w:lang w:val="en-US"/>
        </w:rPr>
        <w:t xml:space="preserve"> if need be</w:t>
      </w:r>
      <w:r w:rsidR="00434771" w:rsidRPr="00B02398">
        <w:rPr>
          <w:rFonts w:ascii="Baskerville" w:hAnsi="Baskerville"/>
          <w:lang w:val="en-US"/>
        </w:rPr>
        <w:t>,</w:t>
      </w:r>
      <w:r w:rsidR="00C35947" w:rsidRPr="00B02398">
        <w:rPr>
          <w:rFonts w:ascii="Baskerville" w:hAnsi="Baskerville"/>
          <w:lang w:val="en-US"/>
        </w:rPr>
        <w:t xml:space="preserve"> remedy </w:t>
      </w:r>
      <w:r w:rsidR="00434771" w:rsidRPr="00B02398">
        <w:rPr>
          <w:rFonts w:ascii="Baskerville" w:hAnsi="Baskerville"/>
          <w:lang w:val="en-US"/>
        </w:rPr>
        <w:t xml:space="preserve">the </w:t>
      </w:r>
      <w:r w:rsidR="00C35947" w:rsidRPr="00B02398">
        <w:rPr>
          <w:rFonts w:ascii="Baskerville" w:hAnsi="Baskerville"/>
          <w:lang w:val="en-US"/>
        </w:rPr>
        <w:t xml:space="preserve">damage. </w:t>
      </w:r>
      <w:r w:rsidR="00FA5C07" w:rsidRPr="00B02398">
        <w:rPr>
          <w:rFonts w:ascii="Baskerville" w:hAnsi="Baskerville"/>
          <w:lang w:val="en-US"/>
        </w:rPr>
        <w:t xml:space="preserve">The enshrinement of the </w:t>
      </w:r>
      <w:r w:rsidR="002E62BE" w:rsidRPr="00B02398">
        <w:rPr>
          <w:rFonts w:ascii="Baskerville" w:hAnsi="Baskerville"/>
          <w:lang w:val="en-US"/>
        </w:rPr>
        <w:t>p</w:t>
      </w:r>
      <w:r w:rsidR="00FA5C07" w:rsidRPr="00B02398">
        <w:rPr>
          <w:rFonts w:ascii="Baskerville" w:hAnsi="Baskerville"/>
          <w:lang w:val="en-US"/>
        </w:rPr>
        <w:t xml:space="preserve">olluter </w:t>
      </w:r>
      <w:r w:rsidR="002E62BE" w:rsidRPr="00B02398">
        <w:rPr>
          <w:rFonts w:ascii="Baskerville" w:hAnsi="Baskerville"/>
          <w:lang w:val="en-US"/>
        </w:rPr>
        <w:t>p</w:t>
      </w:r>
      <w:r w:rsidR="00FA5C07" w:rsidRPr="00B02398">
        <w:rPr>
          <w:rFonts w:ascii="Baskerville" w:hAnsi="Baskerville"/>
          <w:lang w:val="en-US"/>
        </w:rPr>
        <w:t xml:space="preserve">ays </w:t>
      </w:r>
      <w:r w:rsidR="002E62BE" w:rsidRPr="00B02398">
        <w:rPr>
          <w:rFonts w:ascii="Baskerville" w:hAnsi="Baskerville"/>
          <w:lang w:val="en-US"/>
        </w:rPr>
        <w:t>p</w:t>
      </w:r>
      <w:r w:rsidR="00FA5C07" w:rsidRPr="00B02398">
        <w:rPr>
          <w:rFonts w:ascii="Baskerville" w:hAnsi="Baskerville"/>
          <w:lang w:val="en-US"/>
        </w:rPr>
        <w:t xml:space="preserve">rinciple in </w:t>
      </w:r>
      <w:r w:rsidR="00C35947" w:rsidRPr="00B02398">
        <w:rPr>
          <w:rFonts w:ascii="Baskerville" w:hAnsi="Baskerville"/>
          <w:lang w:val="en-US"/>
        </w:rPr>
        <w:t xml:space="preserve">Article 191(2) of </w:t>
      </w:r>
      <w:r w:rsidR="00FA5C07" w:rsidRPr="00B02398">
        <w:rPr>
          <w:rFonts w:ascii="Baskerville" w:hAnsi="Baskerville"/>
          <w:lang w:val="en-US"/>
        </w:rPr>
        <w:t>the T</w:t>
      </w:r>
      <w:r w:rsidR="00A45952">
        <w:rPr>
          <w:rFonts w:ascii="Baskerville" w:hAnsi="Baskerville"/>
          <w:lang w:val="en-US"/>
        </w:rPr>
        <w:t xml:space="preserve">reaty on the </w:t>
      </w:r>
      <w:r w:rsidR="00FA5C07" w:rsidRPr="00B02398">
        <w:rPr>
          <w:rFonts w:ascii="Baskerville" w:hAnsi="Baskerville"/>
          <w:lang w:val="en-US"/>
        </w:rPr>
        <w:t>F</w:t>
      </w:r>
      <w:r w:rsidR="00A45952">
        <w:rPr>
          <w:rFonts w:ascii="Baskerville" w:hAnsi="Baskerville"/>
          <w:lang w:val="en-US"/>
        </w:rPr>
        <w:t xml:space="preserve">unctioning of the </w:t>
      </w:r>
      <w:r w:rsidR="00FA5C07" w:rsidRPr="00B02398">
        <w:rPr>
          <w:rFonts w:ascii="Baskerville" w:hAnsi="Baskerville"/>
          <w:lang w:val="en-US"/>
        </w:rPr>
        <w:t>E</w:t>
      </w:r>
      <w:r w:rsidR="00A45952">
        <w:rPr>
          <w:rFonts w:ascii="Baskerville" w:hAnsi="Baskerville"/>
          <w:lang w:val="en-US"/>
        </w:rPr>
        <w:t xml:space="preserve">uropean </w:t>
      </w:r>
      <w:r w:rsidR="00FA5C07" w:rsidRPr="00B02398">
        <w:rPr>
          <w:rFonts w:ascii="Baskerville" w:hAnsi="Baskerville"/>
          <w:lang w:val="en-US"/>
        </w:rPr>
        <w:t>U</w:t>
      </w:r>
      <w:r w:rsidR="00A45952">
        <w:rPr>
          <w:rFonts w:ascii="Baskerville" w:hAnsi="Baskerville"/>
          <w:lang w:val="en-US"/>
        </w:rPr>
        <w:t>nion (TFEU)</w:t>
      </w:r>
      <w:r w:rsidR="00FA5C07" w:rsidRPr="00B02398">
        <w:rPr>
          <w:rFonts w:ascii="Baskerville" w:hAnsi="Baskerville"/>
          <w:lang w:val="en-US"/>
        </w:rPr>
        <w:t xml:space="preserve"> makes it binding on EU legislature when implementing EU law, though it’s judicial review is limited. The Polluter Pays Principle is also reflected in directives (e.g. Environmental Liability Directive 2004/35/EC)</w:t>
      </w:r>
      <w:r w:rsidR="00BA57EE">
        <w:rPr>
          <w:rFonts w:ascii="Baskerville" w:hAnsi="Baskerville"/>
          <w:lang w:val="en-US"/>
        </w:rPr>
        <w:t>,</w:t>
      </w:r>
      <w:r w:rsidR="00FA5C07" w:rsidRPr="00B02398">
        <w:rPr>
          <w:rFonts w:ascii="Baskerville" w:hAnsi="Baskerville"/>
          <w:lang w:val="en-US"/>
        </w:rPr>
        <w:t xml:space="preserve"> setting up a scheme whereby operators have to prevent or pay to remedy particular environmental damage. </w:t>
      </w:r>
      <w:r w:rsidR="00407AAA" w:rsidRPr="00407AAA">
        <w:rPr>
          <w:rFonts w:ascii="Baskerville" w:hAnsi="Baskerville"/>
          <w:lang w:val="en-US"/>
        </w:rPr>
        <w:t>It is a</w:t>
      </w:r>
      <w:r w:rsidR="00407AAA">
        <w:rPr>
          <w:rFonts w:ascii="Baskerville" w:hAnsi="Baskerville"/>
          <w:lang w:val="en-US"/>
        </w:rPr>
        <w:t>lso regarded as a</w:t>
      </w:r>
      <w:r w:rsidR="00407AAA" w:rsidRPr="00407AAA">
        <w:rPr>
          <w:rFonts w:ascii="Baskerville" w:hAnsi="Baskerville"/>
          <w:lang w:val="en-US"/>
        </w:rPr>
        <w:t xml:space="preserve"> fundamental principle in US environmental law.</w:t>
      </w:r>
    </w:p>
    <w:p w14:paraId="2A3C49A4" w14:textId="77777777" w:rsidR="006D2415" w:rsidRDefault="006D2415" w:rsidP="00FA5C07">
      <w:pPr>
        <w:rPr>
          <w:rFonts w:ascii="Baskerville" w:hAnsi="Baskerville"/>
          <w:lang w:val="en-US"/>
        </w:rPr>
      </w:pPr>
    </w:p>
    <w:p w14:paraId="0EC0669B" w14:textId="31418264" w:rsidR="00717836" w:rsidRDefault="00E80DAE" w:rsidP="00A643E9">
      <w:pPr>
        <w:rPr>
          <w:rFonts w:ascii="Baskerville" w:hAnsi="Baskerville"/>
        </w:rPr>
      </w:pPr>
      <w:r>
        <w:rPr>
          <w:rFonts w:ascii="Baskerville" w:hAnsi="Baskerville"/>
        </w:rPr>
        <w:t xml:space="preserve">The principle indicates that the obligation to take remedial measures is imposed on operators only because of their contribution to the creation or risk of pollution, so long as there is sufficient evidence that a causal link is presumed. </w:t>
      </w:r>
      <w:r w:rsidR="00FA5C07">
        <w:rPr>
          <w:rFonts w:ascii="Baskerville" w:hAnsi="Baskerville"/>
          <w:lang w:val="en-US"/>
        </w:rPr>
        <w:t xml:space="preserve">The reinforcement of this principle has proved to be helpful in disputes </w:t>
      </w:r>
      <w:r w:rsidR="006D2415">
        <w:rPr>
          <w:rFonts w:ascii="Baskerville" w:hAnsi="Baskerville"/>
          <w:lang w:val="en-US"/>
        </w:rPr>
        <w:t>settled by the Court of Justice of the European Union (CJEU)</w:t>
      </w:r>
      <w:r w:rsidR="00893CD4">
        <w:rPr>
          <w:rFonts w:ascii="Baskerville" w:hAnsi="Baskerville"/>
          <w:lang w:val="en-US"/>
        </w:rPr>
        <w:t xml:space="preserve"> and the European Court of Justice (ECJ)</w:t>
      </w:r>
      <w:r w:rsidR="006D2415">
        <w:rPr>
          <w:rFonts w:ascii="Baskerville" w:hAnsi="Baskerville"/>
          <w:lang w:val="en-US"/>
        </w:rPr>
        <w:t>.</w:t>
      </w:r>
      <w:r w:rsidR="00893CD4">
        <w:rPr>
          <w:rStyle w:val="FootnoteReference"/>
          <w:rFonts w:ascii="Baskerville" w:hAnsi="Baskerville"/>
          <w:lang w:val="en-US"/>
        </w:rPr>
        <w:footnoteReference w:id="3"/>
      </w:r>
      <w:r w:rsidR="001E296B">
        <w:rPr>
          <w:rFonts w:ascii="Baskerville" w:hAnsi="Baskerville"/>
          <w:lang w:val="en-US"/>
        </w:rPr>
        <w:t xml:space="preserve"> </w:t>
      </w:r>
      <w:r w:rsidR="00FC376A">
        <w:rPr>
          <w:rFonts w:ascii="Baskerville" w:hAnsi="Baskerville"/>
          <w:lang w:val="en-US"/>
        </w:rPr>
        <w:t>In this capacity, t</w:t>
      </w:r>
      <w:r w:rsidR="0068793B">
        <w:rPr>
          <w:rFonts w:ascii="Baskerville" w:hAnsi="Baskerville"/>
          <w:lang w:val="en-US"/>
        </w:rPr>
        <w:t>he</w:t>
      </w:r>
      <w:r w:rsidR="002A49C8">
        <w:rPr>
          <w:rFonts w:ascii="Baskerville" w:hAnsi="Baskerville"/>
          <w:lang w:val="en-US"/>
        </w:rPr>
        <w:t xml:space="preserve"> </w:t>
      </w:r>
      <w:r w:rsidR="002E62BE">
        <w:rPr>
          <w:rFonts w:ascii="Baskerville" w:hAnsi="Baskerville"/>
        </w:rPr>
        <w:t>p</w:t>
      </w:r>
      <w:r w:rsidR="002A49C8">
        <w:rPr>
          <w:rFonts w:ascii="Baskerville" w:hAnsi="Baskerville"/>
        </w:rPr>
        <w:t xml:space="preserve">olluter </w:t>
      </w:r>
      <w:r w:rsidR="002E62BE">
        <w:rPr>
          <w:rFonts w:ascii="Baskerville" w:hAnsi="Baskerville"/>
        </w:rPr>
        <w:t>p</w:t>
      </w:r>
      <w:r w:rsidR="002A49C8">
        <w:rPr>
          <w:rFonts w:ascii="Baskerville" w:hAnsi="Baskerville"/>
        </w:rPr>
        <w:t xml:space="preserve">ays </w:t>
      </w:r>
      <w:r w:rsidR="002E62BE">
        <w:rPr>
          <w:rFonts w:ascii="Baskerville" w:hAnsi="Baskerville"/>
        </w:rPr>
        <w:t>p</w:t>
      </w:r>
      <w:r w:rsidR="002A49C8">
        <w:rPr>
          <w:rFonts w:ascii="Baskerville" w:hAnsi="Baskerville"/>
        </w:rPr>
        <w:t>rinciple</w:t>
      </w:r>
      <w:r w:rsidR="002A49C8" w:rsidRPr="002A49C8">
        <w:rPr>
          <w:rFonts w:ascii="Baskerville" w:hAnsi="Baskerville"/>
        </w:rPr>
        <w:t xml:space="preserve"> should not place </w:t>
      </w:r>
      <w:r w:rsidR="002A49C8">
        <w:rPr>
          <w:rFonts w:ascii="Baskerville" w:hAnsi="Baskerville"/>
        </w:rPr>
        <w:t>insurmountable</w:t>
      </w:r>
      <w:r w:rsidR="002A49C8" w:rsidRPr="002A49C8">
        <w:rPr>
          <w:rFonts w:ascii="Baskerville" w:hAnsi="Baskerville"/>
        </w:rPr>
        <w:t xml:space="preserve"> hurdles in the way of regulation and a key </w:t>
      </w:r>
      <w:r w:rsidR="002A49C8">
        <w:rPr>
          <w:rFonts w:ascii="Baskerville" w:hAnsi="Baskerville"/>
        </w:rPr>
        <w:t>consideration</w:t>
      </w:r>
      <w:r w:rsidR="002A49C8" w:rsidRPr="002A49C8">
        <w:rPr>
          <w:rFonts w:ascii="Baskerville" w:hAnsi="Baskerville"/>
        </w:rPr>
        <w:t xml:space="preserve"> is whether the costs are </w:t>
      </w:r>
      <w:r w:rsidR="002A49C8" w:rsidRPr="00A22EE5">
        <w:rPr>
          <w:rFonts w:ascii="Baskerville" w:hAnsi="Baskerville"/>
        </w:rPr>
        <w:t xml:space="preserve">‘manifestly disproportionate’ to the </w:t>
      </w:r>
      <w:r w:rsidR="001E00BB" w:rsidRPr="00A22EE5">
        <w:rPr>
          <w:rFonts w:ascii="Baskerville" w:hAnsi="Baskerville"/>
        </w:rPr>
        <w:t>quantity</w:t>
      </w:r>
      <w:r w:rsidR="002A49C8" w:rsidRPr="00A22EE5">
        <w:rPr>
          <w:rFonts w:ascii="Baskerville" w:hAnsi="Baskerville"/>
        </w:rPr>
        <w:t xml:space="preserve"> or nature of waste produced.</w:t>
      </w:r>
      <w:r w:rsidR="00154AD6">
        <w:rPr>
          <w:rStyle w:val="FootnoteReference"/>
          <w:rFonts w:ascii="Baskerville" w:hAnsi="Baskerville"/>
        </w:rPr>
        <w:footnoteReference w:id="4"/>
      </w:r>
      <w:r w:rsidR="002A49C8" w:rsidRPr="002A49C8">
        <w:rPr>
          <w:rFonts w:ascii="Baskerville" w:hAnsi="Baskerville"/>
        </w:rPr>
        <w:t xml:space="preserve"> A</w:t>
      </w:r>
      <w:r w:rsidR="002A49C8">
        <w:rPr>
          <w:rFonts w:ascii="Baskerville" w:hAnsi="Baskerville"/>
        </w:rPr>
        <w:t xml:space="preserve">dvocate </w:t>
      </w:r>
      <w:r w:rsidR="002A49C8" w:rsidRPr="002A49C8">
        <w:rPr>
          <w:rFonts w:ascii="Baskerville" w:hAnsi="Baskerville"/>
        </w:rPr>
        <w:t>G</w:t>
      </w:r>
      <w:r w:rsidR="002A49C8">
        <w:rPr>
          <w:rFonts w:ascii="Baskerville" w:hAnsi="Baskerville"/>
        </w:rPr>
        <w:t>eneral</w:t>
      </w:r>
      <w:r w:rsidR="002A49C8" w:rsidRPr="002A49C8">
        <w:rPr>
          <w:rFonts w:ascii="Baskerville" w:hAnsi="Baskerville"/>
        </w:rPr>
        <w:t xml:space="preserve"> </w:t>
      </w:r>
      <w:r w:rsidR="00BB6B8A" w:rsidRPr="00BB6B8A">
        <w:rPr>
          <w:rFonts w:ascii="Baskerville" w:hAnsi="Baskerville"/>
          <w:lang w:val="en-US"/>
        </w:rPr>
        <w:lastRenderedPageBreak/>
        <w:t>Kokott</w:t>
      </w:r>
      <w:r w:rsidR="00395405">
        <w:rPr>
          <w:rFonts w:ascii="Baskerville" w:hAnsi="Baskerville"/>
        </w:rPr>
        <w:t xml:space="preserve"> has suggested </w:t>
      </w:r>
      <w:r w:rsidR="002A49C8" w:rsidRPr="002A49C8">
        <w:rPr>
          <w:rFonts w:ascii="Baskerville" w:hAnsi="Baskerville"/>
        </w:rPr>
        <w:t>that ‘revenue-earning capacity cannot as a social factor justify higher contributions’.</w:t>
      </w:r>
      <w:r w:rsidR="00154AD6">
        <w:rPr>
          <w:rStyle w:val="FootnoteReference"/>
          <w:rFonts w:ascii="Baskerville" w:hAnsi="Baskerville"/>
        </w:rPr>
        <w:footnoteReference w:id="5"/>
      </w:r>
      <w:r w:rsidR="002A49C8" w:rsidRPr="002A49C8">
        <w:rPr>
          <w:rFonts w:ascii="Baskerville" w:hAnsi="Baskerville"/>
        </w:rPr>
        <w:t xml:space="preserve"> </w:t>
      </w:r>
    </w:p>
    <w:p w14:paraId="45834884" w14:textId="77777777" w:rsidR="00407AAA" w:rsidRDefault="00407AAA" w:rsidP="00A643E9">
      <w:pPr>
        <w:rPr>
          <w:rFonts w:ascii="Baskerville" w:hAnsi="Baskerville"/>
        </w:rPr>
      </w:pPr>
    </w:p>
    <w:p w14:paraId="0FC5F9FE" w14:textId="2C8398C0" w:rsidR="00A643E9" w:rsidRDefault="009B4C1C" w:rsidP="00A643E9">
      <w:pPr>
        <w:rPr>
          <w:rFonts w:ascii="Baskerville" w:hAnsi="Baskerville"/>
          <w:color w:val="FF0000"/>
        </w:rPr>
      </w:pPr>
      <w:r w:rsidRPr="00D140F8">
        <w:rPr>
          <w:rFonts w:ascii="Baskerville" w:hAnsi="Baskerville"/>
        </w:rPr>
        <w:t>In order to decide who is the polluter and who should be paid</w:t>
      </w:r>
      <w:r w:rsidR="00D140F8" w:rsidRPr="00D140F8">
        <w:rPr>
          <w:rFonts w:ascii="Baskerville" w:hAnsi="Baskerville"/>
        </w:rPr>
        <w:t>,</w:t>
      </w:r>
      <w:r w:rsidRPr="00D140F8">
        <w:rPr>
          <w:rFonts w:ascii="Baskerville" w:hAnsi="Baskerville"/>
        </w:rPr>
        <w:t xml:space="preserve"> one must first </w:t>
      </w:r>
      <w:r w:rsidR="00D140F8" w:rsidRPr="00D140F8">
        <w:rPr>
          <w:rFonts w:ascii="Baskerville" w:hAnsi="Baskerville"/>
        </w:rPr>
        <w:t>establish</w:t>
      </w:r>
      <w:r w:rsidRPr="00D140F8">
        <w:rPr>
          <w:rFonts w:ascii="Baskerville" w:hAnsi="Baskerville"/>
        </w:rPr>
        <w:t xml:space="preserve"> who </w:t>
      </w:r>
      <w:r w:rsidR="00D140F8" w:rsidRPr="00D140F8">
        <w:rPr>
          <w:rFonts w:ascii="Baskerville" w:hAnsi="Baskerville"/>
        </w:rPr>
        <w:t>possesses</w:t>
      </w:r>
      <w:r w:rsidRPr="00D140F8">
        <w:rPr>
          <w:rFonts w:ascii="Baskerville" w:hAnsi="Baskerville"/>
        </w:rPr>
        <w:t xml:space="preserve"> </w:t>
      </w:r>
      <w:r w:rsidR="00D140F8" w:rsidRPr="00D140F8">
        <w:rPr>
          <w:rFonts w:ascii="Baskerville" w:hAnsi="Baskerville"/>
        </w:rPr>
        <w:t xml:space="preserve">the </w:t>
      </w:r>
      <w:r w:rsidRPr="00D140F8">
        <w:rPr>
          <w:rFonts w:ascii="Baskerville" w:hAnsi="Baskerville"/>
        </w:rPr>
        <w:t>rights to the resource whose use is in dispute.</w:t>
      </w:r>
      <w:r w:rsidRPr="009B4C1C">
        <w:rPr>
          <w:rFonts w:ascii="Baskerville" w:hAnsi="Baskerville"/>
          <w:color w:val="FF0000"/>
        </w:rPr>
        <w:t xml:space="preserve"> </w:t>
      </w:r>
      <w:r w:rsidRPr="00D140F8">
        <w:rPr>
          <w:rFonts w:ascii="Baskerville" w:hAnsi="Baskerville"/>
        </w:rPr>
        <w:t xml:space="preserve">There are </w:t>
      </w:r>
      <w:r w:rsidR="00D140F8" w:rsidRPr="00D140F8">
        <w:rPr>
          <w:rFonts w:ascii="Baskerville" w:hAnsi="Baskerville"/>
        </w:rPr>
        <w:t>circumstances</w:t>
      </w:r>
      <w:r w:rsidRPr="00D140F8">
        <w:rPr>
          <w:rFonts w:ascii="Baskerville" w:hAnsi="Baskerville"/>
        </w:rPr>
        <w:t xml:space="preserve"> where ownership is in dispute or property rights are undefined.</w:t>
      </w:r>
      <w:r w:rsidRPr="009B4C1C">
        <w:rPr>
          <w:rFonts w:ascii="Baskerville" w:hAnsi="Baskerville"/>
          <w:color w:val="FF0000"/>
        </w:rPr>
        <w:t xml:space="preserve"> </w:t>
      </w:r>
      <w:r w:rsidRPr="00D140F8">
        <w:rPr>
          <w:rFonts w:ascii="Baskerville" w:hAnsi="Baskerville"/>
        </w:rPr>
        <w:t xml:space="preserve">These problems need to be clarified, either in the courts, as is typically the case when there are disputes over property rights, or legislatively, as may be necessary when rights are completely </w:t>
      </w:r>
      <w:r w:rsidR="00D140F8" w:rsidRPr="00D140F8">
        <w:rPr>
          <w:rFonts w:ascii="Baskerville" w:hAnsi="Baskerville"/>
        </w:rPr>
        <w:t>unclear</w:t>
      </w:r>
      <w:r w:rsidRPr="00D140F8">
        <w:rPr>
          <w:rFonts w:ascii="Baskerville" w:hAnsi="Baskerville"/>
        </w:rPr>
        <w:t xml:space="preserve">, as </w:t>
      </w:r>
      <w:r w:rsidR="00D140F8" w:rsidRPr="00D140F8">
        <w:rPr>
          <w:rFonts w:ascii="Baskerville" w:hAnsi="Baskerville"/>
        </w:rPr>
        <w:t>may</w:t>
      </w:r>
      <w:r w:rsidRPr="00D140F8">
        <w:rPr>
          <w:rFonts w:ascii="Baskerville" w:hAnsi="Baskerville"/>
        </w:rPr>
        <w:t xml:space="preserve"> be the case with rivers, the ocean, etc.</w:t>
      </w:r>
      <w:r w:rsidR="008F26A5" w:rsidRPr="00D140F8">
        <w:rPr>
          <w:rStyle w:val="FootnoteReference"/>
          <w:rFonts w:ascii="Baskerville" w:hAnsi="Baskerville"/>
        </w:rPr>
        <w:footnoteReference w:id="6"/>
      </w:r>
      <w:r w:rsidRPr="009B4C1C">
        <w:rPr>
          <w:rFonts w:ascii="Baskerville" w:hAnsi="Baskerville"/>
          <w:color w:val="FF0000"/>
        </w:rPr>
        <w:t xml:space="preserve"> </w:t>
      </w:r>
      <w:r w:rsidR="00032EB3">
        <w:rPr>
          <w:rFonts w:ascii="Baskerville" w:hAnsi="Baskerville"/>
        </w:rPr>
        <w:t>A property rights-</w:t>
      </w:r>
      <w:r w:rsidR="00A643E9" w:rsidRPr="00C76960">
        <w:rPr>
          <w:rFonts w:ascii="Baskerville" w:hAnsi="Baskerville"/>
        </w:rPr>
        <w:t xml:space="preserve">based polluter pays principle, if </w:t>
      </w:r>
      <w:r w:rsidR="008F5F71" w:rsidRPr="00C76960">
        <w:rPr>
          <w:rFonts w:ascii="Baskerville" w:hAnsi="Baskerville"/>
        </w:rPr>
        <w:t>applied</w:t>
      </w:r>
      <w:r w:rsidR="00A643E9" w:rsidRPr="00C76960">
        <w:rPr>
          <w:rFonts w:ascii="Baskerville" w:hAnsi="Baskerville"/>
        </w:rPr>
        <w:t>, would solve many of these problems by enforcing existing property rights and providing principled guidance for the privati</w:t>
      </w:r>
      <w:r w:rsidR="008F5F71">
        <w:rPr>
          <w:rFonts w:ascii="Baskerville" w:hAnsi="Baskerville"/>
        </w:rPr>
        <w:t>s</w:t>
      </w:r>
      <w:r w:rsidR="00A643E9" w:rsidRPr="00C76960">
        <w:rPr>
          <w:rFonts w:ascii="Baskerville" w:hAnsi="Baskerville"/>
        </w:rPr>
        <w:t>ation of currently</w:t>
      </w:r>
      <w:r w:rsidR="00C76960" w:rsidRPr="00C76960">
        <w:rPr>
          <w:rFonts w:ascii="Baskerville" w:hAnsi="Baskerville"/>
        </w:rPr>
        <w:t xml:space="preserve"> </w:t>
      </w:r>
      <w:r w:rsidR="00A643E9" w:rsidRPr="00C76960">
        <w:rPr>
          <w:rFonts w:ascii="Baskerville" w:hAnsi="Baskerville"/>
        </w:rPr>
        <w:t xml:space="preserve">unowned resources by courts and legislatures. It will be much easier for </w:t>
      </w:r>
      <w:r w:rsidR="00272C29" w:rsidRPr="00C76960">
        <w:rPr>
          <w:rFonts w:ascii="Baskerville" w:hAnsi="Baskerville"/>
        </w:rPr>
        <w:t>lawmakers</w:t>
      </w:r>
      <w:r w:rsidR="00A643E9" w:rsidRPr="00C76960">
        <w:rPr>
          <w:rFonts w:ascii="Baskerville" w:hAnsi="Baskerville"/>
        </w:rPr>
        <w:t xml:space="preserve"> and adjudicators of </w:t>
      </w:r>
      <w:r w:rsidR="00C76960" w:rsidRPr="00C76960">
        <w:rPr>
          <w:rFonts w:ascii="Baskerville" w:hAnsi="Baskerville"/>
        </w:rPr>
        <w:t xml:space="preserve">court </w:t>
      </w:r>
      <w:r w:rsidR="00A643E9" w:rsidRPr="00C76960">
        <w:rPr>
          <w:rFonts w:ascii="Baskerville" w:hAnsi="Baskerville"/>
        </w:rPr>
        <w:t>disputes to move in the right direction once the problem is clearly identified.</w:t>
      </w:r>
      <w:r w:rsidR="00272C29" w:rsidRPr="00C76960">
        <w:rPr>
          <w:rStyle w:val="FootnoteReference"/>
          <w:rFonts w:ascii="Baskerville" w:hAnsi="Baskerville"/>
        </w:rPr>
        <w:footnoteReference w:id="7"/>
      </w:r>
      <w:r w:rsidR="00A643E9" w:rsidRPr="00A643E9">
        <w:rPr>
          <w:rFonts w:ascii="Baskerville" w:hAnsi="Baskerville"/>
          <w:color w:val="FF0000"/>
        </w:rPr>
        <w:t xml:space="preserve"> </w:t>
      </w:r>
    </w:p>
    <w:p w14:paraId="1C24E89D" w14:textId="77777777" w:rsidR="00921744" w:rsidRPr="00A643E9" w:rsidRDefault="00921744" w:rsidP="00A643E9">
      <w:pPr>
        <w:rPr>
          <w:rFonts w:ascii="Baskerville" w:hAnsi="Baskerville"/>
          <w:color w:val="FF0000"/>
        </w:rPr>
      </w:pPr>
    </w:p>
    <w:p w14:paraId="6177AF18" w14:textId="77777777" w:rsidR="00921744" w:rsidRPr="009151F4" w:rsidRDefault="00921744" w:rsidP="00921744">
      <w:pPr>
        <w:rPr>
          <w:rFonts w:ascii="Baskerville" w:hAnsi="Baskerville"/>
          <w:b/>
          <w:u w:val="single"/>
        </w:rPr>
      </w:pPr>
      <w:r w:rsidRPr="009151F4">
        <w:rPr>
          <w:rFonts w:ascii="Baskerville" w:hAnsi="Baskerville"/>
          <w:b/>
          <w:u w:val="single"/>
        </w:rPr>
        <w:t>Source Principle</w:t>
      </w:r>
    </w:p>
    <w:p w14:paraId="47852687" w14:textId="27667498" w:rsidR="00921744" w:rsidRDefault="00921744" w:rsidP="00921744">
      <w:pPr>
        <w:tabs>
          <w:tab w:val="num" w:pos="720"/>
        </w:tabs>
        <w:rPr>
          <w:rFonts w:ascii="Baskerville" w:hAnsi="Baskerville"/>
          <w:color w:val="FF0000"/>
        </w:rPr>
      </w:pPr>
      <w:r>
        <w:rPr>
          <w:rFonts w:ascii="Baskerville" w:hAnsi="Baskerville"/>
        </w:rPr>
        <w:t>Similarly to the polluter pays p</w:t>
      </w:r>
      <w:r w:rsidRPr="00FE09D5">
        <w:rPr>
          <w:rFonts w:ascii="Baskerville" w:hAnsi="Baskerville"/>
        </w:rPr>
        <w:t xml:space="preserve">rinciple, </w:t>
      </w:r>
      <w:r>
        <w:rPr>
          <w:rFonts w:ascii="Baskerville" w:hAnsi="Baskerville"/>
        </w:rPr>
        <w:t>the source principle</w:t>
      </w:r>
      <w:r w:rsidRPr="00FE09D5">
        <w:rPr>
          <w:rFonts w:ascii="Baskerville" w:hAnsi="Baskerville"/>
        </w:rPr>
        <w:t xml:space="preserve"> aims to ensure that the communities </w:t>
      </w:r>
      <w:r>
        <w:rPr>
          <w:rFonts w:ascii="Baskerville" w:hAnsi="Baskerville"/>
        </w:rPr>
        <w:t>pay all and only their own costs</w:t>
      </w:r>
      <w:r w:rsidRPr="00FE09D5">
        <w:rPr>
          <w:rFonts w:ascii="Baskerville" w:hAnsi="Baskerville"/>
        </w:rPr>
        <w:t xml:space="preserve">. </w:t>
      </w:r>
      <w:r>
        <w:rPr>
          <w:rFonts w:ascii="Baskerville" w:hAnsi="Baskerville"/>
        </w:rPr>
        <w:t>The principle</w:t>
      </w:r>
      <w:r w:rsidRPr="00FE09D5">
        <w:rPr>
          <w:rFonts w:ascii="Baskerville" w:hAnsi="Baskerville"/>
        </w:rPr>
        <w:t xml:space="preserve"> also rests on the acknowledgment that it is more effective to deal wit</w:t>
      </w:r>
      <w:r>
        <w:rPr>
          <w:rFonts w:ascii="Baskerville" w:hAnsi="Baskerville"/>
        </w:rPr>
        <w:t xml:space="preserve">h environmental problems early </w:t>
      </w:r>
      <w:r w:rsidRPr="00FE09D5">
        <w:rPr>
          <w:rFonts w:ascii="Baskerville" w:hAnsi="Baskerville"/>
        </w:rPr>
        <w:t xml:space="preserve">at </w:t>
      </w:r>
      <w:r>
        <w:rPr>
          <w:rFonts w:ascii="Baskerville" w:hAnsi="Baskerville"/>
        </w:rPr>
        <w:t>their source.</w:t>
      </w:r>
      <w:r w:rsidR="008B1172">
        <w:rPr>
          <w:rStyle w:val="FootnoteReference"/>
          <w:rFonts w:ascii="Baskerville" w:hAnsi="Baskerville"/>
        </w:rPr>
        <w:footnoteReference w:id="8"/>
      </w:r>
      <w:r w:rsidRPr="00921744">
        <w:rPr>
          <w:rFonts w:ascii="Baskerville" w:hAnsi="Baskerville"/>
        </w:rPr>
        <w:t xml:space="preserve"> </w:t>
      </w:r>
      <w:r w:rsidR="00250907">
        <w:rPr>
          <w:rFonts w:ascii="Baskerville" w:hAnsi="Baskerville"/>
        </w:rPr>
        <w:t>The</w:t>
      </w:r>
      <w:r>
        <w:rPr>
          <w:rFonts w:ascii="Baskerville" w:hAnsi="Baskerville"/>
        </w:rPr>
        <w:t xml:space="preserve"> source principle has been instrumental in helping courts to settle disputes </w:t>
      </w:r>
      <w:r w:rsidR="001430FE">
        <w:rPr>
          <w:rFonts w:ascii="Baskerville" w:hAnsi="Baskerville"/>
        </w:rPr>
        <w:t>by</w:t>
      </w:r>
      <w:r w:rsidR="00FA6947">
        <w:rPr>
          <w:rFonts w:ascii="Baskerville" w:hAnsi="Baskerville"/>
        </w:rPr>
        <w:t xml:space="preserve"> fairly distributing costs</w:t>
      </w:r>
      <w:r w:rsidR="00D86CC7">
        <w:rPr>
          <w:rFonts w:ascii="Baskerville" w:hAnsi="Baskerville"/>
        </w:rPr>
        <w:t>.</w:t>
      </w:r>
      <w:r w:rsidR="00715750">
        <w:rPr>
          <w:rStyle w:val="FootnoteReference"/>
          <w:rFonts w:ascii="Baskerville" w:hAnsi="Baskerville"/>
        </w:rPr>
        <w:footnoteReference w:id="9"/>
      </w:r>
      <w:r w:rsidR="00FA6947">
        <w:rPr>
          <w:rFonts w:ascii="Baskerville" w:hAnsi="Baskerville"/>
        </w:rPr>
        <w:t xml:space="preserve"> </w:t>
      </w:r>
      <w:r w:rsidR="00D86CC7">
        <w:rPr>
          <w:rFonts w:ascii="Baskerville" w:hAnsi="Baskerville"/>
        </w:rPr>
        <w:t>A key example of this was in the</w:t>
      </w:r>
      <w:r w:rsidR="00FA6947">
        <w:rPr>
          <w:rFonts w:ascii="Baskerville" w:hAnsi="Baskerville"/>
        </w:rPr>
        <w:t xml:space="preserve"> </w:t>
      </w:r>
      <w:r w:rsidR="00FA6947">
        <w:rPr>
          <w:rFonts w:ascii="Baskerville" w:hAnsi="Baskerville"/>
          <w:i/>
        </w:rPr>
        <w:t xml:space="preserve">Standley </w:t>
      </w:r>
      <w:r w:rsidR="00FA6947">
        <w:rPr>
          <w:rFonts w:ascii="Baskerville" w:hAnsi="Baskerville"/>
        </w:rPr>
        <w:t>case</w:t>
      </w:r>
      <w:r w:rsidR="008132CB">
        <w:rPr>
          <w:rFonts w:ascii="Baskerville" w:hAnsi="Baskerville"/>
        </w:rPr>
        <w:t>,</w:t>
      </w:r>
      <w:r w:rsidR="00FA6947">
        <w:rPr>
          <w:rFonts w:ascii="Baskerville" w:hAnsi="Baskerville"/>
        </w:rPr>
        <w:t xml:space="preserve"> in which</w:t>
      </w:r>
      <w:r w:rsidR="008132CB">
        <w:rPr>
          <w:rFonts w:ascii="Baskerville" w:hAnsi="Baskerville"/>
        </w:rPr>
        <w:t xml:space="preserve"> the ECJ ruled that the Nitrates Directive 91/676/EEC</w:t>
      </w:r>
      <w:r w:rsidR="00D86CC7">
        <w:rPr>
          <w:rFonts w:ascii="Baskerville" w:hAnsi="Baskerville"/>
        </w:rPr>
        <w:t xml:space="preserve"> (</w:t>
      </w:r>
      <w:r w:rsidR="003E0A48">
        <w:rPr>
          <w:rFonts w:ascii="Baskerville" w:hAnsi="Baskerville"/>
        </w:rPr>
        <w:t>concerning the protection of waters against pollution caused by nitrates</w:t>
      </w:r>
      <w:r w:rsidR="00D86CC7">
        <w:rPr>
          <w:rFonts w:ascii="Baskerville" w:hAnsi="Baskerville"/>
        </w:rPr>
        <w:t>)</w:t>
      </w:r>
      <w:r w:rsidR="003E0A48">
        <w:rPr>
          <w:rFonts w:ascii="Baskerville" w:hAnsi="Baskerville"/>
        </w:rPr>
        <w:t xml:space="preserve"> </w:t>
      </w:r>
      <w:r w:rsidR="00D86CC7">
        <w:rPr>
          <w:rFonts w:ascii="Baskerville" w:hAnsi="Baskerville"/>
        </w:rPr>
        <w:t>did not mean that farmers had to take on burdens for the elimination of pollution ‘to which they had not contributed’.</w:t>
      </w:r>
      <w:r w:rsidR="002C5D92">
        <w:rPr>
          <w:rStyle w:val="FootnoteReference"/>
          <w:rFonts w:ascii="Baskerville" w:hAnsi="Baskerville"/>
        </w:rPr>
        <w:footnoteReference w:id="10"/>
      </w:r>
      <w:r w:rsidR="002C5D92" w:rsidRPr="00FE09D5">
        <w:rPr>
          <w:rFonts w:ascii="Baskerville" w:hAnsi="Baskerville"/>
        </w:rPr>
        <w:t xml:space="preserve"> </w:t>
      </w:r>
      <w:r w:rsidR="00D86CC7">
        <w:rPr>
          <w:rFonts w:ascii="Baskerville" w:hAnsi="Baskerville"/>
        </w:rPr>
        <w:t xml:space="preserve"> </w:t>
      </w:r>
    </w:p>
    <w:p w14:paraId="0CA4C1F5" w14:textId="77777777" w:rsidR="00FA5C07" w:rsidRPr="00B2372D" w:rsidRDefault="00FA5C07" w:rsidP="00FA5C07">
      <w:pPr>
        <w:rPr>
          <w:rFonts w:ascii="Baskerville" w:hAnsi="Baskerville"/>
        </w:rPr>
      </w:pPr>
    </w:p>
    <w:p w14:paraId="70237864" w14:textId="5DB507B5" w:rsidR="006D3E36" w:rsidRPr="009151F4" w:rsidRDefault="006D3E36" w:rsidP="00D6680E">
      <w:pPr>
        <w:rPr>
          <w:rFonts w:ascii="Baskerville" w:hAnsi="Baskerville"/>
          <w:b/>
          <w:u w:val="single"/>
        </w:rPr>
      </w:pPr>
      <w:r w:rsidRPr="009151F4">
        <w:rPr>
          <w:rFonts w:ascii="Baskerville" w:hAnsi="Baskerville"/>
          <w:b/>
          <w:u w:val="single"/>
        </w:rPr>
        <w:t>Precautionary Principle</w:t>
      </w:r>
    </w:p>
    <w:p w14:paraId="5573F7D9" w14:textId="0D101625" w:rsidR="00776287" w:rsidRPr="00B02398" w:rsidRDefault="000675F9" w:rsidP="004A43FB">
      <w:pPr>
        <w:rPr>
          <w:rFonts w:ascii="Baskerville" w:hAnsi="Baskerville"/>
          <w:iCs/>
        </w:rPr>
      </w:pPr>
      <w:r w:rsidRPr="00B02398">
        <w:rPr>
          <w:rFonts w:ascii="Baskerville" w:hAnsi="Baskerville"/>
        </w:rPr>
        <w:t>Many environmental lawyers have argued that the precautionary principle is already a principle of customary international law.</w:t>
      </w:r>
      <w:r w:rsidRPr="00B02398">
        <w:rPr>
          <w:rStyle w:val="FootnoteReference"/>
          <w:rFonts w:ascii="Baskerville" w:hAnsi="Baskerville"/>
        </w:rPr>
        <w:footnoteReference w:id="11"/>
      </w:r>
      <w:r w:rsidRPr="00B02398">
        <w:rPr>
          <w:rFonts w:ascii="Baskerville" w:hAnsi="Baskerville"/>
        </w:rPr>
        <w:t xml:space="preserve"> </w:t>
      </w:r>
      <w:r w:rsidR="001626B1" w:rsidRPr="00A06D95">
        <w:rPr>
          <w:rFonts w:ascii="Baskerville" w:hAnsi="Baskerville"/>
        </w:rPr>
        <w:t>The precautionary principle was formulated under principle 15 of the Rio Declaration.</w:t>
      </w:r>
      <w:r w:rsidR="001626B1" w:rsidRPr="00A06D95">
        <w:rPr>
          <w:rStyle w:val="FootnoteReference"/>
          <w:rFonts w:ascii="Baskerville" w:hAnsi="Baskerville"/>
        </w:rPr>
        <w:footnoteReference w:id="12"/>
      </w:r>
      <w:r w:rsidR="001626B1">
        <w:rPr>
          <w:rFonts w:ascii="Baskerville" w:hAnsi="Baskerville"/>
          <w:color w:val="FF0000"/>
        </w:rPr>
        <w:t xml:space="preserve"> </w:t>
      </w:r>
      <w:r w:rsidR="00E72149">
        <w:rPr>
          <w:rFonts w:ascii="Baskerville" w:hAnsi="Baskerville"/>
        </w:rPr>
        <w:t>The</w:t>
      </w:r>
      <w:r w:rsidR="0075640F" w:rsidRPr="00B02398">
        <w:rPr>
          <w:rFonts w:ascii="Baskerville" w:hAnsi="Baskerville"/>
        </w:rPr>
        <w:t xml:space="preserve"> Treaty Establishing the European Community does not provide a definition </w:t>
      </w:r>
      <w:r w:rsidR="00E72149">
        <w:rPr>
          <w:rFonts w:ascii="Baskerville" w:hAnsi="Baskerville"/>
        </w:rPr>
        <w:t xml:space="preserve">of the precautionary principle. But, </w:t>
      </w:r>
      <w:r w:rsidR="0075640F" w:rsidRPr="00B02398">
        <w:rPr>
          <w:rFonts w:ascii="Baskerville" w:hAnsi="Baskerville"/>
        </w:rPr>
        <w:t>decisions by the European Court of Justice and other EU courts denote elements of a general application of the precautionary principle in EU law. These include uncertainty, risk, and lack of a direct causal link between the risk and the perceived harm.</w:t>
      </w:r>
      <w:r w:rsidR="007235C5" w:rsidRPr="00B02398">
        <w:rPr>
          <w:rStyle w:val="FootnoteReference"/>
          <w:rFonts w:ascii="Baskerville" w:hAnsi="Baskerville"/>
        </w:rPr>
        <w:footnoteReference w:id="13"/>
      </w:r>
      <w:r w:rsidR="007235C5" w:rsidRPr="00B02398">
        <w:rPr>
          <w:rFonts w:ascii="Baskerville" w:hAnsi="Baskerville"/>
        </w:rPr>
        <w:t xml:space="preserve"> </w:t>
      </w:r>
      <w:r w:rsidR="00C15C4F" w:rsidRPr="00CE1BC2">
        <w:rPr>
          <w:rFonts w:ascii="Baskerville" w:hAnsi="Baskerville"/>
        </w:rPr>
        <w:t>Though r</w:t>
      </w:r>
      <w:r w:rsidR="004A43FB" w:rsidRPr="00CE1BC2">
        <w:rPr>
          <w:rFonts w:ascii="Baskerville" w:hAnsi="Baskerville"/>
        </w:rPr>
        <w:t>egulation</w:t>
      </w:r>
      <w:r w:rsidR="00C15C4F" w:rsidRPr="00CE1BC2">
        <w:rPr>
          <w:rFonts w:ascii="Baskerville" w:hAnsi="Baskerville"/>
        </w:rPr>
        <w:t>s</w:t>
      </w:r>
      <w:r w:rsidR="004A43FB" w:rsidRPr="00CE1BC2">
        <w:rPr>
          <w:rFonts w:ascii="Baskerville" w:hAnsi="Baskerville"/>
        </w:rPr>
        <w:t xml:space="preserve"> cannot </w:t>
      </w:r>
      <w:r w:rsidR="00776287" w:rsidRPr="00CE1BC2">
        <w:rPr>
          <w:rFonts w:ascii="Baskerville" w:hAnsi="Baskerville"/>
        </w:rPr>
        <w:t>legally</w:t>
      </w:r>
      <w:r w:rsidR="004A43FB" w:rsidRPr="00CE1BC2">
        <w:rPr>
          <w:rFonts w:ascii="Baskerville" w:hAnsi="Baskerville"/>
        </w:rPr>
        <w:t xml:space="preserve"> be based on a ‘purely hypothetical approach to risk’ ‘on mere conjecture which has not been scientifically verified’.</w:t>
      </w:r>
      <w:r w:rsidR="004A43FB" w:rsidRPr="00CE1BC2">
        <w:rPr>
          <w:rStyle w:val="FootnoteReference"/>
          <w:rFonts w:ascii="Baskerville" w:hAnsi="Baskerville"/>
        </w:rPr>
        <w:footnoteReference w:id="14"/>
      </w:r>
      <w:r w:rsidR="004A43FB" w:rsidRPr="00CE1BC2">
        <w:rPr>
          <w:rFonts w:ascii="Baskerville" w:hAnsi="Baskerville"/>
        </w:rPr>
        <w:t xml:space="preserve"> </w:t>
      </w:r>
    </w:p>
    <w:p w14:paraId="3736D38D" w14:textId="77777777" w:rsidR="004A43FB" w:rsidRPr="004A43FB" w:rsidRDefault="004A43FB" w:rsidP="004A43FB">
      <w:pPr>
        <w:rPr>
          <w:rFonts w:ascii="Baskerville" w:hAnsi="Baskerville"/>
        </w:rPr>
      </w:pPr>
    </w:p>
    <w:p w14:paraId="2DB7D9AD" w14:textId="71CC6BCD" w:rsidR="00553710" w:rsidRDefault="00D3092B" w:rsidP="00A4564E">
      <w:pPr>
        <w:rPr>
          <w:rFonts w:ascii="Baskerville" w:hAnsi="Baskerville"/>
        </w:rPr>
      </w:pPr>
      <w:r>
        <w:rPr>
          <w:rFonts w:ascii="Baskerville" w:hAnsi="Baskerville"/>
        </w:rPr>
        <w:t xml:space="preserve">However, some of the core issues that </w:t>
      </w:r>
      <w:r w:rsidR="00B474E6">
        <w:rPr>
          <w:rFonts w:ascii="Baskerville" w:hAnsi="Baskerville"/>
        </w:rPr>
        <w:t>occur</w:t>
      </w:r>
      <w:r>
        <w:rPr>
          <w:rFonts w:ascii="Baskerville" w:hAnsi="Baskerville"/>
        </w:rPr>
        <w:t xml:space="preserve"> from this use of the precautionary principle include the fact that the </w:t>
      </w:r>
      <w:r w:rsidR="00776287" w:rsidRPr="00D3092B">
        <w:rPr>
          <w:rFonts w:ascii="Baskerville" w:hAnsi="Baskerville"/>
          <w:lang w:val="en-US"/>
        </w:rPr>
        <w:t>requirement to take precaution</w:t>
      </w:r>
      <w:r>
        <w:rPr>
          <w:rFonts w:ascii="Baskerville" w:hAnsi="Baskerville"/>
          <w:lang w:val="en-US"/>
        </w:rPr>
        <w:t>s</w:t>
      </w:r>
      <w:r w:rsidR="00776287" w:rsidRPr="00D3092B">
        <w:rPr>
          <w:rFonts w:ascii="Baskerville" w:hAnsi="Baskerville"/>
          <w:lang w:val="en-US"/>
        </w:rPr>
        <w:t xml:space="preserve"> is modified by the balancing of costs and benefits of taking actions. </w:t>
      </w:r>
      <w:r>
        <w:rPr>
          <w:rFonts w:ascii="Baskerville" w:hAnsi="Baskerville"/>
          <w:lang w:val="en-US"/>
        </w:rPr>
        <w:t>This w</w:t>
      </w:r>
      <w:r w:rsidR="00776287" w:rsidRPr="00D3092B">
        <w:rPr>
          <w:rFonts w:ascii="Baskerville" w:hAnsi="Baskerville"/>
          <w:lang w:val="en-US"/>
        </w:rPr>
        <w:t xml:space="preserve">eaker version </w:t>
      </w:r>
      <w:r>
        <w:rPr>
          <w:rFonts w:ascii="Baskerville" w:hAnsi="Baskerville"/>
          <w:lang w:val="en-US"/>
        </w:rPr>
        <w:t xml:space="preserve">sadly </w:t>
      </w:r>
      <w:r w:rsidR="00776287" w:rsidRPr="00D3092B">
        <w:rPr>
          <w:rFonts w:ascii="Baskerville" w:hAnsi="Baskerville"/>
          <w:lang w:val="en-US"/>
        </w:rPr>
        <w:t xml:space="preserve">reflects </w:t>
      </w:r>
      <w:r>
        <w:rPr>
          <w:rFonts w:ascii="Baskerville" w:hAnsi="Baskerville"/>
          <w:lang w:val="en-US"/>
        </w:rPr>
        <w:t>the present</w:t>
      </w:r>
      <w:r w:rsidR="00776287" w:rsidRPr="00D3092B">
        <w:rPr>
          <w:rFonts w:ascii="Baskerville" w:hAnsi="Baskerville"/>
          <w:lang w:val="en-US"/>
        </w:rPr>
        <w:t xml:space="preserve"> EU and UK </w:t>
      </w:r>
      <w:r>
        <w:rPr>
          <w:rFonts w:ascii="Baskerville" w:hAnsi="Baskerville"/>
          <w:lang w:val="en-US"/>
        </w:rPr>
        <w:t xml:space="preserve">court </w:t>
      </w:r>
      <w:r w:rsidR="00776287" w:rsidRPr="00D3092B">
        <w:rPr>
          <w:rFonts w:ascii="Baskerville" w:hAnsi="Baskerville"/>
          <w:lang w:val="en-US"/>
        </w:rPr>
        <w:t xml:space="preserve">approaches. </w:t>
      </w:r>
      <w:r>
        <w:rPr>
          <w:rFonts w:ascii="Baskerville" w:hAnsi="Baskerville"/>
          <w:lang w:val="en-US"/>
        </w:rPr>
        <w:t>B</w:t>
      </w:r>
      <w:r w:rsidRPr="0096550C">
        <w:rPr>
          <w:rFonts w:ascii="Baskerville" w:hAnsi="Baskerville"/>
          <w:lang w:val="en-US"/>
        </w:rPr>
        <w:t xml:space="preserve">y taking uncertainty seriously, the precautionary principle implies that </w:t>
      </w:r>
      <w:r w:rsidR="009B5CFB">
        <w:rPr>
          <w:rFonts w:ascii="Baskerville" w:hAnsi="Baskerville"/>
          <w:lang w:val="en-US"/>
        </w:rPr>
        <w:t xml:space="preserve">mere </w:t>
      </w:r>
      <w:r w:rsidRPr="0096550C">
        <w:rPr>
          <w:rFonts w:ascii="Baskerville" w:hAnsi="Baskerville"/>
          <w:lang w:val="en-US"/>
        </w:rPr>
        <w:t xml:space="preserve">facts are not satisfactory </w:t>
      </w:r>
      <w:r>
        <w:rPr>
          <w:rFonts w:ascii="Baskerville" w:hAnsi="Baskerville"/>
          <w:lang w:val="en-US"/>
        </w:rPr>
        <w:t>for</w:t>
      </w:r>
      <w:r w:rsidRPr="0096550C">
        <w:rPr>
          <w:rFonts w:ascii="Baskerville" w:hAnsi="Baskerville"/>
          <w:lang w:val="en-US"/>
        </w:rPr>
        <w:t xml:space="preserve"> making a </w:t>
      </w:r>
      <w:r>
        <w:rPr>
          <w:rFonts w:ascii="Baskerville" w:hAnsi="Baskerville"/>
          <w:lang w:val="en-US"/>
        </w:rPr>
        <w:t xml:space="preserve">court </w:t>
      </w:r>
      <w:r w:rsidRPr="0096550C">
        <w:rPr>
          <w:rFonts w:ascii="Baskerville" w:hAnsi="Baskerville"/>
          <w:lang w:val="en-US"/>
        </w:rPr>
        <w:t>decision.</w:t>
      </w:r>
      <w:r>
        <w:rPr>
          <w:rFonts w:ascii="Baskerville" w:hAnsi="Baskerville"/>
          <w:lang w:val="en-US"/>
        </w:rPr>
        <w:t xml:space="preserve"> </w:t>
      </w:r>
      <w:r w:rsidR="0075640F" w:rsidRPr="0075640F">
        <w:rPr>
          <w:rFonts w:ascii="Baskerville" w:hAnsi="Baskerville"/>
        </w:rPr>
        <w:t>The</w:t>
      </w:r>
      <w:r w:rsidR="0075640F">
        <w:rPr>
          <w:rFonts w:ascii="Baskerville" w:hAnsi="Baskerville"/>
        </w:rPr>
        <w:t xml:space="preserve"> </w:t>
      </w:r>
      <w:r w:rsidR="0075640F" w:rsidRPr="0075640F">
        <w:rPr>
          <w:rFonts w:ascii="Baskerville" w:hAnsi="Baskerville"/>
        </w:rPr>
        <w:t>EU</w:t>
      </w:r>
      <w:r w:rsidR="0075640F">
        <w:rPr>
          <w:rFonts w:ascii="Baskerville" w:hAnsi="Baskerville"/>
        </w:rPr>
        <w:t xml:space="preserve"> </w:t>
      </w:r>
      <w:r w:rsidR="0075640F" w:rsidRPr="0075640F">
        <w:rPr>
          <w:rFonts w:ascii="Baskerville" w:hAnsi="Baskerville"/>
        </w:rPr>
        <w:t>has expressed it</w:t>
      </w:r>
      <w:r w:rsidR="0075640F">
        <w:rPr>
          <w:rFonts w:ascii="Baskerville" w:hAnsi="Baskerville"/>
        </w:rPr>
        <w:t>’</w:t>
      </w:r>
      <w:r w:rsidR="0075640F" w:rsidRPr="0075640F">
        <w:rPr>
          <w:rFonts w:ascii="Baskerville" w:hAnsi="Baskerville"/>
        </w:rPr>
        <w:t xml:space="preserve">s objective to establish </w:t>
      </w:r>
      <w:r w:rsidR="0075640F" w:rsidRPr="00F8654B">
        <w:rPr>
          <w:rFonts w:ascii="Baskerville" w:hAnsi="Baskerville"/>
        </w:rPr>
        <w:t xml:space="preserve">guidelines </w:t>
      </w:r>
      <w:r w:rsidR="0075640F" w:rsidRPr="0075640F">
        <w:rPr>
          <w:rFonts w:ascii="Baskerville" w:hAnsi="Baskerville"/>
        </w:rPr>
        <w:t xml:space="preserve">for </w:t>
      </w:r>
      <w:r w:rsidR="00470480">
        <w:rPr>
          <w:rFonts w:ascii="Baskerville" w:hAnsi="Baskerville"/>
        </w:rPr>
        <w:t xml:space="preserve">the </w:t>
      </w:r>
      <w:r w:rsidR="0075640F" w:rsidRPr="0075640F">
        <w:rPr>
          <w:rFonts w:ascii="Baskerville" w:hAnsi="Baskerville"/>
        </w:rPr>
        <w:t xml:space="preserve">use of the precautionary principle </w:t>
      </w:r>
      <w:r w:rsidR="00337F37">
        <w:rPr>
          <w:rFonts w:ascii="Baskerville" w:hAnsi="Baskerville"/>
        </w:rPr>
        <w:t>so as</w:t>
      </w:r>
      <w:r w:rsidR="0075640F" w:rsidRPr="0075640F">
        <w:rPr>
          <w:rFonts w:ascii="Baskerville" w:hAnsi="Baskerville"/>
        </w:rPr>
        <w:t xml:space="preserve"> to clarify arrangements for its application.</w:t>
      </w:r>
      <w:r w:rsidR="00337F37">
        <w:rPr>
          <w:rStyle w:val="FootnoteReference"/>
          <w:rFonts w:ascii="Baskerville" w:hAnsi="Baskerville"/>
        </w:rPr>
        <w:footnoteReference w:id="15"/>
      </w:r>
      <w:r w:rsidR="0075640F" w:rsidRPr="0075640F">
        <w:rPr>
          <w:rFonts w:ascii="Baskerville" w:hAnsi="Baskerville"/>
        </w:rPr>
        <w:t xml:space="preserve"> </w:t>
      </w:r>
      <w:r w:rsidR="0080229A">
        <w:rPr>
          <w:rFonts w:ascii="Baskerville" w:hAnsi="Baskerville"/>
        </w:rPr>
        <w:t xml:space="preserve">A </w:t>
      </w:r>
      <w:r w:rsidR="0080229A" w:rsidRPr="0080229A">
        <w:rPr>
          <w:rFonts w:ascii="Baskerville" w:hAnsi="Baskerville"/>
        </w:rPr>
        <w:t xml:space="preserve">common understanding of the precautionary principle would </w:t>
      </w:r>
      <w:r w:rsidR="00D12FD2">
        <w:rPr>
          <w:rFonts w:ascii="Baskerville" w:hAnsi="Baskerville"/>
        </w:rPr>
        <w:t>improve</w:t>
      </w:r>
      <w:r w:rsidR="0080229A" w:rsidRPr="0080229A">
        <w:rPr>
          <w:rFonts w:ascii="Baskerville" w:hAnsi="Baskerville"/>
        </w:rPr>
        <w:t xml:space="preserve"> consistency in judicial decisions in </w:t>
      </w:r>
      <w:r w:rsidR="0080229A">
        <w:rPr>
          <w:rFonts w:ascii="Baskerville" w:hAnsi="Baskerville"/>
        </w:rPr>
        <w:t>arising</w:t>
      </w:r>
      <w:r w:rsidR="0080229A" w:rsidRPr="0080229A">
        <w:rPr>
          <w:rFonts w:ascii="Baskerville" w:hAnsi="Baskerville"/>
        </w:rPr>
        <w:t xml:space="preserve"> disputes.</w:t>
      </w:r>
      <w:r w:rsidR="0080229A">
        <w:rPr>
          <w:rStyle w:val="FootnoteReference"/>
          <w:rFonts w:ascii="Baskerville" w:hAnsi="Baskerville"/>
        </w:rPr>
        <w:footnoteReference w:id="16"/>
      </w:r>
      <w:r w:rsidR="0080229A" w:rsidRPr="0080229A">
        <w:rPr>
          <w:rFonts w:ascii="Baskerville" w:hAnsi="Baskerville"/>
        </w:rPr>
        <w:t xml:space="preserve"> </w:t>
      </w:r>
    </w:p>
    <w:p w14:paraId="589DE5CD" w14:textId="77777777" w:rsidR="009618AA" w:rsidRPr="00A4564E" w:rsidRDefault="009618AA" w:rsidP="00A4564E">
      <w:pPr>
        <w:rPr>
          <w:rFonts w:ascii="Baskerville" w:hAnsi="Baskerville"/>
        </w:rPr>
      </w:pPr>
    </w:p>
    <w:p w14:paraId="14CC25EB" w14:textId="7F0C5225" w:rsidR="00B81F9F" w:rsidRPr="009151F4" w:rsidRDefault="0014559A" w:rsidP="00D6680E">
      <w:pPr>
        <w:rPr>
          <w:rFonts w:ascii="Baskerville" w:hAnsi="Baskerville"/>
          <w:b/>
          <w:u w:val="single"/>
        </w:rPr>
      </w:pPr>
      <w:r>
        <w:rPr>
          <w:rFonts w:ascii="Baskerville" w:hAnsi="Baskerville"/>
          <w:b/>
          <w:u w:val="single"/>
        </w:rPr>
        <w:t xml:space="preserve">Prevention </w:t>
      </w:r>
      <w:r w:rsidR="00B81F9F" w:rsidRPr="009151F4">
        <w:rPr>
          <w:rFonts w:ascii="Baskerville" w:hAnsi="Baskerville"/>
          <w:b/>
          <w:u w:val="single"/>
        </w:rPr>
        <w:t>Principle</w:t>
      </w:r>
    </w:p>
    <w:p w14:paraId="6A971915" w14:textId="41058392" w:rsidR="00B2257C" w:rsidRPr="0014559A" w:rsidRDefault="005F7655" w:rsidP="004F7AD1">
      <w:pPr>
        <w:rPr>
          <w:rFonts w:ascii="Baskerville" w:hAnsi="Baskerville"/>
        </w:rPr>
      </w:pPr>
      <w:r>
        <w:rPr>
          <w:rFonts w:ascii="Baskerville" w:hAnsi="Baskerville"/>
        </w:rPr>
        <w:t>The</w:t>
      </w:r>
      <w:r w:rsidRPr="00CC3372">
        <w:rPr>
          <w:rFonts w:ascii="Baskerville" w:hAnsi="Baskerville"/>
        </w:rPr>
        <w:t xml:space="preserve"> </w:t>
      </w:r>
      <w:r w:rsidR="0014559A">
        <w:rPr>
          <w:rFonts w:ascii="Baskerville" w:hAnsi="Baskerville"/>
          <w:lang w:val="en-US"/>
        </w:rPr>
        <w:t xml:space="preserve">prevention </w:t>
      </w:r>
      <w:r w:rsidRPr="00CC3372">
        <w:rPr>
          <w:rFonts w:ascii="Baskerville" w:hAnsi="Baskerville"/>
        </w:rPr>
        <w:t xml:space="preserve">principle </w:t>
      </w:r>
      <w:r>
        <w:rPr>
          <w:rFonts w:ascii="Baskerville" w:hAnsi="Baskerville"/>
        </w:rPr>
        <w:t xml:space="preserve">bears some resemblance to the source principle in that it </w:t>
      </w:r>
      <w:r w:rsidR="00E17BC4">
        <w:rPr>
          <w:rFonts w:ascii="Baskerville" w:hAnsi="Baskerville"/>
        </w:rPr>
        <w:t>requires</w:t>
      </w:r>
      <w:r w:rsidRPr="00CC3372">
        <w:rPr>
          <w:rFonts w:ascii="Baskerville" w:hAnsi="Baskerville"/>
        </w:rPr>
        <w:t xml:space="preserve"> that </w:t>
      </w:r>
      <w:r w:rsidR="004F7AD1">
        <w:rPr>
          <w:rFonts w:ascii="Baskerville" w:hAnsi="Baskerville"/>
        </w:rPr>
        <w:t>a</w:t>
      </w:r>
      <w:r w:rsidR="004F7AD1" w:rsidRPr="004F7AD1">
        <w:rPr>
          <w:rFonts w:ascii="Baskerville" w:hAnsi="Baskerville"/>
        </w:rPr>
        <w:t xml:space="preserve">ction </w:t>
      </w:r>
      <w:r w:rsidR="005C322F">
        <w:rPr>
          <w:rFonts w:ascii="Baskerville" w:hAnsi="Baskerville"/>
        </w:rPr>
        <w:t xml:space="preserve">should be </w:t>
      </w:r>
      <w:r w:rsidR="004F7AD1" w:rsidRPr="004F7AD1">
        <w:rPr>
          <w:rFonts w:ascii="Baskerville" w:hAnsi="Baskerville"/>
        </w:rPr>
        <w:t>ta</w:t>
      </w:r>
      <w:r w:rsidR="004F7AD1">
        <w:rPr>
          <w:rFonts w:ascii="Baskerville" w:hAnsi="Baskerville"/>
        </w:rPr>
        <w:t>ken to prevent damage before the damage has actually occurred.</w:t>
      </w:r>
      <w:r w:rsidR="00B2257C" w:rsidRPr="00B2257C">
        <w:rPr>
          <w:rFonts w:ascii="Baskerville" w:hAnsi="Baskerville"/>
          <w:lang w:val="en-US"/>
        </w:rPr>
        <w:t xml:space="preserve"> </w:t>
      </w:r>
      <w:r w:rsidR="00376915" w:rsidRPr="00B2257C">
        <w:rPr>
          <w:rFonts w:ascii="Baskerville" w:hAnsi="Baskerville"/>
          <w:lang w:val="en-US"/>
        </w:rPr>
        <w:t>Although much environmental legislation is drafted in response to catastrophes, preventing environmental harm is cheaper, easier, and less environmentally dangerous than reacting to environmental harm that already has taken place.</w:t>
      </w:r>
      <w:r w:rsidR="007E7C5D">
        <w:rPr>
          <w:rStyle w:val="FootnoteReference"/>
          <w:rFonts w:ascii="Baskerville" w:hAnsi="Baskerville"/>
          <w:lang w:val="en-US"/>
        </w:rPr>
        <w:footnoteReference w:id="17"/>
      </w:r>
      <w:r w:rsidR="00376915" w:rsidRPr="00B2257C">
        <w:rPr>
          <w:rFonts w:ascii="Baskerville" w:hAnsi="Baskerville"/>
          <w:lang w:val="en-US"/>
        </w:rPr>
        <w:t xml:space="preserve"> </w:t>
      </w:r>
      <w:r w:rsidR="00B2257C" w:rsidRPr="00B2257C">
        <w:rPr>
          <w:rFonts w:ascii="Baskerville" w:hAnsi="Baskerville"/>
          <w:lang w:val="en-US"/>
        </w:rPr>
        <w:t>The prevent</w:t>
      </w:r>
      <w:r w:rsidR="0014559A">
        <w:rPr>
          <w:rFonts w:ascii="Baskerville" w:hAnsi="Baskerville"/>
          <w:lang w:val="en-US"/>
        </w:rPr>
        <w:t xml:space="preserve">ion </w:t>
      </w:r>
      <w:r w:rsidR="00B2257C" w:rsidRPr="00B2257C">
        <w:rPr>
          <w:rFonts w:ascii="Baskerville" w:hAnsi="Baskerville"/>
          <w:lang w:val="en-US"/>
        </w:rPr>
        <w:t xml:space="preserve">principle </w:t>
      </w:r>
      <w:r w:rsidR="00B43246">
        <w:rPr>
          <w:rFonts w:ascii="Baskerville" w:hAnsi="Baskerville"/>
          <w:lang w:val="en-US"/>
        </w:rPr>
        <w:t>forms</w:t>
      </w:r>
      <w:r w:rsidR="00B2257C" w:rsidRPr="00B2257C">
        <w:rPr>
          <w:rFonts w:ascii="Baskerville" w:hAnsi="Baskerville"/>
          <w:lang w:val="en-US"/>
        </w:rPr>
        <w:t xml:space="preserve"> </w:t>
      </w:r>
      <w:r w:rsidR="006B5B0B">
        <w:rPr>
          <w:rFonts w:ascii="Baskerville" w:hAnsi="Baskerville"/>
          <w:lang w:val="en-US"/>
        </w:rPr>
        <w:t xml:space="preserve">the basis of </w:t>
      </w:r>
      <w:r w:rsidR="00B43246">
        <w:rPr>
          <w:rFonts w:ascii="Baskerville" w:hAnsi="Baskerville"/>
          <w:lang w:val="en-US"/>
        </w:rPr>
        <w:t xml:space="preserve">the </w:t>
      </w:r>
      <w:r w:rsidR="00B2257C" w:rsidRPr="00B2257C">
        <w:rPr>
          <w:rFonts w:ascii="Baskerville" w:hAnsi="Baskerville"/>
          <w:lang w:val="en-US"/>
        </w:rPr>
        <w:t xml:space="preserve">laws regulating the generation, transportation, treatment, storage, and disposal of hazardous waste and laws regulating the use of pesticides. </w:t>
      </w:r>
    </w:p>
    <w:p w14:paraId="6AE3A811" w14:textId="77777777" w:rsidR="00570FCD" w:rsidRDefault="00570FCD" w:rsidP="004F7AD1">
      <w:pPr>
        <w:rPr>
          <w:rFonts w:ascii="Baskerville" w:hAnsi="Baskerville"/>
          <w:lang w:val="en-US"/>
        </w:rPr>
      </w:pPr>
    </w:p>
    <w:p w14:paraId="3AB3907C" w14:textId="52D097D8" w:rsidR="00570FCD" w:rsidRPr="007C6A0F" w:rsidRDefault="00570FCD" w:rsidP="004F7AD1">
      <w:pPr>
        <w:rPr>
          <w:rFonts w:ascii="Baskerville" w:hAnsi="Baskerville"/>
          <w:lang w:val="en-US"/>
        </w:rPr>
      </w:pPr>
      <w:r w:rsidRPr="007C6A0F">
        <w:rPr>
          <w:rFonts w:ascii="Baskerville" w:hAnsi="Baskerville"/>
          <w:lang w:val="en-US"/>
        </w:rPr>
        <w:t xml:space="preserve">The prevention principle has featured in the jurisprudence of the CJEU. In a court decision prompted by a referral from an English court, </w:t>
      </w:r>
      <w:r w:rsidRPr="007C6A0F">
        <w:rPr>
          <w:rFonts w:ascii="Baskerville" w:hAnsi="Baskerville"/>
          <w:i/>
          <w:lang w:val="en-US"/>
        </w:rPr>
        <w:t xml:space="preserve">Air Transport Association America </w:t>
      </w:r>
      <w:r w:rsidRPr="007C6A0F">
        <w:rPr>
          <w:rFonts w:ascii="Baskerville" w:hAnsi="Baskerville"/>
          <w:lang w:val="en-US"/>
        </w:rPr>
        <w:t xml:space="preserve">v </w:t>
      </w:r>
      <w:r w:rsidRPr="007C6A0F">
        <w:rPr>
          <w:rFonts w:ascii="Baskerville" w:hAnsi="Baskerville"/>
          <w:i/>
          <w:lang w:val="en-US"/>
        </w:rPr>
        <w:t>Secretary of State for Energy and Climate Change</w:t>
      </w:r>
      <w:r w:rsidRPr="007C6A0F">
        <w:rPr>
          <w:rFonts w:ascii="Baskerville" w:hAnsi="Baskerville"/>
          <w:lang w:val="en-US"/>
        </w:rPr>
        <w:t>,</w:t>
      </w:r>
      <w:r w:rsidR="004D3F23" w:rsidRPr="007C6A0F">
        <w:rPr>
          <w:rStyle w:val="FootnoteReference"/>
          <w:rFonts w:ascii="Baskerville" w:hAnsi="Baskerville"/>
          <w:lang w:val="en-US"/>
        </w:rPr>
        <w:footnoteReference w:id="18"/>
      </w:r>
      <w:r w:rsidRPr="007C6A0F">
        <w:rPr>
          <w:rFonts w:ascii="Baskerville" w:hAnsi="Baskerville"/>
          <w:lang w:val="en-US"/>
        </w:rPr>
        <w:t xml:space="preserve"> the Court examined the legality of preventative measures applicable to areas beyond national jurisdiction. The case concerned the extension of the Emissions Trading Directive</w:t>
      </w:r>
      <w:r w:rsidRPr="007C6A0F">
        <w:rPr>
          <w:rStyle w:val="FootnoteReference"/>
          <w:rFonts w:ascii="Baskerville" w:hAnsi="Baskerville"/>
          <w:lang w:val="en-US"/>
        </w:rPr>
        <w:footnoteReference w:id="19"/>
      </w:r>
      <w:r w:rsidRPr="007C6A0F">
        <w:rPr>
          <w:rFonts w:ascii="Baskerville" w:hAnsi="Baskerville"/>
          <w:lang w:val="en-US"/>
        </w:rPr>
        <w:t xml:space="preserve"> </w:t>
      </w:r>
      <w:r w:rsidR="007F45DE" w:rsidRPr="007C6A0F">
        <w:rPr>
          <w:rFonts w:ascii="Baskerville" w:hAnsi="Baskerville"/>
          <w:lang w:val="en-US"/>
        </w:rPr>
        <w:t xml:space="preserve">to aviation and, more specifically, to flights departing or landing in EU territory. </w:t>
      </w:r>
      <w:r w:rsidR="006D504E" w:rsidRPr="007C6A0F">
        <w:rPr>
          <w:rFonts w:ascii="Baskerville" w:hAnsi="Baskerville"/>
          <w:lang w:val="en-US"/>
        </w:rPr>
        <w:t>The Court upheld the lega</w:t>
      </w:r>
      <w:r w:rsidR="00382AFF">
        <w:rPr>
          <w:rFonts w:ascii="Baskerville" w:hAnsi="Baskerville"/>
          <w:lang w:val="en-US"/>
        </w:rPr>
        <w:t>l requirement</w:t>
      </w:r>
      <w:r w:rsidR="006D504E" w:rsidRPr="007C6A0F">
        <w:rPr>
          <w:rFonts w:ascii="Baskerville" w:hAnsi="Baskerville"/>
          <w:lang w:val="en-US"/>
        </w:rPr>
        <w:t xml:space="preserve"> of the </w:t>
      </w:r>
      <w:r w:rsidR="007F45DE" w:rsidRPr="007C6A0F">
        <w:rPr>
          <w:rFonts w:ascii="Baskerville" w:hAnsi="Baskerville"/>
          <w:lang w:val="en-US"/>
        </w:rPr>
        <w:t xml:space="preserve">companies operating such flights to present carbon allowances for emissions produced beyond EU territory, in international air space. </w:t>
      </w:r>
      <w:r w:rsidR="006D504E" w:rsidRPr="007C6A0F">
        <w:rPr>
          <w:rFonts w:ascii="Baskerville" w:hAnsi="Baskerville"/>
          <w:lang w:val="en-US"/>
        </w:rPr>
        <w:t xml:space="preserve">Although, the Court </w:t>
      </w:r>
      <w:r w:rsidR="007F45DE" w:rsidRPr="007C6A0F">
        <w:rPr>
          <w:rFonts w:ascii="Baskerville" w:hAnsi="Baskerville"/>
          <w:lang w:val="en-US"/>
        </w:rPr>
        <w:t xml:space="preserve">did not discuss the prevention principle explicitly, for present purposes, the extension </w:t>
      </w:r>
      <w:r w:rsidR="00752B25" w:rsidRPr="007C6A0F">
        <w:rPr>
          <w:rFonts w:ascii="Baskerville" w:hAnsi="Baskerville"/>
          <w:lang w:val="en-US"/>
        </w:rPr>
        <w:t>of th</w:t>
      </w:r>
      <w:r w:rsidR="00C47CEC">
        <w:rPr>
          <w:rFonts w:ascii="Baskerville" w:hAnsi="Baskerville"/>
          <w:lang w:val="en-US"/>
        </w:rPr>
        <w:t>e EU Emissions Trading System (EU ETS</w:t>
      </w:r>
      <w:r w:rsidR="00752B25" w:rsidRPr="007C6A0F">
        <w:rPr>
          <w:rFonts w:ascii="Baskerville" w:hAnsi="Baskerville"/>
          <w:lang w:val="en-US"/>
        </w:rPr>
        <w:t xml:space="preserve">) could be construed as a measure to prevent environmental harm beyond national jurisdiction. </w:t>
      </w:r>
      <w:r w:rsidR="00D01A60">
        <w:rPr>
          <w:rFonts w:ascii="Baskerville" w:hAnsi="Baskerville"/>
          <w:lang w:val="en-US"/>
        </w:rPr>
        <w:t>However, this</w:t>
      </w:r>
      <w:r w:rsidR="00824C49" w:rsidRPr="007C6A0F">
        <w:rPr>
          <w:rFonts w:ascii="Baskerville" w:hAnsi="Baskerville"/>
          <w:lang w:val="en-US"/>
        </w:rPr>
        <w:t xml:space="preserve"> would not be entirely accurate</w:t>
      </w:r>
      <w:r w:rsidR="003F71C0">
        <w:rPr>
          <w:rFonts w:ascii="Baskerville" w:hAnsi="Baskerville"/>
          <w:lang w:val="en-US"/>
        </w:rPr>
        <w:t>,</w:t>
      </w:r>
      <w:r w:rsidR="00824C49" w:rsidRPr="007C6A0F">
        <w:rPr>
          <w:rFonts w:ascii="Baskerville" w:hAnsi="Baskerville"/>
          <w:lang w:val="en-US"/>
        </w:rPr>
        <w:t xml:space="preserve"> as emissions of carbon dioxide </w:t>
      </w:r>
      <w:r w:rsidR="006D465A" w:rsidRPr="007C6A0F">
        <w:rPr>
          <w:rFonts w:ascii="Baskerville" w:hAnsi="Baskerville"/>
          <w:lang w:val="en-US"/>
        </w:rPr>
        <w:t>have a global impact, irrespective of where they were produced.</w:t>
      </w:r>
      <w:r w:rsidR="00B00C9C">
        <w:rPr>
          <w:rStyle w:val="FootnoteReference"/>
          <w:rFonts w:ascii="Baskerville" w:hAnsi="Baskerville"/>
          <w:lang w:val="en-US"/>
        </w:rPr>
        <w:footnoteReference w:id="20"/>
      </w:r>
      <w:r w:rsidR="004463E9">
        <w:rPr>
          <w:rFonts w:ascii="Baskerville" w:hAnsi="Baskerville"/>
          <w:color w:val="FF0000"/>
          <w:lang w:val="en-US"/>
        </w:rPr>
        <w:t xml:space="preserve"> </w:t>
      </w:r>
      <w:r w:rsidR="006D465A" w:rsidRPr="007C6A0F">
        <w:rPr>
          <w:rFonts w:ascii="Baskerville" w:hAnsi="Baskerville"/>
          <w:lang w:val="en-US"/>
        </w:rPr>
        <w:t>Therefore, the harm is occurring not just beyond national jurisdiction but everywhere, by reason of the contribution of such emissions to climate change.</w:t>
      </w:r>
      <w:r w:rsidR="008E04C7" w:rsidRPr="007C6A0F">
        <w:rPr>
          <w:rStyle w:val="FootnoteReference"/>
          <w:rFonts w:ascii="Baskerville" w:hAnsi="Baskerville"/>
          <w:lang w:val="en-US"/>
        </w:rPr>
        <w:footnoteReference w:id="21"/>
      </w:r>
    </w:p>
    <w:p w14:paraId="1E64EE34" w14:textId="77777777" w:rsidR="002A4036" w:rsidRDefault="002A4036" w:rsidP="004F7AD1">
      <w:pPr>
        <w:rPr>
          <w:rFonts w:ascii="Baskerville" w:hAnsi="Baskerville"/>
          <w:lang w:val="en-US"/>
        </w:rPr>
      </w:pPr>
    </w:p>
    <w:p w14:paraId="2112F0FF" w14:textId="3563A0DA" w:rsidR="002A4036" w:rsidRPr="00C03B04" w:rsidRDefault="002A4036" w:rsidP="004F7AD1">
      <w:pPr>
        <w:rPr>
          <w:rFonts w:ascii="Baskerville" w:hAnsi="Baskerville"/>
          <w:lang w:val="en-US"/>
        </w:rPr>
      </w:pPr>
      <w:r w:rsidRPr="00C03B04">
        <w:rPr>
          <w:rFonts w:ascii="Baskerville" w:hAnsi="Baskerville"/>
          <w:lang w:val="en-US"/>
        </w:rPr>
        <w:t xml:space="preserve">The </w:t>
      </w:r>
      <w:r w:rsidR="00226810" w:rsidRPr="00C03B04">
        <w:rPr>
          <w:rFonts w:ascii="Baskerville" w:hAnsi="Baskerville"/>
          <w:lang w:val="en-US"/>
        </w:rPr>
        <w:t xml:space="preserve">customary prevention principle has </w:t>
      </w:r>
      <w:r w:rsidR="003513DE" w:rsidRPr="00C03B04">
        <w:rPr>
          <w:rFonts w:ascii="Baskerville" w:hAnsi="Baskerville"/>
          <w:lang w:val="en-US"/>
        </w:rPr>
        <w:t xml:space="preserve">also </w:t>
      </w:r>
      <w:r w:rsidR="00226810" w:rsidRPr="00C03B04">
        <w:rPr>
          <w:rFonts w:ascii="Baskerville" w:hAnsi="Baskerville"/>
          <w:lang w:val="en-US"/>
        </w:rPr>
        <w:t xml:space="preserve">been </w:t>
      </w:r>
      <w:r w:rsidR="003513DE" w:rsidRPr="00C03B04">
        <w:rPr>
          <w:rFonts w:ascii="Baskerville" w:hAnsi="Baskerville"/>
          <w:lang w:val="en-US"/>
        </w:rPr>
        <w:t>debated</w:t>
      </w:r>
      <w:r w:rsidR="00226810" w:rsidRPr="00C03B04">
        <w:rPr>
          <w:rFonts w:ascii="Baskerville" w:hAnsi="Baskerville"/>
          <w:lang w:val="en-US"/>
        </w:rPr>
        <w:t xml:space="preserve"> in some domestic courts concerning environmental harm. In the </w:t>
      </w:r>
      <w:r w:rsidR="00226810" w:rsidRPr="00C03B04">
        <w:rPr>
          <w:rFonts w:ascii="Baskerville" w:hAnsi="Baskerville"/>
          <w:i/>
          <w:lang w:val="en-US"/>
        </w:rPr>
        <w:t>Reinwater</w:t>
      </w:r>
      <w:r w:rsidR="00226810" w:rsidRPr="00C03B04">
        <w:rPr>
          <w:rFonts w:ascii="Baskerville" w:hAnsi="Baskerville"/>
          <w:lang w:val="en-US"/>
        </w:rPr>
        <w:t xml:space="preserve"> case, before Dutch courts, </w:t>
      </w:r>
      <w:r w:rsidR="00DD46D4" w:rsidRPr="00C03B04">
        <w:rPr>
          <w:rFonts w:ascii="Baskerville" w:hAnsi="Baskerville"/>
          <w:lang w:val="en-US"/>
        </w:rPr>
        <w:t xml:space="preserve">the principle </w:t>
      </w:r>
      <w:r w:rsidR="00DD46D4" w:rsidRPr="00C03B04">
        <w:rPr>
          <w:rFonts w:ascii="Baskerville" w:hAnsi="Baskerville"/>
          <w:i/>
          <w:lang w:val="en-US"/>
        </w:rPr>
        <w:t xml:space="preserve">sic utere tuo </w:t>
      </w:r>
      <w:r w:rsidR="00DD46D4" w:rsidRPr="00C03B04">
        <w:rPr>
          <w:rFonts w:ascii="Baskerville" w:hAnsi="Baskerville"/>
          <w:lang w:val="en-US"/>
        </w:rPr>
        <w:t>(no-harm)</w:t>
      </w:r>
      <w:r w:rsidR="00586936" w:rsidRPr="00C03B04">
        <w:rPr>
          <w:rFonts w:ascii="Baskerville" w:hAnsi="Baskerville"/>
          <w:lang w:val="en-US"/>
        </w:rPr>
        <w:t xml:space="preserve"> was recognised by a Rotterdam court of first instance as a</w:t>
      </w:r>
      <w:r w:rsidR="003513DE" w:rsidRPr="00C03B04">
        <w:rPr>
          <w:rFonts w:ascii="Baskerville" w:hAnsi="Baskerville"/>
          <w:lang w:val="en-US"/>
        </w:rPr>
        <w:t>n</w:t>
      </w:r>
      <w:r w:rsidR="00586936" w:rsidRPr="00C03B04">
        <w:rPr>
          <w:rFonts w:ascii="Baskerville" w:hAnsi="Baskerville"/>
          <w:lang w:val="en-US"/>
        </w:rPr>
        <w:t xml:space="preserve"> </w:t>
      </w:r>
      <w:r w:rsidR="003513DE" w:rsidRPr="00C03B04">
        <w:rPr>
          <w:rFonts w:ascii="Baskerville" w:hAnsi="Baskerville"/>
          <w:lang w:val="en-US"/>
        </w:rPr>
        <w:t>appropriate</w:t>
      </w:r>
      <w:r w:rsidR="00586936" w:rsidRPr="00C03B04">
        <w:rPr>
          <w:rFonts w:ascii="Baskerville" w:hAnsi="Baskerville"/>
          <w:lang w:val="en-US"/>
        </w:rPr>
        <w:t xml:space="preserve"> basis to hold the defendant, the mining company </w:t>
      </w:r>
      <w:r w:rsidR="003D3CE2" w:rsidRPr="00C03B04">
        <w:rPr>
          <w:rFonts w:ascii="Baskerville" w:hAnsi="Baskerville"/>
          <w:lang w:val="en-US"/>
        </w:rPr>
        <w:t xml:space="preserve">Mines de Potasse </w:t>
      </w:r>
      <w:r w:rsidR="00A25A4C" w:rsidRPr="00C03B04">
        <w:rPr>
          <w:rFonts w:ascii="Baskerville" w:hAnsi="Baskerville"/>
          <w:lang w:val="en-US"/>
        </w:rPr>
        <w:t>d’Alsace</w:t>
      </w:r>
      <w:r w:rsidR="003D3CE2" w:rsidRPr="00C03B04">
        <w:rPr>
          <w:rFonts w:ascii="Baskerville" w:hAnsi="Baskerville"/>
          <w:lang w:val="en-US"/>
        </w:rPr>
        <w:t xml:space="preserve">, liable for having discharged saline waste into the </w:t>
      </w:r>
      <w:r w:rsidR="00EE2BE2">
        <w:rPr>
          <w:rFonts w:ascii="Baskerville" w:hAnsi="Baskerville"/>
          <w:lang w:val="en-US"/>
        </w:rPr>
        <w:t xml:space="preserve">river </w:t>
      </w:r>
      <w:r w:rsidR="003D3CE2" w:rsidRPr="00C03B04">
        <w:rPr>
          <w:rFonts w:ascii="Baskerville" w:hAnsi="Baskerville"/>
          <w:lang w:val="en-US"/>
        </w:rPr>
        <w:t>Rhine.</w:t>
      </w:r>
      <w:r w:rsidR="003D3CE2" w:rsidRPr="00C03B04">
        <w:rPr>
          <w:rStyle w:val="FootnoteReference"/>
          <w:rFonts w:ascii="Baskerville" w:hAnsi="Baskerville"/>
          <w:lang w:val="en-US"/>
        </w:rPr>
        <w:footnoteReference w:id="22"/>
      </w:r>
      <w:r w:rsidR="00CD01BE" w:rsidRPr="00C03B04">
        <w:rPr>
          <w:rFonts w:ascii="Baskerville" w:hAnsi="Baskerville"/>
          <w:lang w:val="en-US"/>
        </w:rPr>
        <w:t xml:space="preserve"> Although the finding was reversed by the Appeals Court of the Hague, on the grounds that the principle cannot be applied in the relations </w:t>
      </w:r>
      <w:r w:rsidR="00E1133E" w:rsidRPr="00C03B04">
        <w:rPr>
          <w:rFonts w:ascii="Baskerville" w:hAnsi="Baskerville"/>
          <w:lang w:val="en-US"/>
        </w:rPr>
        <w:t>between private parties,</w:t>
      </w:r>
      <w:r w:rsidR="00E1133E" w:rsidRPr="00C03B04">
        <w:rPr>
          <w:rStyle w:val="FootnoteReference"/>
          <w:rFonts w:ascii="Baskerville" w:hAnsi="Baskerville"/>
          <w:lang w:val="en-US"/>
        </w:rPr>
        <w:footnoteReference w:id="23"/>
      </w:r>
      <w:r w:rsidR="00E1133E" w:rsidRPr="00C03B04">
        <w:rPr>
          <w:rFonts w:ascii="Baskerville" w:hAnsi="Baskerville"/>
          <w:lang w:val="en-US"/>
        </w:rPr>
        <w:t xml:space="preserve"> </w:t>
      </w:r>
      <w:r w:rsidR="00AC5B70" w:rsidRPr="00C03B04">
        <w:rPr>
          <w:rFonts w:ascii="Baskerville" w:hAnsi="Baskerville"/>
          <w:lang w:val="en-US"/>
        </w:rPr>
        <w:t xml:space="preserve">the case provides an early illustration of the jurisprudential relevance of the customary prevention principle. </w:t>
      </w:r>
    </w:p>
    <w:p w14:paraId="6D60B2B5" w14:textId="77777777" w:rsidR="00E40508" w:rsidRPr="00E40508" w:rsidRDefault="00E40508" w:rsidP="00D6680E">
      <w:pPr>
        <w:rPr>
          <w:rFonts w:ascii="Baskerville" w:hAnsi="Baskerville"/>
          <w:lang w:val="en-US"/>
        </w:rPr>
      </w:pPr>
    </w:p>
    <w:p w14:paraId="6374B68E" w14:textId="63BB4667" w:rsidR="005802FA" w:rsidRPr="009151F4" w:rsidRDefault="00F904AA" w:rsidP="00D6680E">
      <w:pPr>
        <w:rPr>
          <w:rFonts w:ascii="Baskerville" w:hAnsi="Baskerville"/>
          <w:b/>
          <w:u w:val="single"/>
        </w:rPr>
      </w:pPr>
      <w:r w:rsidRPr="009151F4">
        <w:rPr>
          <w:rFonts w:ascii="Baskerville" w:hAnsi="Baskerville"/>
          <w:b/>
          <w:u w:val="single"/>
        </w:rPr>
        <w:t xml:space="preserve">Environmental Principles in </w:t>
      </w:r>
      <w:r w:rsidR="00552175">
        <w:rPr>
          <w:rFonts w:ascii="Baskerville" w:hAnsi="Baskerville"/>
          <w:b/>
          <w:u w:val="single"/>
        </w:rPr>
        <w:t>the national law of EU Member States</w:t>
      </w:r>
    </w:p>
    <w:p w14:paraId="348394C3" w14:textId="78E544AA" w:rsidR="002B3337" w:rsidRPr="000222C7" w:rsidRDefault="00A061F2" w:rsidP="00D6680E">
      <w:pPr>
        <w:rPr>
          <w:rFonts w:ascii="Baskerville" w:hAnsi="Baskerville"/>
          <w:color w:val="FF0000"/>
        </w:rPr>
      </w:pPr>
      <w:r w:rsidRPr="00B02398">
        <w:rPr>
          <w:rFonts w:ascii="Baskerville" w:hAnsi="Baskerville"/>
        </w:rPr>
        <w:t>Aside from</w:t>
      </w:r>
      <w:r w:rsidR="002B3337" w:rsidRPr="00B02398">
        <w:rPr>
          <w:rFonts w:ascii="Baskerville" w:hAnsi="Baskerville"/>
        </w:rPr>
        <w:t xml:space="preserve"> the effects of EU law on UK law, there is </w:t>
      </w:r>
      <w:r w:rsidRPr="00B02398">
        <w:rPr>
          <w:rFonts w:ascii="Baskerville" w:hAnsi="Baskerville"/>
        </w:rPr>
        <w:t xml:space="preserve">a </w:t>
      </w:r>
      <w:r w:rsidR="002B3337" w:rsidRPr="00B02398">
        <w:rPr>
          <w:rFonts w:ascii="Baskerville" w:hAnsi="Baskerville"/>
        </w:rPr>
        <w:t xml:space="preserve">minimal legal role </w:t>
      </w:r>
      <w:r w:rsidR="001A5103">
        <w:rPr>
          <w:rFonts w:ascii="Baskerville" w:hAnsi="Baskerville"/>
        </w:rPr>
        <w:t>for</w:t>
      </w:r>
      <w:r w:rsidR="002B3337" w:rsidRPr="00B02398">
        <w:rPr>
          <w:rFonts w:ascii="Baskerville" w:hAnsi="Baskerville"/>
        </w:rPr>
        <w:t xml:space="preserve"> </w:t>
      </w:r>
      <w:r w:rsidRPr="00B02398">
        <w:rPr>
          <w:rFonts w:ascii="Baskerville" w:hAnsi="Baskerville"/>
        </w:rPr>
        <w:t xml:space="preserve">environmental </w:t>
      </w:r>
      <w:r w:rsidR="002B3337" w:rsidRPr="00B02398">
        <w:rPr>
          <w:rFonts w:ascii="Baskerville" w:hAnsi="Baskerville"/>
        </w:rPr>
        <w:t>principles in UK law.</w:t>
      </w:r>
      <w:r w:rsidRPr="00B02398">
        <w:rPr>
          <w:rFonts w:ascii="Baskerville" w:hAnsi="Baskerville"/>
        </w:rPr>
        <w:t xml:space="preserve"> </w:t>
      </w:r>
      <w:r w:rsidR="00DD10D1" w:rsidRPr="00B02398">
        <w:rPr>
          <w:rFonts w:ascii="Baskerville" w:hAnsi="Baskerville"/>
          <w:lang w:val="en-US"/>
        </w:rPr>
        <w:t>Yet, t</w:t>
      </w:r>
      <w:r w:rsidR="001A540D" w:rsidRPr="00B02398">
        <w:rPr>
          <w:rFonts w:ascii="Baskerville" w:hAnsi="Baskerville"/>
          <w:lang w:val="en-US"/>
        </w:rPr>
        <w:t xml:space="preserve">he failure of </w:t>
      </w:r>
      <w:r w:rsidR="003A5F11">
        <w:rPr>
          <w:rFonts w:ascii="Baskerville" w:hAnsi="Baskerville"/>
          <w:lang w:val="en-US"/>
        </w:rPr>
        <w:t>Member States</w:t>
      </w:r>
      <w:r w:rsidR="001A540D" w:rsidRPr="00B02398">
        <w:rPr>
          <w:rFonts w:ascii="Baskerville" w:hAnsi="Baskerville"/>
          <w:lang w:val="en-US"/>
        </w:rPr>
        <w:t xml:space="preserve"> to </w:t>
      </w:r>
      <w:r w:rsidR="002512A1" w:rsidRPr="00B02398">
        <w:rPr>
          <w:rFonts w:ascii="Baskerville" w:hAnsi="Baskerville"/>
          <w:lang w:val="en-US"/>
        </w:rPr>
        <w:t>obey</w:t>
      </w:r>
      <w:r w:rsidR="001A540D" w:rsidRPr="00B02398">
        <w:rPr>
          <w:rFonts w:ascii="Baskerville" w:hAnsi="Baskerville"/>
          <w:lang w:val="en-US"/>
        </w:rPr>
        <w:t xml:space="preserve"> environmental regulations laid down by EU law has previously led to </w:t>
      </w:r>
      <w:r w:rsidR="00420BC6" w:rsidRPr="00B02398">
        <w:rPr>
          <w:rFonts w:ascii="Baskerville" w:hAnsi="Baskerville"/>
          <w:lang w:val="en-US"/>
        </w:rPr>
        <w:t xml:space="preserve">international </w:t>
      </w:r>
      <w:r w:rsidR="001A540D" w:rsidRPr="00B02398">
        <w:rPr>
          <w:rFonts w:ascii="Baskerville" w:hAnsi="Baskerville"/>
          <w:lang w:val="en-US"/>
        </w:rPr>
        <w:t>disputes</w:t>
      </w:r>
      <w:r w:rsidR="00420BC6" w:rsidRPr="00B02398">
        <w:rPr>
          <w:rFonts w:ascii="Baskerville" w:hAnsi="Baskerville"/>
          <w:lang w:val="en-US"/>
        </w:rPr>
        <w:t>.</w:t>
      </w:r>
      <w:r w:rsidR="00E06A8D">
        <w:rPr>
          <w:rStyle w:val="FootnoteReference"/>
          <w:rFonts w:ascii="Baskerville" w:hAnsi="Baskerville"/>
          <w:lang w:val="en-US"/>
        </w:rPr>
        <w:footnoteReference w:id="24"/>
      </w:r>
      <w:r w:rsidR="00420BC6" w:rsidRPr="00B02398">
        <w:rPr>
          <w:rFonts w:ascii="Baskerville" w:hAnsi="Baskerville"/>
          <w:lang w:val="en-US"/>
        </w:rPr>
        <w:t xml:space="preserve"> </w:t>
      </w:r>
      <w:r w:rsidR="00420BC6" w:rsidRPr="00B02398">
        <w:rPr>
          <w:rFonts w:ascii="Baskerville" w:hAnsi="Baskerville"/>
        </w:rPr>
        <w:t>Such disputes include circumstances where there was a f</w:t>
      </w:r>
      <w:r w:rsidR="002B3337" w:rsidRPr="00B02398">
        <w:rPr>
          <w:rFonts w:ascii="Baskerville" w:hAnsi="Baskerville"/>
        </w:rPr>
        <w:t>ailure to take principles into account as a material consideration in decision-mak</w:t>
      </w:r>
      <w:r w:rsidR="00420BC6" w:rsidRPr="00B02398">
        <w:rPr>
          <w:rFonts w:ascii="Baskerville" w:hAnsi="Baskerville"/>
        </w:rPr>
        <w:t>ing</w:t>
      </w:r>
      <w:r w:rsidR="0057769F">
        <w:rPr>
          <w:rStyle w:val="FootnoteReference"/>
          <w:rFonts w:ascii="Baskerville" w:hAnsi="Baskerville"/>
        </w:rPr>
        <w:footnoteReference w:id="25"/>
      </w:r>
      <w:r w:rsidR="00CE6D49">
        <w:rPr>
          <w:rFonts w:ascii="Baskerville" w:hAnsi="Baskerville"/>
        </w:rPr>
        <w:t xml:space="preserve"> </w:t>
      </w:r>
      <w:r w:rsidR="00400AFC">
        <w:rPr>
          <w:rFonts w:ascii="Baskerville" w:hAnsi="Baskerville"/>
        </w:rPr>
        <w:t xml:space="preserve">or where the </w:t>
      </w:r>
      <w:r w:rsidR="00420BC6" w:rsidRPr="00B02398">
        <w:rPr>
          <w:rFonts w:ascii="Baskerville" w:hAnsi="Baskerville"/>
        </w:rPr>
        <w:t>p</w:t>
      </w:r>
      <w:r w:rsidR="002B3337" w:rsidRPr="00B02398">
        <w:rPr>
          <w:rFonts w:ascii="Baskerville" w:hAnsi="Baskerville"/>
        </w:rPr>
        <w:t xml:space="preserve">rinciples </w:t>
      </w:r>
      <w:r w:rsidR="00D6680E" w:rsidRPr="00B02398">
        <w:rPr>
          <w:rFonts w:ascii="Baskerville" w:hAnsi="Baskerville"/>
        </w:rPr>
        <w:t xml:space="preserve">were used </w:t>
      </w:r>
      <w:r w:rsidR="002B3337" w:rsidRPr="00B02398">
        <w:rPr>
          <w:rFonts w:ascii="Baskerville" w:hAnsi="Baskerville"/>
        </w:rPr>
        <w:t>as aids to construe contested provisions</w:t>
      </w:r>
      <w:r w:rsidR="00400AFC">
        <w:rPr>
          <w:rFonts w:ascii="Baskerville" w:hAnsi="Baskerville"/>
        </w:rPr>
        <w:t>.</w:t>
      </w:r>
      <w:r w:rsidR="00097DF8">
        <w:rPr>
          <w:rStyle w:val="FootnoteReference"/>
          <w:rFonts w:ascii="Baskerville" w:hAnsi="Baskerville"/>
        </w:rPr>
        <w:footnoteReference w:id="26"/>
      </w:r>
      <w:r w:rsidR="00400AFC">
        <w:rPr>
          <w:rFonts w:ascii="Baskerville" w:hAnsi="Baskerville"/>
        </w:rPr>
        <w:t xml:space="preserve"> There also exist instances where </w:t>
      </w:r>
      <w:r w:rsidR="00D6680E" w:rsidRPr="00B02398">
        <w:rPr>
          <w:rFonts w:ascii="Baskerville" w:hAnsi="Baskerville"/>
        </w:rPr>
        <w:t xml:space="preserve">the </w:t>
      </w:r>
      <w:r w:rsidR="002B3337" w:rsidRPr="00B02398">
        <w:rPr>
          <w:rFonts w:ascii="Baskerville" w:hAnsi="Baskerville"/>
        </w:rPr>
        <w:t xml:space="preserve">precautionary principle </w:t>
      </w:r>
      <w:r w:rsidR="00D6680E" w:rsidRPr="00B02398">
        <w:rPr>
          <w:rFonts w:ascii="Baskerville" w:hAnsi="Baskerville"/>
        </w:rPr>
        <w:t>had</w:t>
      </w:r>
      <w:r w:rsidR="002B3337" w:rsidRPr="00B02398">
        <w:rPr>
          <w:rFonts w:ascii="Baskerville" w:hAnsi="Baskerville"/>
        </w:rPr>
        <w:t xml:space="preserve"> no legal force and </w:t>
      </w:r>
      <w:r w:rsidR="00D6680E" w:rsidRPr="00B02398">
        <w:rPr>
          <w:rFonts w:ascii="Baskerville" w:hAnsi="Baskerville"/>
        </w:rPr>
        <w:t xml:space="preserve">was </w:t>
      </w:r>
      <w:r w:rsidR="002B3337" w:rsidRPr="00B02398">
        <w:rPr>
          <w:rFonts w:ascii="Baskerville" w:hAnsi="Baskerville"/>
        </w:rPr>
        <w:t>viewed as a policy objective</w:t>
      </w:r>
      <w:r w:rsidR="00D6680E" w:rsidRPr="00B02398">
        <w:rPr>
          <w:rFonts w:ascii="Baskerville" w:hAnsi="Baskerville"/>
        </w:rPr>
        <w:t>,</w:t>
      </w:r>
      <w:r w:rsidR="00400C7D" w:rsidRPr="00B02398">
        <w:rPr>
          <w:rStyle w:val="FootnoteReference"/>
          <w:rFonts w:ascii="Baskerville" w:hAnsi="Baskerville"/>
        </w:rPr>
        <w:footnoteReference w:id="27"/>
      </w:r>
      <w:r w:rsidR="00D6680E" w:rsidRPr="00B02398">
        <w:rPr>
          <w:rFonts w:ascii="Baskerville" w:hAnsi="Baskerville"/>
        </w:rPr>
        <w:t xml:space="preserve"> or the where the </w:t>
      </w:r>
      <w:r w:rsidR="00050E24">
        <w:rPr>
          <w:rFonts w:ascii="Baskerville" w:hAnsi="Baskerville"/>
        </w:rPr>
        <w:t xml:space="preserve">UK </w:t>
      </w:r>
      <w:r w:rsidR="00D6680E" w:rsidRPr="00B02398">
        <w:rPr>
          <w:rFonts w:ascii="Baskerville" w:hAnsi="Baskerville"/>
        </w:rPr>
        <w:t>House of Lords rejected the argument advanced by E</w:t>
      </w:r>
      <w:r w:rsidR="00A03D79" w:rsidRPr="00B02398">
        <w:rPr>
          <w:rFonts w:ascii="Baskerville" w:hAnsi="Baskerville"/>
        </w:rPr>
        <w:t xml:space="preserve">nvironment </w:t>
      </w:r>
      <w:r w:rsidR="00D6680E" w:rsidRPr="00B02398">
        <w:rPr>
          <w:rFonts w:ascii="Baskerville" w:hAnsi="Baskerville"/>
        </w:rPr>
        <w:t>A</w:t>
      </w:r>
      <w:r w:rsidR="00A03D79" w:rsidRPr="00B02398">
        <w:rPr>
          <w:rFonts w:ascii="Baskerville" w:hAnsi="Baskerville"/>
        </w:rPr>
        <w:t>gency (EA)</w:t>
      </w:r>
      <w:r w:rsidR="00D6680E" w:rsidRPr="00B02398">
        <w:rPr>
          <w:rFonts w:ascii="Baskerville" w:hAnsi="Baskerville"/>
        </w:rPr>
        <w:t xml:space="preserve"> that Part IIA of the E</w:t>
      </w:r>
      <w:r w:rsidR="00935F37" w:rsidRPr="00B02398">
        <w:rPr>
          <w:rFonts w:ascii="Baskerville" w:hAnsi="Baskerville"/>
        </w:rPr>
        <w:t xml:space="preserve">nvironmental </w:t>
      </w:r>
      <w:r w:rsidR="00D6680E" w:rsidRPr="00B02398">
        <w:rPr>
          <w:rFonts w:ascii="Baskerville" w:hAnsi="Baskerville"/>
        </w:rPr>
        <w:t>P</w:t>
      </w:r>
      <w:r w:rsidR="00935F37" w:rsidRPr="00B02398">
        <w:rPr>
          <w:rFonts w:ascii="Baskerville" w:hAnsi="Baskerville"/>
        </w:rPr>
        <w:t xml:space="preserve">rotection </w:t>
      </w:r>
      <w:r w:rsidR="00D6680E" w:rsidRPr="00B02398">
        <w:rPr>
          <w:rFonts w:ascii="Baskerville" w:hAnsi="Baskerville"/>
        </w:rPr>
        <w:t>A</w:t>
      </w:r>
      <w:r w:rsidR="00935F37" w:rsidRPr="00B02398">
        <w:rPr>
          <w:rFonts w:ascii="Baskerville" w:hAnsi="Baskerville"/>
        </w:rPr>
        <w:t>ct</w:t>
      </w:r>
      <w:r w:rsidR="00A03D79" w:rsidRPr="00B02398">
        <w:rPr>
          <w:rFonts w:ascii="Baskerville" w:hAnsi="Baskerville"/>
        </w:rPr>
        <w:t xml:space="preserve"> (EPA)</w:t>
      </w:r>
      <w:r w:rsidR="00D6680E" w:rsidRPr="00B02398">
        <w:rPr>
          <w:rFonts w:ascii="Baskerville" w:hAnsi="Baskerville"/>
        </w:rPr>
        <w:t xml:space="preserve"> 1990 should be interpreted on the basis of the Polluter Pays Principle.</w:t>
      </w:r>
      <w:r w:rsidR="00400C7D" w:rsidRPr="00B02398">
        <w:rPr>
          <w:rStyle w:val="FootnoteReference"/>
          <w:rFonts w:ascii="Baskerville" w:hAnsi="Baskerville"/>
        </w:rPr>
        <w:footnoteReference w:id="28"/>
      </w:r>
      <w:r w:rsidR="000222C7">
        <w:rPr>
          <w:rFonts w:ascii="Baskerville" w:hAnsi="Baskerville"/>
        </w:rPr>
        <w:t xml:space="preserve"> </w:t>
      </w:r>
    </w:p>
    <w:p w14:paraId="4D420F1D" w14:textId="77777777" w:rsidR="00D22990" w:rsidRDefault="00D22990" w:rsidP="002E004D">
      <w:pPr>
        <w:rPr>
          <w:rFonts w:ascii="Baskerville" w:hAnsi="Baskerville"/>
        </w:rPr>
      </w:pPr>
    </w:p>
    <w:p w14:paraId="7A38D157" w14:textId="260AA8A5" w:rsidR="002E004D" w:rsidRDefault="00E804A7" w:rsidP="002E004D">
      <w:pPr>
        <w:rPr>
          <w:rFonts w:ascii="Baskerville" w:hAnsi="Baskerville"/>
        </w:rPr>
      </w:pPr>
      <w:r>
        <w:rPr>
          <w:rFonts w:ascii="Baskerville" w:hAnsi="Baskerville"/>
        </w:rPr>
        <w:t>Since 1992, e</w:t>
      </w:r>
      <w:r w:rsidR="00E4362C">
        <w:rPr>
          <w:rFonts w:ascii="Baskerville" w:hAnsi="Baskerville"/>
        </w:rPr>
        <w:t>nvironmental</w:t>
      </w:r>
      <w:r w:rsidR="00BC4728" w:rsidRPr="00BC4728">
        <w:rPr>
          <w:rFonts w:ascii="Baskerville" w:hAnsi="Baskerville"/>
        </w:rPr>
        <w:t xml:space="preserve"> </w:t>
      </w:r>
      <w:r w:rsidR="00B850C8">
        <w:rPr>
          <w:rFonts w:ascii="Baskerville" w:hAnsi="Baskerville"/>
        </w:rPr>
        <w:t>principles</w:t>
      </w:r>
      <w:r w:rsidR="00BC4728" w:rsidRPr="00BC4728">
        <w:rPr>
          <w:rFonts w:ascii="Baskerville" w:hAnsi="Baskerville"/>
        </w:rPr>
        <w:t xml:space="preserve"> have been addressed by a </w:t>
      </w:r>
      <w:r w:rsidR="008F150F" w:rsidRPr="00BC4728">
        <w:rPr>
          <w:rFonts w:ascii="Baskerville" w:hAnsi="Baskerville"/>
        </w:rPr>
        <w:t>rising</w:t>
      </w:r>
      <w:r w:rsidR="00BC4728" w:rsidRPr="00BC4728">
        <w:rPr>
          <w:rFonts w:ascii="Baskerville" w:hAnsi="Baskerville"/>
        </w:rPr>
        <w:t xml:space="preserve"> number of international courts and tribunals, adding to the jurisprudence of the historically significant arbitral awards in the </w:t>
      </w:r>
      <w:r w:rsidR="00BC4728" w:rsidRPr="00520373">
        <w:rPr>
          <w:rFonts w:ascii="Baskerville" w:hAnsi="Baskerville"/>
          <w:i/>
        </w:rPr>
        <w:t>Bering Fur Seals</w:t>
      </w:r>
      <w:r w:rsidR="00BC4728" w:rsidRPr="00BC4728">
        <w:rPr>
          <w:rFonts w:ascii="Baskerville" w:hAnsi="Baskerville"/>
        </w:rPr>
        <w:t xml:space="preserve"> case (1893), the </w:t>
      </w:r>
      <w:r w:rsidR="00BC4728" w:rsidRPr="00520373">
        <w:rPr>
          <w:rFonts w:ascii="Baskerville" w:hAnsi="Baskerville"/>
          <w:i/>
        </w:rPr>
        <w:t>Trail Smelter</w:t>
      </w:r>
      <w:r w:rsidR="00BC4728" w:rsidRPr="00BC4728">
        <w:rPr>
          <w:rFonts w:ascii="Baskerville" w:hAnsi="Baskerville"/>
        </w:rPr>
        <w:t xml:space="preserve"> case (1941) and the </w:t>
      </w:r>
      <w:r w:rsidR="00BC4728" w:rsidRPr="00520373">
        <w:rPr>
          <w:rFonts w:ascii="Baskerville" w:hAnsi="Baskerville"/>
          <w:i/>
        </w:rPr>
        <w:t>Lac Lanoux</w:t>
      </w:r>
      <w:r w:rsidR="00BC4728" w:rsidRPr="00BC4728">
        <w:rPr>
          <w:rFonts w:ascii="Baskerville" w:hAnsi="Baskerville"/>
        </w:rPr>
        <w:t xml:space="preserve"> case (1957). </w:t>
      </w:r>
      <w:r w:rsidR="00205B4E">
        <w:rPr>
          <w:rFonts w:ascii="Baskerville" w:hAnsi="Baskerville"/>
        </w:rPr>
        <w:t>The</w:t>
      </w:r>
      <w:r w:rsidR="00BC7AB4">
        <w:rPr>
          <w:rFonts w:ascii="Baskerville" w:hAnsi="Baskerville"/>
        </w:rPr>
        <w:t xml:space="preserve"> recent decisions have played a</w:t>
      </w:r>
      <w:r w:rsidR="00BC4728" w:rsidRPr="00BC4728">
        <w:rPr>
          <w:rFonts w:ascii="Baskerville" w:hAnsi="Baskerville"/>
        </w:rPr>
        <w:t xml:space="preserve"> </w:t>
      </w:r>
      <w:r w:rsidR="00BC7AB4" w:rsidRPr="00BC4728">
        <w:rPr>
          <w:rFonts w:ascii="Baskerville" w:hAnsi="Baskerville"/>
        </w:rPr>
        <w:t>significant</w:t>
      </w:r>
      <w:r w:rsidR="00BC4728" w:rsidRPr="00BC4728">
        <w:rPr>
          <w:rFonts w:ascii="Baskerville" w:hAnsi="Baskerville"/>
        </w:rPr>
        <w:t xml:space="preserve"> role in </w:t>
      </w:r>
      <w:r w:rsidR="00BC7AB4" w:rsidRPr="00BC4728">
        <w:rPr>
          <w:rFonts w:ascii="Baskerville" w:hAnsi="Baskerville"/>
        </w:rPr>
        <w:t>boosting</w:t>
      </w:r>
      <w:r w:rsidR="00BC4728" w:rsidRPr="00BC4728">
        <w:rPr>
          <w:rFonts w:ascii="Baskerville" w:hAnsi="Baskerville"/>
        </w:rPr>
        <w:t xml:space="preserve"> the legitimacy of international environmental concerns and </w:t>
      </w:r>
      <w:r w:rsidR="00BC7AB4">
        <w:rPr>
          <w:rFonts w:ascii="Baskerville" w:hAnsi="Baskerville"/>
        </w:rPr>
        <w:t>proving</w:t>
      </w:r>
      <w:r w:rsidR="00BC4728" w:rsidRPr="00BC4728">
        <w:rPr>
          <w:rFonts w:ascii="Baskerville" w:hAnsi="Baskerville"/>
        </w:rPr>
        <w:t xml:space="preserve"> that global rules can play a </w:t>
      </w:r>
      <w:r w:rsidR="00BC7AB4">
        <w:rPr>
          <w:rFonts w:ascii="Baskerville" w:hAnsi="Baskerville"/>
        </w:rPr>
        <w:t>substantial</w:t>
      </w:r>
      <w:r w:rsidR="00BC4728" w:rsidRPr="00BC4728">
        <w:rPr>
          <w:rFonts w:ascii="Baskerville" w:hAnsi="Baskerville"/>
        </w:rPr>
        <w:t xml:space="preserve"> role in contributing to the protection of shared environmental resources. </w:t>
      </w:r>
      <w:r w:rsidR="00BC4728" w:rsidRPr="00695858">
        <w:rPr>
          <w:rFonts w:ascii="Baskerville" w:hAnsi="Baskerville"/>
        </w:rPr>
        <w:t xml:space="preserve">International courts and tribunals have also </w:t>
      </w:r>
      <w:r w:rsidR="001121B5" w:rsidRPr="00695858">
        <w:rPr>
          <w:rFonts w:ascii="Baskerville" w:hAnsi="Baskerville"/>
        </w:rPr>
        <w:t>attempted</w:t>
      </w:r>
      <w:r w:rsidR="00BC4728" w:rsidRPr="00695858">
        <w:rPr>
          <w:rFonts w:ascii="Baskerville" w:hAnsi="Baskerville"/>
        </w:rPr>
        <w:t xml:space="preserve"> to </w:t>
      </w:r>
      <w:r w:rsidR="001121B5" w:rsidRPr="00695858">
        <w:rPr>
          <w:rFonts w:ascii="Baskerville" w:hAnsi="Baskerville"/>
        </w:rPr>
        <w:t>explain</w:t>
      </w:r>
      <w:r w:rsidR="00BC4728" w:rsidRPr="00695858">
        <w:rPr>
          <w:rFonts w:ascii="Baskerville" w:hAnsi="Baskerville"/>
        </w:rPr>
        <w:t xml:space="preserve"> the meaning and effect of </w:t>
      </w:r>
      <w:r w:rsidR="009952C1" w:rsidRPr="00695858">
        <w:rPr>
          <w:rFonts w:ascii="Baskerville" w:hAnsi="Baskerville"/>
        </w:rPr>
        <w:t>environmental principles</w:t>
      </w:r>
      <w:r w:rsidR="00BC4728" w:rsidRPr="00695858">
        <w:rPr>
          <w:rFonts w:ascii="Baskerville" w:hAnsi="Baskerville"/>
        </w:rPr>
        <w:t xml:space="preserve">, to </w:t>
      </w:r>
      <w:r w:rsidR="001121B5" w:rsidRPr="00695858">
        <w:rPr>
          <w:rFonts w:ascii="Baskerville" w:hAnsi="Baskerville"/>
        </w:rPr>
        <w:t>recognise</w:t>
      </w:r>
      <w:r w:rsidR="00BC4728" w:rsidRPr="00695858">
        <w:rPr>
          <w:rFonts w:ascii="Baskerville" w:hAnsi="Baskerville"/>
        </w:rPr>
        <w:t xml:space="preserve"> the</w:t>
      </w:r>
      <w:r w:rsidR="009952C1" w:rsidRPr="00695858">
        <w:rPr>
          <w:rFonts w:ascii="Baskerville" w:hAnsi="Baskerville"/>
        </w:rPr>
        <w:t>ir</w:t>
      </w:r>
      <w:r w:rsidR="00BC4728" w:rsidRPr="00695858">
        <w:rPr>
          <w:rFonts w:ascii="Baskerville" w:hAnsi="Baskerville"/>
        </w:rPr>
        <w:t xml:space="preserve"> existence, and to </w:t>
      </w:r>
      <w:r w:rsidR="001121B5" w:rsidRPr="00695858">
        <w:rPr>
          <w:rFonts w:ascii="Baskerville" w:hAnsi="Baskerville"/>
        </w:rPr>
        <w:t>determine</w:t>
      </w:r>
      <w:r w:rsidR="00BC4728" w:rsidRPr="00695858">
        <w:rPr>
          <w:rFonts w:ascii="Baskerville" w:hAnsi="Baskerville"/>
        </w:rPr>
        <w:t xml:space="preserve"> a more central role for environmental </w:t>
      </w:r>
      <w:r w:rsidR="001121B5" w:rsidRPr="00695858">
        <w:rPr>
          <w:rFonts w:ascii="Baskerville" w:hAnsi="Baskerville"/>
        </w:rPr>
        <w:t>concerns</w:t>
      </w:r>
      <w:r w:rsidR="00BC4728" w:rsidRPr="00695858">
        <w:rPr>
          <w:rFonts w:ascii="Baskerville" w:hAnsi="Baskerville"/>
        </w:rPr>
        <w:t xml:space="preserve"> in the international legal order</w:t>
      </w:r>
      <w:r w:rsidR="009952C1" w:rsidRPr="00695858">
        <w:rPr>
          <w:rFonts w:ascii="Baskerville" w:hAnsi="Baskerville"/>
        </w:rPr>
        <w:t>, with mixed results</w:t>
      </w:r>
      <w:r w:rsidR="00BC4728" w:rsidRPr="00695858">
        <w:rPr>
          <w:rFonts w:ascii="Baskerville" w:hAnsi="Baskerville"/>
        </w:rPr>
        <w:t>.</w:t>
      </w:r>
      <w:r w:rsidR="009A6C46" w:rsidRPr="00695858">
        <w:rPr>
          <w:rStyle w:val="FootnoteReference"/>
          <w:rFonts w:ascii="Baskerville" w:hAnsi="Baskerville"/>
        </w:rPr>
        <w:footnoteReference w:id="29"/>
      </w:r>
      <w:r w:rsidR="00BC4728" w:rsidRPr="00BC4728">
        <w:rPr>
          <w:rFonts w:ascii="Baskerville" w:hAnsi="Baskerville"/>
        </w:rPr>
        <w:t xml:space="preserve"> </w:t>
      </w:r>
    </w:p>
    <w:p w14:paraId="2F93EB21" w14:textId="77777777" w:rsidR="00B946BB" w:rsidRDefault="00B946BB" w:rsidP="002E004D">
      <w:pPr>
        <w:rPr>
          <w:rFonts w:ascii="Baskerville" w:hAnsi="Baskerville"/>
        </w:rPr>
      </w:pPr>
    </w:p>
    <w:p w14:paraId="145B6AE7" w14:textId="7356E0E3" w:rsidR="005802FA" w:rsidRPr="009151F4" w:rsidRDefault="009435FA" w:rsidP="009435FA">
      <w:pPr>
        <w:rPr>
          <w:rFonts w:ascii="Baskerville" w:hAnsi="Baskerville"/>
          <w:b/>
          <w:u w:val="single"/>
        </w:rPr>
      </w:pPr>
      <w:r w:rsidRPr="009151F4">
        <w:rPr>
          <w:rFonts w:ascii="Baskerville" w:hAnsi="Baskerville"/>
          <w:b/>
          <w:u w:val="single"/>
        </w:rPr>
        <w:t>Conclusion</w:t>
      </w:r>
    </w:p>
    <w:p w14:paraId="0BB61A81" w14:textId="2C8B6409" w:rsidR="00592E04" w:rsidRPr="00425460" w:rsidRDefault="009435FA" w:rsidP="002E004D">
      <w:pPr>
        <w:rPr>
          <w:rFonts w:ascii="Baskerville" w:hAnsi="Baskerville"/>
        </w:rPr>
      </w:pPr>
      <w:r>
        <w:rPr>
          <w:rFonts w:ascii="Baskerville" w:hAnsi="Baskerville"/>
        </w:rPr>
        <w:t xml:space="preserve">Despite the </w:t>
      </w:r>
      <w:r w:rsidR="00DC4588">
        <w:rPr>
          <w:rFonts w:ascii="Baskerville" w:hAnsi="Baskerville"/>
        </w:rPr>
        <w:t xml:space="preserve">current </w:t>
      </w:r>
      <w:r w:rsidR="00C9427E">
        <w:rPr>
          <w:rFonts w:ascii="Baskerville" w:hAnsi="Baskerville"/>
        </w:rPr>
        <w:t>drive</w:t>
      </w:r>
      <w:r>
        <w:rPr>
          <w:rFonts w:ascii="Baskerville" w:hAnsi="Baskerville"/>
        </w:rPr>
        <w:t xml:space="preserve"> for</w:t>
      </w:r>
      <w:r w:rsidR="00DC4588">
        <w:rPr>
          <w:rFonts w:ascii="Baskerville" w:hAnsi="Baskerville"/>
        </w:rPr>
        <w:t xml:space="preserve"> upholding environmental principles</w:t>
      </w:r>
      <w:r w:rsidR="002E004D" w:rsidRPr="002E004D">
        <w:rPr>
          <w:rFonts w:ascii="Baskerville" w:hAnsi="Baskerville"/>
        </w:rPr>
        <w:t xml:space="preserve">, there remain </w:t>
      </w:r>
      <w:r w:rsidR="00D11462">
        <w:rPr>
          <w:rFonts w:ascii="Baskerville" w:hAnsi="Baskerville"/>
        </w:rPr>
        <w:t>particular</w:t>
      </w:r>
      <w:r w:rsidR="002E004D" w:rsidRPr="002E004D">
        <w:rPr>
          <w:rFonts w:ascii="Baskerville" w:hAnsi="Baskerville"/>
        </w:rPr>
        <w:t xml:space="preserve"> areas of international law in which international environmental norms are y</w:t>
      </w:r>
      <w:r w:rsidR="00717482">
        <w:rPr>
          <w:rFonts w:ascii="Baskerville" w:hAnsi="Baskerville"/>
        </w:rPr>
        <w:t>et to be recogni</w:t>
      </w:r>
      <w:r w:rsidR="00D11462">
        <w:rPr>
          <w:rFonts w:ascii="Baskerville" w:hAnsi="Baskerville"/>
        </w:rPr>
        <w:t>s</w:t>
      </w:r>
      <w:r w:rsidR="00717482">
        <w:rPr>
          <w:rFonts w:ascii="Baskerville" w:hAnsi="Baskerville"/>
        </w:rPr>
        <w:t>ed</w:t>
      </w:r>
      <w:r w:rsidR="002E004D" w:rsidRPr="002E004D">
        <w:rPr>
          <w:rFonts w:ascii="Baskerville" w:hAnsi="Baskerville"/>
        </w:rPr>
        <w:t xml:space="preserve">. </w:t>
      </w:r>
      <w:r w:rsidR="004849B9">
        <w:rPr>
          <w:rFonts w:ascii="Baskerville" w:hAnsi="Baskerville"/>
        </w:rPr>
        <w:t>Such environmentally conscious principles</w:t>
      </w:r>
      <w:r>
        <w:rPr>
          <w:rFonts w:ascii="Baskerville" w:hAnsi="Baskerville"/>
        </w:rPr>
        <w:t xml:space="preserve"> are </w:t>
      </w:r>
      <w:r w:rsidR="00A65CC8">
        <w:rPr>
          <w:rFonts w:ascii="Baskerville" w:hAnsi="Baskerville"/>
        </w:rPr>
        <w:t>essential for</w:t>
      </w:r>
      <w:r>
        <w:rPr>
          <w:rFonts w:ascii="Baskerville" w:hAnsi="Baskerville"/>
        </w:rPr>
        <w:t xml:space="preserve"> settling court </w:t>
      </w:r>
      <w:r w:rsidR="00A65CC8">
        <w:rPr>
          <w:rFonts w:ascii="Baskerville" w:hAnsi="Baskerville"/>
        </w:rPr>
        <w:t>cases</w:t>
      </w:r>
      <w:r>
        <w:rPr>
          <w:rFonts w:ascii="Baskerville" w:hAnsi="Baskerville"/>
        </w:rPr>
        <w:t xml:space="preserve"> in a fair and appropriate manner.</w:t>
      </w:r>
      <w:r w:rsidR="00A07882">
        <w:rPr>
          <w:rFonts w:ascii="Baskerville" w:hAnsi="Baskerville"/>
        </w:rPr>
        <w:t xml:space="preserve"> </w:t>
      </w:r>
      <w:r w:rsidR="0005700B" w:rsidRPr="00FC1A37">
        <w:rPr>
          <w:rFonts w:ascii="Baskerville" w:hAnsi="Baskerville"/>
        </w:rPr>
        <w:t>It is clear that environmental principles</w:t>
      </w:r>
      <w:r w:rsidR="00A07882" w:rsidRPr="00FC1A37">
        <w:rPr>
          <w:rFonts w:ascii="Baskerville" w:hAnsi="Baskerville"/>
        </w:rPr>
        <w:t xml:space="preserve"> </w:t>
      </w:r>
      <w:r w:rsidR="008345EE">
        <w:rPr>
          <w:rFonts w:ascii="Baskerville" w:hAnsi="Baskerville"/>
        </w:rPr>
        <w:t>assist</w:t>
      </w:r>
      <w:r w:rsidR="0005700B" w:rsidRPr="00FC1A37">
        <w:rPr>
          <w:rFonts w:ascii="Baskerville" w:hAnsi="Baskerville"/>
        </w:rPr>
        <w:t xml:space="preserve"> courts </w:t>
      </w:r>
      <w:r w:rsidR="008345EE">
        <w:rPr>
          <w:rFonts w:ascii="Baskerville" w:hAnsi="Baskerville"/>
        </w:rPr>
        <w:t xml:space="preserve">to a great extent when </w:t>
      </w:r>
      <w:r w:rsidR="0005700B" w:rsidRPr="00FC1A37">
        <w:rPr>
          <w:rFonts w:ascii="Baskerville" w:hAnsi="Baskerville"/>
        </w:rPr>
        <w:t>resolv</w:t>
      </w:r>
      <w:r w:rsidR="008345EE">
        <w:rPr>
          <w:rFonts w:ascii="Baskerville" w:hAnsi="Baskerville"/>
        </w:rPr>
        <w:t>ing</w:t>
      </w:r>
      <w:r w:rsidR="0005700B" w:rsidRPr="00FC1A37">
        <w:rPr>
          <w:rFonts w:ascii="Baskerville" w:hAnsi="Baskerville"/>
        </w:rPr>
        <w:t xml:space="preserve"> </w:t>
      </w:r>
      <w:r w:rsidR="00A65CC8" w:rsidRPr="00FC1A37">
        <w:rPr>
          <w:rFonts w:ascii="Baskerville" w:hAnsi="Baskerville"/>
        </w:rPr>
        <w:t>disputes</w:t>
      </w:r>
      <w:r w:rsidR="0005700B" w:rsidRPr="00FC1A37">
        <w:rPr>
          <w:rFonts w:ascii="Baskerville" w:hAnsi="Baskerville"/>
        </w:rPr>
        <w:t xml:space="preserve">, </w:t>
      </w:r>
      <w:r w:rsidR="00A07882" w:rsidRPr="00FC1A37">
        <w:rPr>
          <w:rFonts w:ascii="Baskerville" w:hAnsi="Baskerville"/>
        </w:rPr>
        <w:t xml:space="preserve">but </w:t>
      </w:r>
      <w:r w:rsidR="00502657">
        <w:rPr>
          <w:rFonts w:ascii="Baskerville" w:hAnsi="Baskerville"/>
        </w:rPr>
        <w:t xml:space="preserve">in this capacity, </w:t>
      </w:r>
      <w:r w:rsidR="0005700B" w:rsidRPr="00FC1A37">
        <w:rPr>
          <w:rFonts w:ascii="Baskerville" w:hAnsi="Baskerville"/>
        </w:rPr>
        <w:t xml:space="preserve">they </w:t>
      </w:r>
      <w:r w:rsidR="00D00EDF" w:rsidRPr="00FC1A37">
        <w:rPr>
          <w:rFonts w:ascii="Baskerville" w:hAnsi="Baskerville"/>
        </w:rPr>
        <w:t xml:space="preserve">are </w:t>
      </w:r>
      <w:r w:rsidR="00A07882" w:rsidRPr="00FC1A37">
        <w:rPr>
          <w:rFonts w:ascii="Baskerville" w:hAnsi="Baskerville"/>
        </w:rPr>
        <w:t xml:space="preserve">not sufficiently </w:t>
      </w:r>
      <w:r w:rsidR="00365873" w:rsidRPr="00FC1A37">
        <w:rPr>
          <w:rFonts w:ascii="Baskerville" w:hAnsi="Baskerville"/>
        </w:rPr>
        <w:t>defined legally</w:t>
      </w:r>
      <w:r w:rsidR="0005700B" w:rsidRPr="00FC1A37">
        <w:rPr>
          <w:rFonts w:ascii="Baskerville" w:hAnsi="Baskerville"/>
        </w:rPr>
        <w:t>.</w:t>
      </w:r>
    </w:p>
    <w:p w14:paraId="16E87431" w14:textId="77777777" w:rsidR="007D1C05" w:rsidRPr="002E004D" w:rsidRDefault="007D1C05" w:rsidP="002E004D">
      <w:pPr>
        <w:rPr>
          <w:rFonts w:ascii="Baskerville" w:hAnsi="Baskerville"/>
        </w:rPr>
      </w:pPr>
    </w:p>
    <w:bookmarkEnd w:id="0"/>
    <w:bookmarkEnd w:id="1"/>
    <w:p w14:paraId="52F6BFD3" w14:textId="77777777" w:rsidR="00960F5B" w:rsidRDefault="00960F5B" w:rsidP="00E23A23">
      <w:pPr>
        <w:jc w:val="center"/>
        <w:rPr>
          <w:rFonts w:ascii="Baskerville" w:hAnsi="Baskerville"/>
          <w:b/>
          <w:u w:val="single"/>
        </w:rPr>
      </w:pPr>
    </w:p>
    <w:p w14:paraId="5F29D81E" w14:textId="77777777" w:rsidR="00960F5B" w:rsidRDefault="00960F5B" w:rsidP="00E23A23">
      <w:pPr>
        <w:jc w:val="center"/>
        <w:rPr>
          <w:rFonts w:ascii="Baskerville" w:hAnsi="Baskerville"/>
          <w:b/>
          <w:u w:val="single"/>
        </w:rPr>
      </w:pPr>
    </w:p>
    <w:p w14:paraId="6354E843" w14:textId="77777777" w:rsidR="00960F5B" w:rsidRDefault="00960F5B" w:rsidP="00E23A23">
      <w:pPr>
        <w:jc w:val="center"/>
        <w:rPr>
          <w:rFonts w:ascii="Baskerville" w:hAnsi="Baskerville"/>
          <w:b/>
          <w:u w:val="single"/>
        </w:rPr>
      </w:pPr>
    </w:p>
    <w:p w14:paraId="4B5F4BB9" w14:textId="77777777" w:rsidR="00960F5B" w:rsidRDefault="00960F5B" w:rsidP="00E23A23">
      <w:pPr>
        <w:jc w:val="center"/>
        <w:rPr>
          <w:rFonts w:ascii="Baskerville" w:hAnsi="Baskerville"/>
          <w:b/>
          <w:u w:val="single"/>
        </w:rPr>
      </w:pPr>
    </w:p>
    <w:p w14:paraId="21E8DBF0" w14:textId="77777777" w:rsidR="00960F5B" w:rsidRDefault="00960F5B" w:rsidP="00E23A23">
      <w:pPr>
        <w:jc w:val="center"/>
        <w:rPr>
          <w:rFonts w:ascii="Baskerville" w:hAnsi="Baskerville"/>
          <w:b/>
          <w:u w:val="single"/>
        </w:rPr>
      </w:pPr>
    </w:p>
    <w:p w14:paraId="7D4A56F5" w14:textId="77777777" w:rsidR="00960F5B" w:rsidRDefault="00960F5B" w:rsidP="00E23A23">
      <w:pPr>
        <w:jc w:val="center"/>
        <w:rPr>
          <w:rFonts w:ascii="Baskerville" w:hAnsi="Baskerville"/>
          <w:b/>
          <w:u w:val="single"/>
        </w:rPr>
      </w:pPr>
    </w:p>
    <w:p w14:paraId="27F6EDDD" w14:textId="77777777" w:rsidR="00960F5B" w:rsidRDefault="00960F5B" w:rsidP="00E23A23">
      <w:pPr>
        <w:jc w:val="center"/>
        <w:rPr>
          <w:rFonts w:ascii="Baskerville" w:hAnsi="Baskerville"/>
          <w:b/>
          <w:u w:val="single"/>
        </w:rPr>
      </w:pPr>
    </w:p>
    <w:p w14:paraId="471010AD" w14:textId="77777777" w:rsidR="00960F5B" w:rsidRDefault="00960F5B" w:rsidP="00E23A23">
      <w:pPr>
        <w:jc w:val="center"/>
        <w:rPr>
          <w:rFonts w:ascii="Baskerville" w:hAnsi="Baskerville"/>
          <w:b/>
          <w:u w:val="single"/>
        </w:rPr>
      </w:pPr>
    </w:p>
    <w:p w14:paraId="4E5C8B12" w14:textId="77777777" w:rsidR="00960F5B" w:rsidRDefault="00960F5B" w:rsidP="00E23A23">
      <w:pPr>
        <w:jc w:val="center"/>
        <w:rPr>
          <w:rFonts w:ascii="Baskerville" w:hAnsi="Baskerville"/>
          <w:b/>
          <w:u w:val="single"/>
        </w:rPr>
      </w:pPr>
    </w:p>
    <w:p w14:paraId="4F5023A7" w14:textId="77777777" w:rsidR="00960F5B" w:rsidRDefault="00960F5B" w:rsidP="00E23A23">
      <w:pPr>
        <w:jc w:val="center"/>
        <w:rPr>
          <w:rFonts w:ascii="Baskerville" w:hAnsi="Baskerville"/>
          <w:b/>
          <w:u w:val="single"/>
        </w:rPr>
      </w:pPr>
    </w:p>
    <w:p w14:paraId="5074B002" w14:textId="77777777" w:rsidR="00960F5B" w:rsidRDefault="00960F5B" w:rsidP="00E23A23">
      <w:pPr>
        <w:jc w:val="center"/>
        <w:rPr>
          <w:rFonts w:ascii="Baskerville" w:hAnsi="Baskerville"/>
          <w:b/>
          <w:u w:val="single"/>
        </w:rPr>
      </w:pPr>
    </w:p>
    <w:p w14:paraId="27911D9C" w14:textId="77777777" w:rsidR="00960F5B" w:rsidRDefault="00960F5B" w:rsidP="00E23A23">
      <w:pPr>
        <w:jc w:val="center"/>
        <w:rPr>
          <w:rFonts w:ascii="Baskerville" w:hAnsi="Baskerville"/>
          <w:b/>
          <w:u w:val="single"/>
        </w:rPr>
      </w:pPr>
    </w:p>
    <w:p w14:paraId="0529BE32" w14:textId="77777777" w:rsidR="00960F5B" w:rsidRDefault="00960F5B" w:rsidP="00E23A23">
      <w:pPr>
        <w:jc w:val="center"/>
        <w:rPr>
          <w:rFonts w:ascii="Baskerville" w:hAnsi="Baskerville"/>
          <w:b/>
          <w:u w:val="single"/>
        </w:rPr>
      </w:pPr>
    </w:p>
    <w:p w14:paraId="2D723372" w14:textId="77777777" w:rsidR="00960F5B" w:rsidRDefault="00960F5B" w:rsidP="00E23A23">
      <w:pPr>
        <w:jc w:val="center"/>
        <w:rPr>
          <w:rFonts w:ascii="Baskerville" w:hAnsi="Baskerville"/>
          <w:b/>
          <w:u w:val="single"/>
        </w:rPr>
      </w:pPr>
    </w:p>
    <w:p w14:paraId="112C677F" w14:textId="77777777" w:rsidR="00960F5B" w:rsidRDefault="00960F5B" w:rsidP="00E23A23">
      <w:pPr>
        <w:jc w:val="center"/>
        <w:rPr>
          <w:rFonts w:ascii="Baskerville" w:hAnsi="Baskerville"/>
          <w:b/>
          <w:u w:val="single"/>
        </w:rPr>
      </w:pPr>
    </w:p>
    <w:p w14:paraId="6F8B26C2" w14:textId="77777777" w:rsidR="00960F5B" w:rsidRDefault="00960F5B" w:rsidP="00E23A23">
      <w:pPr>
        <w:jc w:val="center"/>
        <w:rPr>
          <w:rFonts w:ascii="Baskerville" w:hAnsi="Baskerville"/>
          <w:b/>
          <w:u w:val="single"/>
        </w:rPr>
      </w:pPr>
    </w:p>
    <w:p w14:paraId="485AE673" w14:textId="77777777" w:rsidR="00960F5B" w:rsidRDefault="00960F5B" w:rsidP="00E23A23">
      <w:pPr>
        <w:jc w:val="center"/>
        <w:rPr>
          <w:rFonts w:ascii="Baskerville" w:hAnsi="Baskerville"/>
          <w:b/>
          <w:u w:val="single"/>
        </w:rPr>
      </w:pPr>
    </w:p>
    <w:p w14:paraId="62479AEC" w14:textId="77777777" w:rsidR="00960F5B" w:rsidRDefault="00960F5B" w:rsidP="00E23A23">
      <w:pPr>
        <w:jc w:val="center"/>
        <w:rPr>
          <w:rFonts w:ascii="Baskerville" w:hAnsi="Baskerville"/>
          <w:b/>
          <w:u w:val="single"/>
        </w:rPr>
      </w:pPr>
    </w:p>
    <w:p w14:paraId="700F4512" w14:textId="77777777" w:rsidR="00960F5B" w:rsidRDefault="00960F5B" w:rsidP="00E23A23">
      <w:pPr>
        <w:jc w:val="center"/>
        <w:rPr>
          <w:rFonts w:ascii="Baskerville" w:hAnsi="Baskerville"/>
          <w:b/>
          <w:u w:val="single"/>
        </w:rPr>
      </w:pPr>
    </w:p>
    <w:p w14:paraId="14D9AE9D" w14:textId="77777777" w:rsidR="00960F5B" w:rsidRDefault="00960F5B" w:rsidP="00E23A23">
      <w:pPr>
        <w:jc w:val="center"/>
        <w:rPr>
          <w:rFonts w:ascii="Baskerville" w:hAnsi="Baskerville"/>
          <w:b/>
          <w:u w:val="single"/>
        </w:rPr>
      </w:pPr>
    </w:p>
    <w:p w14:paraId="7E0C863D" w14:textId="77777777" w:rsidR="00960F5B" w:rsidRDefault="00960F5B" w:rsidP="00E23A23">
      <w:pPr>
        <w:jc w:val="center"/>
        <w:rPr>
          <w:rFonts w:ascii="Baskerville" w:hAnsi="Baskerville"/>
          <w:b/>
          <w:u w:val="single"/>
        </w:rPr>
      </w:pPr>
    </w:p>
    <w:p w14:paraId="4186BDC2" w14:textId="77777777" w:rsidR="00960F5B" w:rsidRDefault="00960F5B" w:rsidP="00E23A23">
      <w:pPr>
        <w:jc w:val="center"/>
        <w:rPr>
          <w:rFonts w:ascii="Baskerville" w:hAnsi="Baskerville"/>
          <w:b/>
          <w:u w:val="single"/>
        </w:rPr>
      </w:pPr>
    </w:p>
    <w:p w14:paraId="692A8F05" w14:textId="77777777" w:rsidR="00960F5B" w:rsidRDefault="00960F5B" w:rsidP="00E23A23">
      <w:pPr>
        <w:jc w:val="center"/>
        <w:rPr>
          <w:rFonts w:ascii="Baskerville" w:hAnsi="Baskerville"/>
          <w:b/>
          <w:u w:val="single"/>
        </w:rPr>
      </w:pPr>
    </w:p>
    <w:p w14:paraId="20BDA0F7" w14:textId="77777777" w:rsidR="00960F5B" w:rsidRDefault="00960F5B" w:rsidP="00E23A23">
      <w:pPr>
        <w:jc w:val="center"/>
        <w:rPr>
          <w:rFonts w:ascii="Baskerville" w:hAnsi="Baskerville"/>
          <w:b/>
          <w:u w:val="single"/>
        </w:rPr>
      </w:pPr>
    </w:p>
    <w:p w14:paraId="25D4D7A8" w14:textId="77777777" w:rsidR="00960F5B" w:rsidRDefault="00960F5B" w:rsidP="00E23A23">
      <w:pPr>
        <w:jc w:val="center"/>
        <w:rPr>
          <w:rFonts w:ascii="Baskerville" w:hAnsi="Baskerville"/>
          <w:b/>
          <w:u w:val="single"/>
        </w:rPr>
      </w:pPr>
    </w:p>
    <w:p w14:paraId="71621D26" w14:textId="77777777" w:rsidR="00960F5B" w:rsidRDefault="00960F5B" w:rsidP="00E23A23">
      <w:pPr>
        <w:jc w:val="center"/>
        <w:rPr>
          <w:rFonts w:ascii="Baskerville" w:hAnsi="Baskerville"/>
          <w:b/>
          <w:u w:val="single"/>
        </w:rPr>
      </w:pPr>
    </w:p>
    <w:p w14:paraId="5C0521D4" w14:textId="77777777" w:rsidR="00960F5B" w:rsidRDefault="00960F5B" w:rsidP="00E23A23">
      <w:pPr>
        <w:jc w:val="center"/>
        <w:rPr>
          <w:rFonts w:ascii="Baskerville" w:hAnsi="Baskerville"/>
          <w:b/>
          <w:u w:val="single"/>
        </w:rPr>
      </w:pPr>
    </w:p>
    <w:p w14:paraId="4BEFB8ED" w14:textId="77777777" w:rsidR="00960F5B" w:rsidRDefault="00960F5B" w:rsidP="00E23A23">
      <w:pPr>
        <w:jc w:val="center"/>
        <w:rPr>
          <w:rFonts w:ascii="Baskerville" w:hAnsi="Baskerville"/>
          <w:b/>
          <w:u w:val="single"/>
        </w:rPr>
      </w:pPr>
    </w:p>
    <w:p w14:paraId="4696400D" w14:textId="77777777" w:rsidR="00960F5B" w:rsidRDefault="00960F5B" w:rsidP="00E23A23">
      <w:pPr>
        <w:jc w:val="center"/>
        <w:rPr>
          <w:rFonts w:ascii="Baskerville" w:hAnsi="Baskerville"/>
          <w:b/>
          <w:u w:val="single"/>
        </w:rPr>
      </w:pPr>
    </w:p>
    <w:p w14:paraId="0D241867" w14:textId="77777777" w:rsidR="00960F5B" w:rsidRDefault="00960F5B" w:rsidP="00E23A23">
      <w:pPr>
        <w:jc w:val="center"/>
        <w:rPr>
          <w:rFonts w:ascii="Baskerville" w:hAnsi="Baskerville"/>
          <w:b/>
          <w:u w:val="single"/>
        </w:rPr>
      </w:pPr>
    </w:p>
    <w:p w14:paraId="3CC8ED8D" w14:textId="77777777" w:rsidR="00960F5B" w:rsidRDefault="00960F5B" w:rsidP="00E23A23">
      <w:pPr>
        <w:jc w:val="center"/>
        <w:rPr>
          <w:rFonts w:ascii="Baskerville" w:hAnsi="Baskerville"/>
          <w:b/>
          <w:u w:val="single"/>
        </w:rPr>
      </w:pPr>
    </w:p>
    <w:p w14:paraId="323B0EE8" w14:textId="1D204F7B" w:rsidR="002E004D" w:rsidRPr="00E728A6" w:rsidRDefault="00E23A23" w:rsidP="00E23A23">
      <w:pPr>
        <w:jc w:val="center"/>
        <w:rPr>
          <w:rFonts w:ascii="Baskerville" w:hAnsi="Baskerville"/>
          <w:b/>
          <w:u w:val="single"/>
        </w:rPr>
      </w:pPr>
      <w:r w:rsidRPr="00E728A6">
        <w:rPr>
          <w:rFonts w:ascii="Baskerville" w:hAnsi="Baskerville"/>
          <w:b/>
          <w:u w:val="single"/>
        </w:rPr>
        <w:t>Bibliography</w:t>
      </w:r>
    </w:p>
    <w:p w14:paraId="4B2C3B36" w14:textId="77777777" w:rsidR="00EA6CF4" w:rsidRPr="00E728A6" w:rsidRDefault="00EA6CF4" w:rsidP="00EA6CF4">
      <w:pPr>
        <w:rPr>
          <w:rFonts w:ascii="Baskerville" w:hAnsi="Baskerville"/>
          <w:b/>
          <w:u w:val="single"/>
        </w:rPr>
      </w:pPr>
    </w:p>
    <w:p w14:paraId="0F100750" w14:textId="77777777" w:rsidR="00611E7C" w:rsidRPr="0024131C" w:rsidRDefault="00611E7C" w:rsidP="00611E7C">
      <w:pPr>
        <w:rPr>
          <w:rFonts w:ascii="Baskerville" w:hAnsi="Baskerville"/>
          <w:b/>
          <w:u w:val="single"/>
        </w:rPr>
      </w:pPr>
      <w:r w:rsidRPr="0024131C">
        <w:rPr>
          <w:rFonts w:ascii="Baskerville" w:hAnsi="Baskerville"/>
          <w:b/>
          <w:u w:val="single"/>
        </w:rPr>
        <w:t>Primary sources</w:t>
      </w:r>
    </w:p>
    <w:p w14:paraId="74F53A43" w14:textId="77777777" w:rsidR="00611E7C" w:rsidRPr="0024131C" w:rsidRDefault="00611E7C" w:rsidP="00611E7C">
      <w:pPr>
        <w:rPr>
          <w:rFonts w:ascii="Baskerville" w:hAnsi="Baskerville"/>
          <w:b/>
          <w:u w:val="single"/>
        </w:rPr>
      </w:pPr>
    </w:p>
    <w:p w14:paraId="7EC91100" w14:textId="77777777" w:rsidR="00611E7C" w:rsidRPr="0024131C" w:rsidRDefault="00611E7C" w:rsidP="00611E7C">
      <w:pPr>
        <w:rPr>
          <w:rFonts w:ascii="Baskerville" w:hAnsi="Baskerville"/>
          <w:b/>
          <w:u w:val="single"/>
        </w:rPr>
      </w:pPr>
      <w:r w:rsidRPr="0024131C">
        <w:rPr>
          <w:rFonts w:ascii="Baskerville" w:hAnsi="Baskerville"/>
          <w:b/>
          <w:u w:val="single"/>
        </w:rPr>
        <w:t>Directives</w:t>
      </w:r>
    </w:p>
    <w:p w14:paraId="029E262A" w14:textId="77777777" w:rsidR="00611E7C" w:rsidRPr="0024131C" w:rsidRDefault="00611E7C" w:rsidP="00611E7C">
      <w:pPr>
        <w:rPr>
          <w:rFonts w:ascii="Baskerville" w:hAnsi="Baskerville"/>
          <w:b/>
          <w:lang w:val="en-US"/>
        </w:rPr>
      </w:pPr>
    </w:p>
    <w:p w14:paraId="082AC1CC" w14:textId="77777777" w:rsidR="00611E7C" w:rsidRPr="00514D8E" w:rsidRDefault="00611E7C" w:rsidP="00611E7C">
      <w:pPr>
        <w:rPr>
          <w:rFonts w:ascii="Baskerville" w:hAnsi="Baskerville"/>
          <w:lang w:val="en-US"/>
        </w:rPr>
      </w:pPr>
      <w:r w:rsidRPr="00514D8E">
        <w:rPr>
          <w:rFonts w:ascii="Baskerville" w:hAnsi="Baskerville"/>
          <w:lang w:val="en-US"/>
        </w:rPr>
        <w:t>Environmental Liability Directive 2004/35/EC</w:t>
      </w:r>
    </w:p>
    <w:p w14:paraId="6B596CDA" w14:textId="205215DB" w:rsidR="00611E7C" w:rsidRPr="00514D8E" w:rsidRDefault="007E1711" w:rsidP="00611E7C">
      <w:pPr>
        <w:rPr>
          <w:rFonts w:ascii="Baskerville" w:hAnsi="Baskerville"/>
          <w:lang w:val="en-US"/>
        </w:rPr>
      </w:pPr>
      <w:r>
        <w:rPr>
          <w:rFonts w:ascii="Baskerville" w:hAnsi="Baskerville"/>
          <w:lang w:val="en-US"/>
        </w:rPr>
        <w:t xml:space="preserve">EU </w:t>
      </w:r>
      <w:r w:rsidR="00611E7C" w:rsidRPr="00514D8E">
        <w:rPr>
          <w:rFonts w:ascii="Baskerville" w:hAnsi="Baskerville"/>
          <w:lang w:val="en-US"/>
        </w:rPr>
        <w:t>Emissions Trading Directive</w:t>
      </w:r>
    </w:p>
    <w:p w14:paraId="1FD67A1B" w14:textId="2CAF0B80" w:rsidR="00611E7C" w:rsidRPr="00514D8E" w:rsidRDefault="00611E7C" w:rsidP="00611E7C">
      <w:pPr>
        <w:rPr>
          <w:rFonts w:ascii="Baskerville" w:hAnsi="Baskerville"/>
          <w:lang w:val="en-US"/>
        </w:rPr>
      </w:pPr>
      <w:r w:rsidRPr="00514D8E">
        <w:rPr>
          <w:rFonts w:ascii="Baskerville" w:hAnsi="Baskerville"/>
        </w:rPr>
        <w:t>Directive 91/676/EEC</w:t>
      </w:r>
    </w:p>
    <w:p w14:paraId="02171F4D" w14:textId="26626D77" w:rsidR="00611E7C" w:rsidRPr="00514D8E" w:rsidRDefault="00611E7C" w:rsidP="00611E7C">
      <w:pPr>
        <w:rPr>
          <w:rFonts w:ascii="Baskerville" w:hAnsi="Baskerville"/>
          <w:lang w:val="en-US"/>
        </w:rPr>
      </w:pPr>
      <w:r w:rsidRPr="00514D8E">
        <w:rPr>
          <w:rFonts w:ascii="Baskerville" w:hAnsi="Baskerville"/>
        </w:rPr>
        <w:t>Directive 2003/87/EC, ‘EU Emissions Trading Directive’</w:t>
      </w:r>
      <w:r w:rsidR="007E1711">
        <w:rPr>
          <w:rFonts w:ascii="Baskerville" w:hAnsi="Baskerville"/>
        </w:rPr>
        <w:t>,</w:t>
      </w:r>
      <w:r w:rsidRPr="00514D8E">
        <w:rPr>
          <w:rFonts w:ascii="Baskerville" w:hAnsi="Baskerville"/>
        </w:rPr>
        <w:t xml:space="preserve"> Consolidated version of July [2013] OJ L275/32</w:t>
      </w:r>
    </w:p>
    <w:p w14:paraId="4C187702" w14:textId="77777777" w:rsidR="00611E7C" w:rsidRDefault="00611E7C" w:rsidP="00611E7C">
      <w:pPr>
        <w:rPr>
          <w:rFonts w:ascii="Baskerville" w:hAnsi="Baskerville"/>
          <w:b/>
          <w:u w:val="single"/>
        </w:rPr>
      </w:pPr>
    </w:p>
    <w:p w14:paraId="619A5DBF" w14:textId="77777777" w:rsidR="00611E7C" w:rsidRDefault="00611E7C" w:rsidP="00611E7C">
      <w:pPr>
        <w:rPr>
          <w:rFonts w:ascii="Baskerville" w:hAnsi="Baskerville"/>
          <w:b/>
          <w:u w:val="single"/>
        </w:rPr>
      </w:pPr>
      <w:r>
        <w:rPr>
          <w:rFonts w:ascii="Baskerville" w:hAnsi="Baskerville"/>
          <w:b/>
          <w:u w:val="single"/>
        </w:rPr>
        <w:t>Legislation</w:t>
      </w:r>
    </w:p>
    <w:p w14:paraId="7A0B46F1" w14:textId="77777777" w:rsidR="00611E7C" w:rsidRDefault="00611E7C" w:rsidP="00611E7C">
      <w:pPr>
        <w:rPr>
          <w:rFonts w:ascii="Baskerville" w:hAnsi="Baskerville"/>
          <w:b/>
        </w:rPr>
      </w:pPr>
    </w:p>
    <w:p w14:paraId="521B71CC" w14:textId="54E85068" w:rsidR="000621A1" w:rsidRPr="00514D8E" w:rsidRDefault="000621A1" w:rsidP="000621A1">
      <w:pPr>
        <w:rPr>
          <w:rFonts w:ascii="Baskerville" w:hAnsi="Baskerville"/>
        </w:rPr>
      </w:pPr>
      <w:r w:rsidRPr="00514D8E">
        <w:rPr>
          <w:rFonts w:ascii="Baskerville" w:hAnsi="Baskerville"/>
        </w:rPr>
        <w:t>EC Treaty</w:t>
      </w:r>
      <w:r>
        <w:rPr>
          <w:rFonts w:ascii="Baskerville" w:hAnsi="Baskerville"/>
        </w:rPr>
        <w:t xml:space="preserve"> </w:t>
      </w:r>
      <w:r w:rsidR="001F730F">
        <w:rPr>
          <w:rFonts w:ascii="Baskerville" w:hAnsi="Baskerville"/>
        </w:rPr>
        <w:t>(1957)</w:t>
      </w:r>
    </w:p>
    <w:p w14:paraId="3D231CD7" w14:textId="2550E445" w:rsidR="00D26A6E" w:rsidRPr="00514D8E" w:rsidRDefault="00D26A6E" w:rsidP="00D26A6E">
      <w:pPr>
        <w:rPr>
          <w:rFonts w:ascii="Baskerville" w:hAnsi="Baskerville"/>
          <w:sz w:val="22"/>
          <w:szCs w:val="22"/>
        </w:rPr>
      </w:pPr>
      <w:r w:rsidRPr="00514D8E">
        <w:rPr>
          <w:rFonts w:ascii="Baskerville" w:hAnsi="Baskerville"/>
          <w:sz w:val="22"/>
          <w:szCs w:val="22"/>
          <w:lang w:val="en-US"/>
        </w:rPr>
        <w:t>Basel Convention on the Control of Transboundary Movements of Hazardous W</w:t>
      </w:r>
      <w:r w:rsidR="005724A4">
        <w:rPr>
          <w:rFonts w:ascii="Baskerville" w:hAnsi="Baskerville"/>
          <w:sz w:val="22"/>
          <w:szCs w:val="22"/>
          <w:lang w:val="en-US"/>
        </w:rPr>
        <w:t>astes and their Disposal (1989)</w:t>
      </w:r>
    </w:p>
    <w:p w14:paraId="1DAD9499" w14:textId="77777777" w:rsidR="00611E7C" w:rsidRPr="00514D8E" w:rsidRDefault="00611E7C" w:rsidP="00611E7C">
      <w:pPr>
        <w:rPr>
          <w:rFonts w:ascii="Baskerville" w:hAnsi="Baskerville"/>
        </w:rPr>
      </w:pPr>
      <w:r w:rsidRPr="00514D8E">
        <w:rPr>
          <w:rFonts w:ascii="Baskerville" w:hAnsi="Baskerville"/>
        </w:rPr>
        <w:t>Environmental Protection Act (EPA) 1990</w:t>
      </w:r>
    </w:p>
    <w:p w14:paraId="356EDAC4" w14:textId="5A9A6D0A" w:rsidR="00F70BE7" w:rsidRPr="00514D8E" w:rsidRDefault="00F70BE7" w:rsidP="00F70BE7">
      <w:pPr>
        <w:rPr>
          <w:rFonts w:ascii="Baskerville" w:hAnsi="Baskerville"/>
          <w:lang w:val="en-US"/>
        </w:rPr>
      </w:pPr>
      <w:r w:rsidRPr="00514D8E">
        <w:rPr>
          <w:rFonts w:ascii="Baskerville" w:hAnsi="Baskerville"/>
        </w:rPr>
        <w:t xml:space="preserve">The Rio Declaration on Environment and Development, </w:t>
      </w:r>
      <w:r w:rsidRPr="00514D8E">
        <w:rPr>
          <w:rFonts w:ascii="Baskerville" w:hAnsi="Baskerville"/>
          <w:lang w:val="en-US"/>
        </w:rPr>
        <w:t>UN Doc. A/CONF.151/26 (vol. I) / 31 ILM 874 (1992)</w:t>
      </w:r>
    </w:p>
    <w:p w14:paraId="272A6D9A" w14:textId="6FF7118B" w:rsidR="00611E7C" w:rsidRPr="00514D8E" w:rsidRDefault="00611E7C" w:rsidP="00611E7C">
      <w:pPr>
        <w:rPr>
          <w:rFonts w:ascii="Baskerville" w:hAnsi="Baskerville"/>
          <w:lang w:val="en-US"/>
        </w:rPr>
      </w:pPr>
      <w:r w:rsidRPr="00514D8E">
        <w:rPr>
          <w:rFonts w:ascii="Baskerville" w:hAnsi="Baskerville"/>
          <w:lang w:val="en-US"/>
        </w:rPr>
        <w:t>Treaty on the Functioning of the European Union</w:t>
      </w:r>
      <w:r w:rsidR="005D7F06">
        <w:rPr>
          <w:rFonts w:ascii="Baskerville" w:hAnsi="Baskerville"/>
          <w:lang w:val="en-US"/>
        </w:rPr>
        <w:t xml:space="preserve"> (2007)</w:t>
      </w:r>
    </w:p>
    <w:p w14:paraId="21BB7361" w14:textId="77777777" w:rsidR="00611E7C" w:rsidRPr="00514D8E" w:rsidRDefault="00611E7C" w:rsidP="00611E7C">
      <w:pPr>
        <w:rPr>
          <w:rFonts w:ascii="Baskerville" w:hAnsi="Baskerville"/>
          <w:lang w:val="en-US"/>
        </w:rPr>
      </w:pPr>
      <w:r w:rsidRPr="00514D8E">
        <w:rPr>
          <w:rFonts w:ascii="Baskerville" w:hAnsi="Baskerville"/>
          <w:lang w:val="en-US"/>
        </w:rPr>
        <w:t>The Environmental Damage (Prevention and Remediation) Regulations 2009</w:t>
      </w:r>
    </w:p>
    <w:p w14:paraId="223E4D17" w14:textId="77777777" w:rsidR="006E156B" w:rsidRDefault="006E156B" w:rsidP="00611E7C">
      <w:pPr>
        <w:rPr>
          <w:rFonts w:ascii="Baskerville" w:hAnsi="Baskerville"/>
          <w:b/>
          <w:lang w:val="en-US"/>
        </w:rPr>
      </w:pPr>
    </w:p>
    <w:p w14:paraId="19FA147E" w14:textId="4B2030E3" w:rsidR="006E156B" w:rsidRPr="006E156B" w:rsidRDefault="00611E7C" w:rsidP="00611E7C">
      <w:pPr>
        <w:rPr>
          <w:rFonts w:ascii="Baskerville" w:hAnsi="Baskerville"/>
          <w:b/>
          <w:u w:val="single"/>
          <w:lang w:val="en-US"/>
        </w:rPr>
      </w:pPr>
      <w:r>
        <w:rPr>
          <w:rFonts w:ascii="Baskerville" w:hAnsi="Baskerville"/>
          <w:b/>
          <w:u w:val="single"/>
          <w:lang w:val="en-US"/>
        </w:rPr>
        <w:t>Case Law</w:t>
      </w:r>
    </w:p>
    <w:p w14:paraId="45454578" w14:textId="77777777" w:rsidR="00EE5E43" w:rsidRPr="00514D8E" w:rsidRDefault="00EE5E43" w:rsidP="00EE5E43">
      <w:pPr>
        <w:rPr>
          <w:rFonts w:ascii="Baskerville" w:hAnsi="Baskerville"/>
          <w:sz w:val="22"/>
          <w:szCs w:val="22"/>
        </w:rPr>
      </w:pPr>
      <w:r w:rsidRPr="00514D8E">
        <w:rPr>
          <w:rFonts w:ascii="Baskerville" w:hAnsi="Baskerville"/>
          <w:sz w:val="22"/>
          <w:szCs w:val="22"/>
        </w:rPr>
        <w:t xml:space="preserve">Case T-70/99 </w:t>
      </w:r>
      <w:r w:rsidRPr="00514D8E">
        <w:rPr>
          <w:rFonts w:ascii="Baskerville" w:hAnsi="Baskerville"/>
          <w:i/>
          <w:sz w:val="22"/>
          <w:szCs w:val="22"/>
        </w:rPr>
        <w:t>Alpharama</w:t>
      </w:r>
      <w:r w:rsidRPr="00514D8E">
        <w:rPr>
          <w:rFonts w:ascii="Baskerville" w:hAnsi="Baskerville"/>
          <w:sz w:val="22"/>
          <w:szCs w:val="22"/>
        </w:rPr>
        <w:t xml:space="preserve"> [2002] ECR 11-3945</w:t>
      </w:r>
    </w:p>
    <w:p w14:paraId="667C8CBC" w14:textId="77777777" w:rsidR="006556E4" w:rsidRPr="00514D8E" w:rsidRDefault="006556E4" w:rsidP="006556E4">
      <w:pPr>
        <w:rPr>
          <w:rFonts w:ascii="Baskerville" w:hAnsi="Baskerville"/>
          <w:sz w:val="22"/>
          <w:szCs w:val="22"/>
          <w:lang w:val="en-US"/>
        </w:rPr>
      </w:pPr>
      <w:r w:rsidRPr="00514D8E">
        <w:rPr>
          <w:rFonts w:ascii="Baskerville" w:hAnsi="Baskerville"/>
          <w:sz w:val="22"/>
          <w:szCs w:val="22"/>
          <w:lang w:val="en-US"/>
        </w:rPr>
        <w:t>Case C‑366/10</w:t>
      </w:r>
      <w:r w:rsidRPr="00514D8E">
        <w:rPr>
          <w:rFonts w:ascii="Baskerville" w:hAnsi="Baskerville"/>
          <w:i/>
          <w:sz w:val="22"/>
          <w:szCs w:val="22"/>
          <w:lang w:val="en-US"/>
        </w:rPr>
        <w:t xml:space="preserve"> Air Transport Association America </w:t>
      </w:r>
      <w:r w:rsidRPr="00514D8E">
        <w:rPr>
          <w:rFonts w:ascii="Baskerville" w:hAnsi="Baskerville"/>
          <w:sz w:val="22"/>
          <w:szCs w:val="22"/>
          <w:lang w:val="en-US"/>
        </w:rPr>
        <w:t xml:space="preserve">v </w:t>
      </w:r>
      <w:r w:rsidRPr="00514D8E">
        <w:rPr>
          <w:rFonts w:ascii="Baskerville" w:hAnsi="Baskerville"/>
          <w:i/>
          <w:sz w:val="22"/>
          <w:szCs w:val="22"/>
          <w:lang w:val="en-US"/>
        </w:rPr>
        <w:t xml:space="preserve">Secretary of State for Energy and Climate Change </w:t>
      </w:r>
      <w:r w:rsidRPr="00514D8E">
        <w:rPr>
          <w:rFonts w:ascii="Baskerville" w:hAnsi="Baskerville"/>
          <w:sz w:val="22"/>
          <w:szCs w:val="22"/>
          <w:lang w:val="en-US"/>
        </w:rPr>
        <w:t>[2011] WLR (D) 386</w:t>
      </w:r>
    </w:p>
    <w:p w14:paraId="44B3CFC4" w14:textId="25A238BF" w:rsidR="006556E4" w:rsidRPr="00514D8E" w:rsidRDefault="006556E4" w:rsidP="006556E4">
      <w:pPr>
        <w:rPr>
          <w:rFonts w:ascii="Baskerville" w:hAnsi="Baskerville"/>
          <w:bCs/>
          <w:sz w:val="22"/>
          <w:szCs w:val="22"/>
          <w:lang w:val="en-US"/>
        </w:rPr>
      </w:pPr>
      <w:r w:rsidRPr="00514D8E">
        <w:rPr>
          <w:rFonts w:ascii="Baskerville" w:hAnsi="Baskerville"/>
          <w:bCs/>
          <w:sz w:val="22"/>
          <w:szCs w:val="22"/>
          <w:lang w:val="en-US"/>
        </w:rPr>
        <w:t xml:space="preserve">Iron Rhine Arbitration, </w:t>
      </w:r>
      <w:r w:rsidRPr="00514D8E">
        <w:rPr>
          <w:rFonts w:ascii="Baskerville" w:hAnsi="Baskerville"/>
          <w:bCs/>
          <w:i/>
          <w:sz w:val="22"/>
          <w:szCs w:val="22"/>
          <w:lang w:val="en-US"/>
        </w:rPr>
        <w:t>Belgium</w:t>
      </w:r>
      <w:r w:rsidRPr="00514D8E">
        <w:rPr>
          <w:rFonts w:ascii="Baskerville" w:hAnsi="Baskerville"/>
          <w:bCs/>
          <w:sz w:val="22"/>
          <w:szCs w:val="22"/>
          <w:lang w:val="en-US"/>
        </w:rPr>
        <w:t xml:space="preserve"> v </w:t>
      </w:r>
      <w:r w:rsidRPr="00514D8E">
        <w:rPr>
          <w:rFonts w:ascii="Baskerville" w:hAnsi="Baskerville"/>
          <w:bCs/>
          <w:i/>
          <w:sz w:val="22"/>
          <w:szCs w:val="22"/>
          <w:lang w:val="en-US"/>
        </w:rPr>
        <w:t>Netherlands</w:t>
      </w:r>
      <w:r w:rsidRPr="00514D8E">
        <w:rPr>
          <w:rFonts w:ascii="Baskerville" w:hAnsi="Baskerville"/>
          <w:bCs/>
          <w:sz w:val="22"/>
          <w:szCs w:val="22"/>
          <w:lang w:val="en-US"/>
        </w:rPr>
        <w:t>, Award, ICGJ 373 (PCA 2005), 24th May 2005, Perma</w:t>
      </w:r>
      <w:r w:rsidR="00BE184F">
        <w:rPr>
          <w:rFonts w:ascii="Baskerville" w:hAnsi="Baskerville"/>
          <w:bCs/>
          <w:sz w:val="22"/>
          <w:szCs w:val="22"/>
          <w:lang w:val="en-US"/>
        </w:rPr>
        <w:t>nent Court of Arbitration [PCA]</w:t>
      </w:r>
    </w:p>
    <w:p w14:paraId="5DC1B366" w14:textId="77777777" w:rsidR="006556E4" w:rsidRPr="00514D8E" w:rsidRDefault="006556E4" w:rsidP="006556E4">
      <w:pPr>
        <w:rPr>
          <w:rFonts w:ascii="Baskerville" w:hAnsi="Baskerville"/>
          <w:bCs/>
          <w:sz w:val="22"/>
          <w:szCs w:val="22"/>
        </w:rPr>
      </w:pPr>
      <w:r w:rsidRPr="00514D8E">
        <w:rPr>
          <w:rFonts w:ascii="Baskerville" w:hAnsi="Baskerville"/>
          <w:bCs/>
          <w:i/>
          <w:sz w:val="22"/>
          <w:szCs w:val="22"/>
        </w:rPr>
        <w:t>Bering Fur Seals</w:t>
      </w:r>
      <w:r w:rsidRPr="00514D8E">
        <w:rPr>
          <w:rFonts w:ascii="Baskerville" w:hAnsi="Baskerville"/>
          <w:bCs/>
          <w:sz w:val="22"/>
          <w:szCs w:val="22"/>
        </w:rPr>
        <w:t xml:space="preserve"> case (1893)</w:t>
      </w:r>
    </w:p>
    <w:p w14:paraId="397E1539" w14:textId="77777777" w:rsidR="006556E4" w:rsidRPr="00514D8E" w:rsidRDefault="006556E4" w:rsidP="006556E4">
      <w:pPr>
        <w:rPr>
          <w:rFonts w:ascii="Baskerville" w:hAnsi="Baskerville"/>
          <w:bCs/>
          <w:iCs/>
          <w:sz w:val="22"/>
          <w:szCs w:val="22"/>
          <w:lang w:val="en-US"/>
        </w:rPr>
      </w:pPr>
      <w:r w:rsidRPr="00514D8E">
        <w:rPr>
          <w:rFonts w:ascii="Baskerville" w:hAnsi="Baskerville"/>
          <w:bCs/>
          <w:i/>
          <w:iCs/>
          <w:sz w:val="22"/>
          <w:szCs w:val="22"/>
          <w:lang w:val="en-US"/>
        </w:rPr>
        <w:t xml:space="preserve">Bolton Metropolitan District Council and others </w:t>
      </w:r>
      <w:r w:rsidRPr="00514D8E">
        <w:rPr>
          <w:rFonts w:ascii="Baskerville" w:hAnsi="Baskerville"/>
          <w:bCs/>
          <w:iCs/>
          <w:sz w:val="22"/>
          <w:szCs w:val="22"/>
          <w:lang w:val="en-US"/>
        </w:rPr>
        <w:t>v</w:t>
      </w:r>
      <w:r w:rsidRPr="00514D8E">
        <w:rPr>
          <w:rFonts w:ascii="Baskerville" w:hAnsi="Baskerville"/>
          <w:bCs/>
          <w:i/>
          <w:iCs/>
          <w:sz w:val="22"/>
          <w:szCs w:val="22"/>
          <w:lang w:val="en-US"/>
        </w:rPr>
        <w:t xml:space="preserve"> Secretary of State for the Environment and others</w:t>
      </w:r>
      <w:r w:rsidRPr="00514D8E">
        <w:rPr>
          <w:rFonts w:ascii="Baskerville" w:hAnsi="Baskerville"/>
          <w:bCs/>
          <w:iCs/>
          <w:sz w:val="22"/>
          <w:szCs w:val="22"/>
          <w:lang w:val="en-US"/>
        </w:rPr>
        <w:t xml:space="preserve"> (1996) 71 P. &amp; C.R. 309</w:t>
      </w:r>
    </w:p>
    <w:p w14:paraId="7F79D57F" w14:textId="77777777" w:rsidR="006556E4" w:rsidRPr="00514D8E" w:rsidRDefault="006556E4" w:rsidP="006556E4">
      <w:pPr>
        <w:rPr>
          <w:rFonts w:ascii="Baskerville" w:hAnsi="Baskerville"/>
          <w:sz w:val="22"/>
          <w:szCs w:val="22"/>
        </w:rPr>
      </w:pPr>
      <w:r w:rsidRPr="00514D8E">
        <w:rPr>
          <w:rFonts w:ascii="Baskerville" w:hAnsi="Baskerville"/>
          <w:sz w:val="22"/>
          <w:szCs w:val="22"/>
        </w:rPr>
        <w:t xml:space="preserve">Case C-157/96 </w:t>
      </w:r>
      <w:r w:rsidRPr="00514D8E">
        <w:rPr>
          <w:rFonts w:ascii="Baskerville" w:hAnsi="Baskerville"/>
          <w:i/>
          <w:sz w:val="22"/>
          <w:szCs w:val="22"/>
        </w:rPr>
        <w:t>BSE</w:t>
      </w:r>
      <w:r w:rsidRPr="00514D8E">
        <w:rPr>
          <w:rFonts w:ascii="Baskerville" w:hAnsi="Baskerville"/>
          <w:sz w:val="22"/>
          <w:szCs w:val="22"/>
        </w:rPr>
        <w:t xml:space="preserve"> [1998] ECR1-2211</w:t>
      </w:r>
    </w:p>
    <w:p w14:paraId="4BF517D3" w14:textId="77777777" w:rsidR="006556E4" w:rsidRPr="00514D8E" w:rsidRDefault="006556E4" w:rsidP="006556E4">
      <w:pPr>
        <w:rPr>
          <w:rFonts w:ascii="Baskerville" w:hAnsi="Baskerville"/>
          <w:bCs/>
          <w:sz w:val="22"/>
          <w:szCs w:val="22"/>
          <w:lang w:val="en-US"/>
        </w:rPr>
      </w:pPr>
      <w:r w:rsidRPr="00514D8E">
        <w:rPr>
          <w:rFonts w:ascii="Baskerville" w:hAnsi="Baskerville"/>
          <w:bCs/>
          <w:iCs/>
          <w:sz w:val="22"/>
          <w:szCs w:val="22"/>
          <w:lang w:val="en-US"/>
        </w:rPr>
        <w:t xml:space="preserve">Case C-320/03 </w:t>
      </w:r>
      <w:r w:rsidRPr="00514D8E">
        <w:rPr>
          <w:rFonts w:ascii="Baskerville" w:hAnsi="Baskerville"/>
          <w:bCs/>
          <w:i/>
          <w:iCs/>
          <w:sz w:val="22"/>
          <w:szCs w:val="22"/>
          <w:lang w:val="en-US"/>
        </w:rPr>
        <w:t xml:space="preserve">Commission </w:t>
      </w:r>
      <w:r w:rsidRPr="00514D8E">
        <w:rPr>
          <w:rFonts w:ascii="Baskerville" w:hAnsi="Baskerville"/>
          <w:bCs/>
          <w:iCs/>
          <w:sz w:val="22"/>
          <w:szCs w:val="22"/>
          <w:lang w:val="en-US"/>
        </w:rPr>
        <w:t>v</w:t>
      </w:r>
      <w:r w:rsidRPr="00514D8E">
        <w:rPr>
          <w:rFonts w:ascii="Baskerville" w:hAnsi="Baskerville"/>
          <w:bCs/>
          <w:i/>
          <w:iCs/>
          <w:sz w:val="22"/>
          <w:szCs w:val="22"/>
          <w:lang w:val="en-US"/>
        </w:rPr>
        <w:t xml:space="preserve"> Austria</w:t>
      </w:r>
      <w:r w:rsidRPr="00514D8E">
        <w:rPr>
          <w:rFonts w:ascii="Baskerville" w:hAnsi="Baskerville"/>
          <w:bCs/>
          <w:iCs/>
          <w:sz w:val="22"/>
          <w:szCs w:val="22"/>
          <w:lang w:val="en-US"/>
        </w:rPr>
        <w:t xml:space="preserve"> [2005] ECR I-0000</w:t>
      </w:r>
    </w:p>
    <w:p w14:paraId="5347C680" w14:textId="77777777" w:rsidR="006E156B" w:rsidRPr="00514D8E" w:rsidRDefault="006E156B" w:rsidP="00611E7C">
      <w:pPr>
        <w:rPr>
          <w:rFonts w:ascii="Baskerville" w:hAnsi="Baskerville"/>
          <w:sz w:val="22"/>
          <w:szCs w:val="22"/>
          <w:lang w:val="en-US"/>
        </w:rPr>
      </w:pPr>
      <w:r w:rsidRPr="00514D8E">
        <w:rPr>
          <w:rFonts w:ascii="Baskerville" w:hAnsi="Baskerville"/>
          <w:sz w:val="22"/>
          <w:szCs w:val="22"/>
          <w:lang w:val="en-US"/>
        </w:rPr>
        <w:t xml:space="preserve">Case C-119/02 </w:t>
      </w:r>
      <w:r w:rsidRPr="00514D8E">
        <w:rPr>
          <w:rFonts w:ascii="Baskerville" w:hAnsi="Baskerville"/>
          <w:i/>
          <w:sz w:val="22"/>
          <w:szCs w:val="22"/>
          <w:lang w:val="en-US"/>
        </w:rPr>
        <w:t xml:space="preserve">Commission </w:t>
      </w:r>
      <w:r w:rsidRPr="00514D8E">
        <w:rPr>
          <w:rFonts w:ascii="Baskerville" w:hAnsi="Baskerville"/>
          <w:sz w:val="22"/>
          <w:szCs w:val="22"/>
          <w:lang w:val="en-US"/>
        </w:rPr>
        <w:t xml:space="preserve">v </w:t>
      </w:r>
      <w:r w:rsidRPr="00514D8E">
        <w:rPr>
          <w:rFonts w:ascii="Baskerville" w:hAnsi="Baskerville"/>
          <w:i/>
          <w:sz w:val="22"/>
          <w:szCs w:val="22"/>
          <w:lang w:val="en-US"/>
        </w:rPr>
        <w:t xml:space="preserve">Greece </w:t>
      </w:r>
      <w:r w:rsidRPr="00514D8E">
        <w:rPr>
          <w:rFonts w:ascii="Baskerville" w:hAnsi="Baskerville"/>
          <w:sz w:val="22"/>
          <w:szCs w:val="22"/>
          <w:lang w:val="en-US"/>
        </w:rPr>
        <w:t>[2004] ECR I-1433</w:t>
      </w:r>
    </w:p>
    <w:p w14:paraId="378D5F44" w14:textId="77777777" w:rsidR="006556E4" w:rsidRPr="00514D8E" w:rsidRDefault="006556E4" w:rsidP="006556E4">
      <w:pPr>
        <w:rPr>
          <w:rFonts w:ascii="Baskerville" w:hAnsi="Baskerville"/>
          <w:bCs/>
          <w:sz w:val="22"/>
          <w:szCs w:val="22"/>
        </w:rPr>
      </w:pPr>
      <w:r w:rsidRPr="00514D8E">
        <w:rPr>
          <w:rFonts w:ascii="Baskerville" w:hAnsi="Baskerville"/>
          <w:bCs/>
          <w:sz w:val="22"/>
          <w:szCs w:val="22"/>
        </w:rPr>
        <w:t xml:space="preserve">Case C-188/07 </w:t>
      </w:r>
      <w:r w:rsidRPr="00514D8E">
        <w:rPr>
          <w:rFonts w:ascii="Baskerville" w:hAnsi="Baskerville"/>
          <w:bCs/>
          <w:i/>
          <w:sz w:val="22"/>
          <w:szCs w:val="22"/>
        </w:rPr>
        <w:t xml:space="preserve">Commune de Mesquer </w:t>
      </w:r>
      <w:r w:rsidRPr="00514D8E">
        <w:rPr>
          <w:rFonts w:ascii="Baskerville" w:hAnsi="Baskerville"/>
          <w:bCs/>
          <w:sz w:val="22"/>
          <w:szCs w:val="22"/>
        </w:rPr>
        <w:t xml:space="preserve">v </w:t>
      </w:r>
      <w:r w:rsidRPr="00514D8E">
        <w:rPr>
          <w:rFonts w:ascii="Baskerville" w:hAnsi="Baskerville"/>
          <w:bCs/>
          <w:i/>
          <w:sz w:val="22"/>
          <w:szCs w:val="22"/>
        </w:rPr>
        <w:t xml:space="preserve">Total France SA </w:t>
      </w:r>
      <w:r w:rsidRPr="00514D8E">
        <w:rPr>
          <w:rFonts w:ascii="Baskerville" w:hAnsi="Baskerville"/>
          <w:bCs/>
          <w:sz w:val="22"/>
          <w:szCs w:val="22"/>
        </w:rPr>
        <w:t>[2008] ECR I-4501</w:t>
      </w:r>
    </w:p>
    <w:p w14:paraId="51AB15DD" w14:textId="77777777" w:rsidR="006556E4" w:rsidRPr="00514D8E" w:rsidRDefault="006556E4" w:rsidP="006556E4">
      <w:pPr>
        <w:rPr>
          <w:rFonts w:ascii="Baskerville" w:hAnsi="Baskerville"/>
          <w:bCs/>
          <w:sz w:val="22"/>
          <w:szCs w:val="22"/>
          <w:lang w:val="en-US"/>
        </w:rPr>
      </w:pPr>
      <w:r w:rsidRPr="00514D8E">
        <w:rPr>
          <w:rFonts w:ascii="Baskerville" w:hAnsi="Baskerville"/>
          <w:bCs/>
          <w:sz w:val="22"/>
          <w:szCs w:val="22"/>
          <w:lang w:val="en-US"/>
        </w:rPr>
        <w:t xml:space="preserve">Case C‑534/13 </w:t>
      </w:r>
      <w:r w:rsidRPr="00514D8E">
        <w:rPr>
          <w:rFonts w:ascii="Baskerville" w:hAnsi="Baskerville"/>
          <w:bCs/>
          <w:i/>
          <w:sz w:val="22"/>
          <w:szCs w:val="22"/>
          <w:lang w:val="en-US"/>
        </w:rPr>
        <w:t>Fipa Group and Others</w:t>
      </w:r>
      <w:r w:rsidRPr="00514D8E">
        <w:rPr>
          <w:rFonts w:ascii="Baskerville" w:hAnsi="Baskerville"/>
          <w:bCs/>
          <w:sz w:val="22"/>
          <w:szCs w:val="22"/>
          <w:lang w:val="en-US"/>
        </w:rPr>
        <w:t xml:space="preserve"> (Judgment) [2015] EUECJ</w:t>
      </w:r>
    </w:p>
    <w:p w14:paraId="351BA852" w14:textId="75C89EAF" w:rsidR="00611E7C" w:rsidRPr="00514D8E" w:rsidRDefault="00611E7C" w:rsidP="00611E7C">
      <w:pPr>
        <w:rPr>
          <w:rFonts w:ascii="Baskerville" w:hAnsi="Baskerville"/>
          <w:iCs/>
          <w:sz w:val="22"/>
          <w:szCs w:val="22"/>
        </w:rPr>
      </w:pPr>
      <w:r w:rsidRPr="00514D8E">
        <w:rPr>
          <w:rFonts w:ascii="Baskerville" w:hAnsi="Baskerville"/>
          <w:sz w:val="22"/>
          <w:szCs w:val="22"/>
        </w:rPr>
        <w:t xml:space="preserve">Case C-254/08 </w:t>
      </w:r>
      <w:r w:rsidRPr="00514D8E">
        <w:rPr>
          <w:rFonts w:ascii="Baskerville" w:hAnsi="Baskerville"/>
          <w:i/>
          <w:iCs/>
          <w:sz w:val="22"/>
          <w:szCs w:val="22"/>
        </w:rPr>
        <w:t xml:space="preserve">Futura Immobiliare </w:t>
      </w:r>
      <w:r w:rsidRPr="00514D8E">
        <w:rPr>
          <w:rFonts w:ascii="Baskerville" w:hAnsi="Baskerville"/>
          <w:iCs/>
          <w:sz w:val="22"/>
          <w:szCs w:val="22"/>
        </w:rPr>
        <w:t>v</w:t>
      </w:r>
      <w:r w:rsidRPr="00514D8E">
        <w:rPr>
          <w:rFonts w:ascii="Baskerville" w:hAnsi="Baskerville"/>
          <w:i/>
          <w:iCs/>
          <w:sz w:val="22"/>
          <w:szCs w:val="22"/>
        </w:rPr>
        <w:t xml:space="preserve"> Comune di Casoria </w:t>
      </w:r>
      <w:r w:rsidRPr="00514D8E">
        <w:rPr>
          <w:rFonts w:ascii="Baskerville" w:hAnsi="Baskerville"/>
          <w:iCs/>
          <w:sz w:val="22"/>
          <w:szCs w:val="22"/>
        </w:rPr>
        <w:t xml:space="preserve">[2009] ECR I-6995 </w:t>
      </w:r>
    </w:p>
    <w:p w14:paraId="0B2A3E8D" w14:textId="77777777" w:rsidR="006556E4" w:rsidRPr="00514D8E" w:rsidRDefault="006556E4" w:rsidP="006556E4">
      <w:pPr>
        <w:rPr>
          <w:rFonts w:ascii="Baskerville" w:hAnsi="Baskerville"/>
          <w:bCs/>
          <w:sz w:val="22"/>
          <w:szCs w:val="22"/>
        </w:rPr>
      </w:pPr>
      <w:r w:rsidRPr="00514D8E">
        <w:rPr>
          <w:rFonts w:ascii="Baskerville" w:hAnsi="Baskerville"/>
          <w:bCs/>
          <w:i/>
          <w:sz w:val="22"/>
          <w:szCs w:val="22"/>
        </w:rPr>
        <w:t>Lac Lanoux</w:t>
      </w:r>
      <w:r w:rsidRPr="00514D8E">
        <w:rPr>
          <w:rFonts w:ascii="Baskerville" w:hAnsi="Baskerville"/>
          <w:bCs/>
          <w:sz w:val="22"/>
          <w:szCs w:val="22"/>
        </w:rPr>
        <w:t xml:space="preserve"> case (1957)</w:t>
      </w:r>
    </w:p>
    <w:p w14:paraId="48C235A3" w14:textId="77777777" w:rsidR="006556E4" w:rsidRPr="00514D8E" w:rsidRDefault="006556E4" w:rsidP="006556E4">
      <w:pPr>
        <w:rPr>
          <w:rFonts w:ascii="Baskerville" w:hAnsi="Baskerville"/>
          <w:sz w:val="22"/>
          <w:szCs w:val="22"/>
        </w:rPr>
      </w:pPr>
      <w:r w:rsidRPr="00514D8E">
        <w:rPr>
          <w:rFonts w:ascii="Baskerville" w:hAnsi="Baskerville"/>
          <w:sz w:val="22"/>
          <w:szCs w:val="22"/>
        </w:rPr>
        <w:t xml:space="preserve">Case T-13/99 </w:t>
      </w:r>
      <w:r w:rsidRPr="00514D8E">
        <w:rPr>
          <w:rFonts w:ascii="Baskerville" w:hAnsi="Baskerville"/>
          <w:i/>
          <w:sz w:val="22"/>
          <w:szCs w:val="22"/>
        </w:rPr>
        <w:t>Pifzer</w:t>
      </w:r>
      <w:r w:rsidRPr="00514D8E">
        <w:rPr>
          <w:rFonts w:ascii="Baskerville" w:hAnsi="Baskerville"/>
          <w:sz w:val="22"/>
          <w:szCs w:val="22"/>
        </w:rPr>
        <w:t xml:space="preserve"> [2002] ECR 11-3305 </w:t>
      </w:r>
    </w:p>
    <w:p w14:paraId="42CDE785" w14:textId="77777777" w:rsidR="006556E4" w:rsidRPr="00514D8E" w:rsidRDefault="006556E4" w:rsidP="006556E4">
      <w:pPr>
        <w:rPr>
          <w:rFonts w:ascii="Baskerville" w:hAnsi="Baskerville"/>
          <w:sz w:val="22"/>
          <w:szCs w:val="22"/>
        </w:rPr>
      </w:pPr>
      <w:r w:rsidRPr="00514D8E">
        <w:rPr>
          <w:rFonts w:ascii="Baskerville" w:hAnsi="Baskerville"/>
          <w:i/>
          <w:sz w:val="22"/>
          <w:szCs w:val="22"/>
        </w:rPr>
        <w:t xml:space="preserve">Reinwater </w:t>
      </w:r>
      <w:r w:rsidRPr="00514D8E">
        <w:rPr>
          <w:rFonts w:ascii="Baskerville" w:hAnsi="Baskerville"/>
          <w:sz w:val="22"/>
          <w:szCs w:val="22"/>
        </w:rPr>
        <w:t xml:space="preserve">v </w:t>
      </w:r>
      <w:r w:rsidRPr="00514D8E">
        <w:rPr>
          <w:rFonts w:ascii="Baskerville" w:hAnsi="Baskerville"/>
          <w:i/>
          <w:sz w:val="22"/>
          <w:szCs w:val="22"/>
        </w:rPr>
        <w:t>Mines de Potasse d’Alsace</w:t>
      </w:r>
      <w:r w:rsidRPr="00514D8E">
        <w:rPr>
          <w:rFonts w:ascii="Baskerville" w:hAnsi="Baskerville"/>
          <w:sz w:val="22"/>
          <w:szCs w:val="22"/>
        </w:rPr>
        <w:t>, District Court of Rotterdam 113 (NJ 1979)</w:t>
      </w:r>
    </w:p>
    <w:p w14:paraId="4FCE550E" w14:textId="33CD5C11" w:rsidR="006556E4" w:rsidRPr="00514D8E" w:rsidRDefault="006556E4" w:rsidP="006556E4">
      <w:pPr>
        <w:rPr>
          <w:rFonts w:ascii="Baskerville" w:hAnsi="Baskerville"/>
          <w:sz w:val="22"/>
          <w:szCs w:val="22"/>
        </w:rPr>
      </w:pPr>
      <w:r w:rsidRPr="00514D8E">
        <w:rPr>
          <w:rFonts w:ascii="Baskerville" w:hAnsi="Baskerville"/>
          <w:i/>
          <w:iCs/>
          <w:sz w:val="22"/>
          <w:szCs w:val="22"/>
        </w:rPr>
        <w:t xml:space="preserve">R National Grid Gas PLC (formerly Transco plc) </w:t>
      </w:r>
      <w:r w:rsidRPr="00514D8E">
        <w:rPr>
          <w:rFonts w:ascii="Baskerville" w:hAnsi="Baskerville"/>
          <w:iCs/>
          <w:sz w:val="22"/>
          <w:szCs w:val="22"/>
        </w:rPr>
        <w:t>v</w:t>
      </w:r>
      <w:r w:rsidRPr="00514D8E">
        <w:rPr>
          <w:rFonts w:ascii="Baskerville" w:hAnsi="Baskerville"/>
          <w:i/>
          <w:iCs/>
          <w:sz w:val="22"/>
          <w:szCs w:val="22"/>
        </w:rPr>
        <w:t xml:space="preserve"> Environment Agency </w:t>
      </w:r>
      <w:r w:rsidR="00BE184F">
        <w:rPr>
          <w:rFonts w:ascii="Baskerville" w:hAnsi="Baskerville"/>
          <w:sz w:val="22"/>
          <w:szCs w:val="22"/>
        </w:rPr>
        <w:t>[2007] UKHL 30</w:t>
      </w:r>
    </w:p>
    <w:p w14:paraId="7CF9D8B1" w14:textId="77777777" w:rsidR="00611E7C" w:rsidRPr="00514D8E" w:rsidRDefault="00611E7C" w:rsidP="00611E7C">
      <w:pPr>
        <w:rPr>
          <w:rFonts w:ascii="Baskerville" w:hAnsi="Baskerville"/>
          <w:sz w:val="22"/>
          <w:szCs w:val="22"/>
        </w:rPr>
      </w:pPr>
      <w:r w:rsidRPr="00514D8E">
        <w:rPr>
          <w:rFonts w:ascii="Baskerville" w:hAnsi="Baskerville"/>
          <w:i/>
          <w:sz w:val="22"/>
          <w:szCs w:val="22"/>
        </w:rPr>
        <w:t>R</w:t>
      </w:r>
      <w:r w:rsidRPr="00514D8E">
        <w:rPr>
          <w:rFonts w:ascii="Baskerville" w:hAnsi="Baskerville"/>
          <w:sz w:val="22"/>
          <w:szCs w:val="22"/>
        </w:rPr>
        <w:t xml:space="preserve"> v </w:t>
      </w:r>
      <w:r w:rsidRPr="00514D8E">
        <w:rPr>
          <w:rFonts w:ascii="Baskerville" w:hAnsi="Baskerville"/>
          <w:i/>
          <w:sz w:val="22"/>
          <w:szCs w:val="22"/>
        </w:rPr>
        <w:t>Secretary of State for Trade and Industry,</w:t>
      </w:r>
      <w:r w:rsidRPr="00514D8E">
        <w:rPr>
          <w:rFonts w:ascii="Baskerville" w:hAnsi="Baskerville"/>
          <w:sz w:val="22"/>
          <w:szCs w:val="22"/>
        </w:rPr>
        <w:t xml:space="preserve"> </w:t>
      </w:r>
      <w:r w:rsidRPr="00514D8E">
        <w:rPr>
          <w:rFonts w:ascii="Baskerville" w:hAnsi="Baskerville"/>
          <w:i/>
          <w:iCs/>
          <w:sz w:val="22"/>
          <w:szCs w:val="22"/>
        </w:rPr>
        <w:t xml:space="preserve">ex parte Duddridge </w:t>
      </w:r>
      <w:r w:rsidRPr="00514D8E">
        <w:rPr>
          <w:rFonts w:ascii="Baskerville" w:hAnsi="Baskerville"/>
          <w:sz w:val="22"/>
          <w:szCs w:val="22"/>
        </w:rPr>
        <w:t>(1995) Env Lr 151</w:t>
      </w:r>
    </w:p>
    <w:p w14:paraId="41D4353B" w14:textId="77777777" w:rsidR="006556E4" w:rsidRPr="00514D8E" w:rsidRDefault="006556E4" w:rsidP="006556E4">
      <w:pPr>
        <w:rPr>
          <w:rFonts w:ascii="Baskerville" w:hAnsi="Baskerville"/>
          <w:sz w:val="22"/>
          <w:szCs w:val="22"/>
          <w:lang w:val="en-US"/>
        </w:rPr>
      </w:pPr>
      <w:r w:rsidRPr="00514D8E">
        <w:rPr>
          <w:rFonts w:ascii="Baskerville" w:hAnsi="Baskerville"/>
          <w:sz w:val="22"/>
          <w:szCs w:val="22"/>
          <w:lang w:val="en-US"/>
        </w:rPr>
        <w:t>Case C-293/97</w:t>
      </w:r>
      <w:r w:rsidRPr="00514D8E">
        <w:rPr>
          <w:rFonts w:ascii="Baskerville" w:hAnsi="Baskerville"/>
          <w:i/>
          <w:sz w:val="22"/>
          <w:szCs w:val="22"/>
          <w:lang w:val="en-US"/>
        </w:rPr>
        <w:t xml:space="preserve"> </w:t>
      </w:r>
      <w:r w:rsidRPr="00514D8E">
        <w:rPr>
          <w:rFonts w:ascii="Baskerville" w:hAnsi="Baskerville"/>
          <w:i/>
          <w:iCs/>
          <w:sz w:val="22"/>
          <w:szCs w:val="22"/>
          <w:lang w:val="en-US"/>
        </w:rPr>
        <w:t>Standley</w:t>
      </w:r>
      <w:r w:rsidRPr="00514D8E">
        <w:rPr>
          <w:rFonts w:ascii="Baskerville" w:hAnsi="Baskerville"/>
          <w:i/>
          <w:sz w:val="22"/>
          <w:szCs w:val="22"/>
          <w:lang w:val="en-US"/>
        </w:rPr>
        <w:t xml:space="preserve"> </w:t>
      </w:r>
      <w:r w:rsidRPr="00514D8E">
        <w:rPr>
          <w:rFonts w:ascii="Baskerville" w:hAnsi="Baskerville"/>
          <w:sz w:val="22"/>
          <w:szCs w:val="22"/>
          <w:lang w:val="en-US"/>
        </w:rPr>
        <w:t>[1999] ECR I-2603</w:t>
      </w:r>
    </w:p>
    <w:p w14:paraId="6EE05A5C" w14:textId="420CB4F1" w:rsidR="00223BEA" w:rsidRPr="00514D8E" w:rsidRDefault="00223BEA" w:rsidP="00611E7C">
      <w:pPr>
        <w:rPr>
          <w:rFonts w:ascii="Baskerville" w:hAnsi="Baskerville"/>
          <w:bCs/>
          <w:sz w:val="22"/>
          <w:szCs w:val="22"/>
        </w:rPr>
      </w:pPr>
      <w:r w:rsidRPr="00514D8E">
        <w:rPr>
          <w:rFonts w:ascii="Baskerville" w:hAnsi="Baskerville"/>
          <w:bCs/>
          <w:i/>
          <w:sz w:val="22"/>
          <w:szCs w:val="22"/>
        </w:rPr>
        <w:t>Trail Smelter</w:t>
      </w:r>
      <w:r w:rsidRPr="00514D8E">
        <w:rPr>
          <w:rFonts w:ascii="Baskerville" w:hAnsi="Baskerville"/>
          <w:bCs/>
          <w:sz w:val="22"/>
          <w:szCs w:val="22"/>
        </w:rPr>
        <w:t xml:space="preserve"> case (1941) </w:t>
      </w:r>
    </w:p>
    <w:p w14:paraId="1380E6EC" w14:textId="77777777" w:rsidR="00611E7C" w:rsidRDefault="00611E7C" w:rsidP="00611E7C">
      <w:pPr>
        <w:rPr>
          <w:rFonts w:ascii="Baskerville" w:hAnsi="Baskerville"/>
          <w:b/>
          <w:u w:val="single"/>
          <w:lang w:val="en-US"/>
        </w:rPr>
      </w:pPr>
    </w:p>
    <w:p w14:paraId="320CECBE" w14:textId="77777777" w:rsidR="006605C6" w:rsidRDefault="006605C6" w:rsidP="00611E7C">
      <w:pPr>
        <w:rPr>
          <w:rFonts w:ascii="Baskerville" w:hAnsi="Baskerville"/>
          <w:b/>
          <w:u w:val="single"/>
          <w:lang w:val="en-US"/>
        </w:rPr>
      </w:pPr>
    </w:p>
    <w:p w14:paraId="34E31336" w14:textId="77777777" w:rsidR="006605C6" w:rsidRDefault="006605C6" w:rsidP="00611E7C">
      <w:pPr>
        <w:rPr>
          <w:rFonts w:ascii="Baskerville" w:hAnsi="Baskerville"/>
          <w:b/>
          <w:u w:val="single"/>
          <w:lang w:val="en-US"/>
        </w:rPr>
      </w:pPr>
    </w:p>
    <w:p w14:paraId="2B3F2787" w14:textId="77777777" w:rsidR="006605C6" w:rsidRDefault="006605C6" w:rsidP="00611E7C">
      <w:pPr>
        <w:rPr>
          <w:rFonts w:ascii="Baskerville" w:hAnsi="Baskerville"/>
          <w:b/>
          <w:u w:val="single"/>
          <w:lang w:val="en-US"/>
        </w:rPr>
      </w:pPr>
    </w:p>
    <w:p w14:paraId="679C388C" w14:textId="77777777" w:rsidR="00A7394C" w:rsidRDefault="00A7394C" w:rsidP="00611E7C">
      <w:pPr>
        <w:rPr>
          <w:rFonts w:ascii="Baskerville" w:hAnsi="Baskerville"/>
          <w:b/>
          <w:u w:val="single"/>
          <w:lang w:val="en-US"/>
        </w:rPr>
      </w:pPr>
    </w:p>
    <w:p w14:paraId="6F32384F" w14:textId="77777777" w:rsidR="00A7394C" w:rsidRDefault="00A7394C" w:rsidP="00611E7C">
      <w:pPr>
        <w:rPr>
          <w:rFonts w:ascii="Baskerville" w:hAnsi="Baskerville"/>
          <w:b/>
          <w:u w:val="single"/>
          <w:lang w:val="en-US"/>
        </w:rPr>
      </w:pPr>
    </w:p>
    <w:p w14:paraId="74A72CA7" w14:textId="77777777" w:rsidR="00A7394C" w:rsidRDefault="00A7394C" w:rsidP="00611E7C">
      <w:pPr>
        <w:rPr>
          <w:rFonts w:ascii="Baskerville" w:hAnsi="Baskerville"/>
          <w:b/>
          <w:u w:val="single"/>
          <w:lang w:val="en-US"/>
        </w:rPr>
      </w:pPr>
    </w:p>
    <w:p w14:paraId="4C68E98B" w14:textId="77777777" w:rsidR="00A7394C" w:rsidRDefault="00A7394C" w:rsidP="00611E7C">
      <w:pPr>
        <w:rPr>
          <w:rFonts w:ascii="Baskerville" w:hAnsi="Baskerville"/>
          <w:b/>
          <w:u w:val="single"/>
          <w:lang w:val="en-US"/>
        </w:rPr>
      </w:pPr>
    </w:p>
    <w:p w14:paraId="5327B038" w14:textId="77777777" w:rsidR="00611E7C" w:rsidRDefault="00611E7C" w:rsidP="00611E7C">
      <w:pPr>
        <w:rPr>
          <w:rFonts w:ascii="Baskerville" w:hAnsi="Baskerville"/>
          <w:b/>
          <w:u w:val="single"/>
          <w:lang w:val="en-US"/>
        </w:rPr>
      </w:pPr>
      <w:r>
        <w:rPr>
          <w:rFonts w:ascii="Baskerville" w:hAnsi="Baskerville"/>
          <w:b/>
          <w:u w:val="single"/>
          <w:lang w:val="en-US"/>
        </w:rPr>
        <w:t>Secondary sources</w:t>
      </w:r>
    </w:p>
    <w:p w14:paraId="34A02EEF" w14:textId="77777777" w:rsidR="00611E7C" w:rsidRDefault="00611E7C" w:rsidP="00611E7C">
      <w:pPr>
        <w:rPr>
          <w:rFonts w:ascii="Baskerville" w:hAnsi="Baskerville"/>
          <w:b/>
          <w:u w:val="single"/>
          <w:lang w:val="en-US"/>
        </w:rPr>
      </w:pPr>
    </w:p>
    <w:p w14:paraId="1882A5AF" w14:textId="3F5840C9" w:rsidR="00611E7C" w:rsidRPr="001E1EB6" w:rsidRDefault="00611E7C" w:rsidP="00611E7C">
      <w:pPr>
        <w:rPr>
          <w:rFonts w:ascii="Baskerville" w:hAnsi="Baskerville"/>
          <w:b/>
          <w:u w:val="single"/>
          <w:lang w:val="en-US"/>
        </w:rPr>
      </w:pPr>
      <w:r>
        <w:rPr>
          <w:rFonts w:ascii="Baskerville" w:hAnsi="Baskerville"/>
          <w:b/>
          <w:u w:val="single"/>
          <w:lang w:val="en-US"/>
        </w:rPr>
        <w:t>Books</w:t>
      </w:r>
    </w:p>
    <w:p w14:paraId="5ADD328C" w14:textId="77777777" w:rsidR="001E1EB6" w:rsidRDefault="001E1EB6" w:rsidP="00611E7C">
      <w:pPr>
        <w:rPr>
          <w:rFonts w:ascii="Baskerville" w:hAnsi="Baskerville"/>
          <w:sz w:val="22"/>
          <w:szCs w:val="22"/>
        </w:rPr>
      </w:pPr>
    </w:p>
    <w:p w14:paraId="4F76C4E2" w14:textId="18451665" w:rsidR="00611E7C" w:rsidRDefault="001E1EB6" w:rsidP="00611E7C">
      <w:pPr>
        <w:rPr>
          <w:rFonts w:ascii="Baskerville" w:hAnsi="Baskerville"/>
          <w:b/>
          <w:u w:val="single"/>
          <w:lang w:val="en-US"/>
        </w:rPr>
      </w:pPr>
      <w:r>
        <w:rPr>
          <w:rFonts w:ascii="Baskerville" w:hAnsi="Baskerville"/>
          <w:sz w:val="22"/>
          <w:szCs w:val="22"/>
        </w:rPr>
        <w:t xml:space="preserve">Birnie </w:t>
      </w:r>
      <w:r w:rsidR="001C6373">
        <w:rPr>
          <w:rFonts w:ascii="Baskerville" w:hAnsi="Baskerville"/>
          <w:sz w:val="22"/>
          <w:szCs w:val="22"/>
        </w:rPr>
        <w:t xml:space="preserve">P </w:t>
      </w:r>
      <w:r>
        <w:rPr>
          <w:rFonts w:ascii="Baskerville" w:hAnsi="Baskerville"/>
          <w:sz w:val="22"/>
          <w:szCs w:val="22"/>
        </w:rPr>
        <w:t xml:space="preserve">and </w:t>
      </w:r>
      <w:r w:rsidRPr="001D7EAF">
        <w:rPr>
          <w:rFonts w:ascii="Baskerville" w:hAnsi="Baskerville"/>
          <w:sz w:val="22"/>
          <w:szCs w:val="22"/>
        </w:rPr>
        <w:t>Boyle</w:t>
      </w:r>
      <w:r w:rsidR="001C6373" w:rsidRPr="001C6373">
        <w:rPr>
          <w:rFonts w:ascii="Baskerville" w:hAnsi="Baskerville"/>
          <w:sz w:val="22"/>
          <w:szCs w:val="22"/>
        </w:rPr>
        <w:t xml:space="preserve"> </w:t>
      </w:r>
      <w:r w:rsidR="001C6373">
        <w:rPr>
          <w:rFonts w:ascii="Baskerville" w:hAnsi="Baskerville"/>
          <w:sz w:val="22"/>
          <w:szCs w:val="22"/>
        </w:rPr>
        <w:t>A</w:t>
      </w:r>
      <w:r w:rsidRPr="001D7EAF">
        <w:rPr>
          <w:rFonts w:ascii="Baskerville" w:hAnsi="Baskerville"/>
          <w:sz w:val="22"/>
          <w:szCs w:val="22"/>
        </w:rPr>
        <w:t xml:space="preserve">, </w:t>
      </w:r>
      <w:r w:rsidRPr="001D7EAF">
        <w:rPr>
          <w:rFonts w:ascii="Baskerville" w:hAnsi="Baskerville"/>
          <w:i/>
          <w:iCs/>
          <w:sz w:val="22"/>
          <w:szCs w:val="22"/>
        </w:rPr>
        <w:t>International Law and the Environment</w:t>
      </w:r>
      <w:r>
        <w:rPr>
          <w:rFonts w:ascii="Baskerville" w:hAnsi="Baskerville"/>
          <w:sz w:val="22"/>
          <w:szCs w:val="22"/>
        </w:rPr>
        <w:t xml:space="preserve"> (OUP</w:t>
      </w:r>
      <w:r w:rsidRPr="001D7EAF">
        <w:rPr>
          <w:rFonts w:ascii="Baskerville" w:hAnsi="Baskerville"/>
          <w:sz w:val="22"/>
          <w:szCs w:val="22"/>
        </w:rPr>
        <w:t xml:space="preserve"> 2002</w:t>
      </w:r>
      <w:r>
        <w:rPr>
          <w:rFonts w:ascii="Baskerville" w:hAnsi="Baskerville"/>
          <w:sz w:val="22"/>
          <w:szCs w:val="22"/>
        </w:rPr>
        <w:t>).</w:t>
      </w:r>
    </w:p>
    <w:p w14:paraId="7E749DF8" w14:textId="77777777" w:rsidR="001E1EB6" w:rsidRPr="001E1EB6" w:rsidRDefault="001E1EB6" w:rsidP="00611E7C">
      <w:pPr>
        <w:rPr>
          <w:rFonts w:ascii="Baskerville" w:hAnsi="Baskerville"/>
          <w:b/>
          <w:u w:val="single"/>
          <w:lang w:val="en-US"/>
        </w:rPr>
      </w:pPr>
    </w:p>
    <w:p w14:paraId="1A6BE6D9" w14:textId="65DD1F5D" w:rsidR="00611E7C" w:rsidRDefault="00611E7C" w:rsidP="00611E7C">
      <w:pPr>
        <w:rPr>
          <w:rFonts w:ascii="Baskerville" w:hAnsi="Baskerville"/>
          <w:sz w:val="22"/>
          <w:szCs w:val="22"/>
        </w:rPr>
      </w:pPr>
      <w:r w:rsidRPr="001D7EAF">
        <w:rPr>
          <w:rFonts w:ascii="Baskerville" w:hAnsi="Baskerville"/>
          <w:sz w:val="22"/>
          <w:szCs w:val="22"/>
        </w:rPr>
        <w:t xml:space="preserve">Cameron </w:t>
      </w:r>
      <w:r w:rsidR="001C6373">
        <w:rPr>
          <w:rFonts w:ascii="Baskerville" w:hAnsi="Baskerville"/>
          <w:sz w:val="22"/>
          <w:szCs w:val="22"/>
        </w:rPr>
        <w:t xml:space="preserve">J </w:t>
      </w:r>
      <w:r w:rsidRPr="001D7EAF">
        <w:rPr>
          <w:rFonts w:ascii="Baskerville" w:hAnsi="Baskerville"/>
          <w:sz w:val="22"/>
          <w:szCs w:val="22"/>
        </w:rPr>
        <w:t>and Abouchar</w:t>
      </w:r>
      <w:r w:rsidR="001C6373">
        <w:rPr>
          <w:rFonts w:ascii="Baskerville" w:hAnsi="Baskerville"/>
          <w:sz w:val="22"/>
          <w:szCs w:val="22"/>
        </w:rPr>
        <w:t xml:space="preserve"> J</w:t>
      </w:r>
      <w:r w:rsidRPr="001D7EAF">
        <w:rPr>
          <w:rFonts w:ascii="Baskerville" w:hAnsi="Baskerville"/>
          <w:sz w:val="22"/>
          <w:szCs w:val="22"/>
        </w:rPr>
        <w:t xml:space="preserve">, </w:t>
      </w:r>
      <w:r>
        <w:rPr>
          <w:rFonts w:ascii="Baskerville" w:hAnsi="Baskerville"/>
          <w:sz w:val="22"/>
          <w:szCs w:val="22"/>
        </w:rPr>
        <w:t>‘</w:t>
      </w:r>
      <w:r w:rsidRPr="001D7EAF">
        <w:rPr>
          <w:rFonts w:ascii="Baskerville" w:hAnsi="Baskerville"/>
          <w:sz w:val="22"/>
          <w:szCs w:val="22"/>
        </w:rPr>
        <w:t>The Status of the Precautionary Principle in International Law</w:t>
      </w:r>
      <w:r w:rsidR="00282629">
        <w:rPr>
          <w:rFonts w:ascii="Baskerville" w:hAnsi="Baskerville"/>
          <w:sz w:val="22"/>
          <w:szCs w:val="22"/>
        </w:rPr>
        <w:t xml:space="preserve">’ in </w:t>
      </w:r>
      <w:r>
        <w:rPr>
          <w:rFonts w:ascii="Baskerville" w:hAnsi="Baskerville"/>
          <w:sz w:val="22"/>
          <w:szCs w:val="22"/>
        </w:rPr>
        <w:t xml:space="preserve">Freestone </w:t>
      </w:r>
      <w:r w:rsidR="00282629">
        <w:rPr>
          <w:rFonts w:ascii="Baskerville" w:hAnsi="Baskerville"/>
          <w:sz w:val="22"/>
          <w:szCs w:val="22"/>
        </w:rPr>
        <w:t xml:space="preserve">D and </w:t>
      </w:r>
      <w:r>
        <w:rPr>
          <w:rFonts w:ascii="Baskerville" w:hAnsi="Baskerville"/>
          <w:sz w:val="22"/>
          <w:szCs w:val="22"/>
        </w:rPr>
        <w:t>Hey</w:t>
      </w:r>
      <w:r w:rsidR="00282629">
        <w:rPr>
          <w:rFonts w:ascii="Baskerville" w:hAnsi="Baskerville"/>
          <w:sz w:val="22"/>
          <w:szCs w:val="22"/>
        </w:rPr>
        <w:t xml:space="preserve"> E</w:t>
      </w:r>
      <w:r>
        <w:rPr>
          <w:rFonts w:ascii="Baskerville" w:hAnsi="Baskerville"/>
          <w:sz w:val="22"/>
          <w:szCs w:val="22"/>
        </w:rPr>
        <w:t xml:space="preserve"> (eds</w:t>
      </w:r>
      <w:r w:rsidRPr="001D7EAF">
        <w:rPr>
          <w:rFonts w:ascii="Baskerville" w:hAnsi="Baskerville"/>
          <w:sz w:val="22"/>
          <w:szCs w:val="22"/>
        </w:rPr>
        <w:t xml:space="preserve">), </w:t>
      </w:r>
      <w:r w:rsidRPr="001D7EAF">
        <w:rPr>
          <w:rFonts w:ascii="Baskerville" w:hAnsi="Baskerville"/>
          <w:i/>
          <w:iCs/>
          <w:sz w:val="22"/>
          <w:szCs w:val="22"/>
        </w:rPr>
        <w:t>The Precautionary Principle in International Law</w:t>
      </w:r>
      <w:r w:rsidRPr="001D7EAF">
        <w:rPr>
          <w:rFonts w:ascii="Baskerville" w:hAnsi="Baskerville"/>
          <w:sz w:val="22"/>
          <w:szCs w:val="22"/>
        </w:rPr>
        <w:t xml:space="preserve"> </w:t>
      </w:r>
      <w:r>
        <w:rPr>
          <w:rFonts w:ascii="Baskerville" w:hAnsi="Baskerville"/>
          <w:sz w:val="22"/>
          <w:szCs w:val="22"/>
        </w:rPr>
        <w:t>(Kluwer 1996)</w:t>
      </w:r>
      <w:r w:rsidR="004629FB">
        <w:rPr>
          <w:rFonts w:ascii="Baskerville" w:hAnsi="Baskerville"/>
          <w:sz w:val="22"/>
          <w:szCs w:val="22"/>
        </w:rPr>
        <w:t>.</w:t>
      </w:r>
      <w:r w:rsidRPr="001D7EAF">
        <w:rPr>
          <w:rFonts w:ascii="Baskerville" w:hAnsi="Baskerville"/>
          <w:sz w:val="22"/>
          <w:szCs w:val="22"/>
        </w:rPr>
        <w:t xml:space="preserve"> </w:t>
      </w:r>
    </w:p>
    <w:p w14:paraId="3883D704" w14:textId="77777777" w:rsidR="00611E7C" w:rsidRDefault="00611E7C" w:rsidP="00611E7C">
      <w:pPr>
        <w:rPr>
          <w:rFonts w:ascii="Baskerville" w:hAnsi="Baskerville"/>
          <w:sz w:val="22"/>
          <w:szCs w:val="22"/>
        </w:rPr>
      </w:pPr>
    </w:p>
    <w:p w14:paraId="7D60F784" w14:textId="6679121F" w:rsidR="004629FB" w:rsidRDefault="004629FB" w:rsidP="004629FB">
      <w:pPr>
        <w:rPr>
          <w:rFonts w:ascii="Baskerville" w:hAnsi="Baskerville"/>
          <w:sz w:val="22"/>
          <w:szCs w:val="22"/>
        </w:rPr>
      </w:pPr>
      <w:r w:rsidRPr="001D7EAF">
        <w:rPr>
          <w:rFonts w:ascii="Baskerville" w:hAnsi="Baskerville"/>
          <w:sz w:val="22"/>
          <w:szCs w:val="22"/>
        </w:rPr>
        <w:t>Christoforou</w:t>
      </w:r>
      <w:r w:rsidR="001C6373">
        <w:rPr>
          <w:rFonts w:ascii="Baskerville" w:hAnsi="Baskerville"/>
          <w:sz w:val="22"/>
          <w:szCs w:val="22"/>
        </w:rPr>
        <w:t xml:space="preserve"> T</w:t>
      </w:r>
      <w:r w:rsidRPr="001D7EAF">
        <w:rPr>
          <w:rFonts w:ascii="Baskerville" w:hAnsi="Baskerville"/>
          <w:sz w:val="22"/>
          <w:szCs w:val="22"/>
        </w:rPr>
        <w:t xml:space="preserve">, </w:t>
      </w:r>
      <w:r>
        <w:rPr>
          <w:rFonts w:ascii="Baskerville" w:hAnsi="Baskerville"/>
          <w:sz w:val="22"/>
          <w:szCs w:val="22"/>
        </w:rPr>
        <w:t>‘</w:t>
      </w:r>
      <w:r w:rsidRPr="001D7EAF">
        <w:rPr>
          <w:rFonts w:ascii="Baskerville" w:hAnsi="Baskerville"/>
          <w:sz w:val="22"/>
          <w:szCs w:val="22"/>
        </w:rPr>
        <w:t>The Precautionary Principle in EC Law and Science</w:t>
      </w:r>
      <w:r>
        <w:rPr>
          <w:rFonts w:ascii="Baskerville" w:hAnsi="Baskerville"/>
          <w:sz w:val="22"/>
          <w:szCs w:val="22"/>
        </w:rPr>
        <w:t>’</w:t>
      </w:r>
      <w:r w:rsidRPr="001D7EAF">
        <w:rPr>
          <w:rFonts w:ascii="Baskerville" w:hAnsi="Baskerville"/>
          <w:sz w:val="22"/>
          <w:szCs w:val="22"/>
        </w:rPr>
        <w:t xml:space="preserve"> in Tickner </w:t>
      </w:r>
      <w:r w:rsidR="00823E44">
        <w:rPr>
          <w:rFonts w:ascii="Baskerville" w:hAnsi="Baskerville"/>
          <w:sz w:val="22"/>
          <w:szCs w:val="22"/>
        </w:rPr>
        <w:t xml:space="preserve">J </w:t>
      </w:r>
      <w:r w:rsidRPr="001D7EAF">
        <w:rPr>
          <w:rFonts w:ascii="Baskerville" w:hAnsi="Baskerville"/>
          <w:sz w:val="22"/>
          <w:szCs w:val="22"/>
        </w:rPr>
        <w:t xml:space="preserve">(ed), </w:t>
      </w:r>
      <w:r w:rsidRPr="001D7EAF">
        <w:rPr>
          <w:rFonts w:ascii="Baskerville" w:hAnsi="Baskerville"/>
          <w:i/>
          <w:iCs/>
          <w:sz w:val="22"/>
          <w:szCs w:val="22"/>
        </w:rPr>
        <w:t>Environmental Science and Preventive Public Policy</w:t>
      </w:r>
      <w:r w:rsidRPr="001D7EAF">
        <w:rPr>
          <w:rFonts w:ascii="Baskerville" w:hAnsi="Baskerville"/>
          <w:sz w:val="22"/>
          <w:szCs w:val="22"/>
        </w:rPr>
        <w:t xml:space="preserve"> </w:t>
      </w:r>
      <w:r>
        <w:rPr>
          <w:rFonts w:ascii="Baskerville" w:hAnsi="Baskerville"/>
          <w:sz w:val="22"/>
          <w:szCs w:val="22"/>
        </w:rPr>
        <w:t>(Island Press</w:t>
      </w:r>
      <w:r w:rsidRPr="001D7EAF">
        <w:rPr>
          <w:rFonts w:ascii="Baskerville" w:hAnsi="Baskerville"/>
          <w:sz w:val="22"/>
          <w:szCs w:val="22"/>
        </w:rPr>
        <w:t xml:space="preserve"> 2003</w:t>
      </w:r>
      <w:r>
        <w:rPr>
          <w:rFonts w:ascii="Baskerville" w:hAnsi="Baskerville"/>
          <w:sz w:val="22"/>
          <w:szCs w:val="22"/>
        </w:rPr>
        <w:t>).</w:t>
      </w:r>
    </w:p>
    <w:p w14:paraId="46753E36" w14:textId="77777777" w:rsidR="001C6373" w:rsidRDefault="001C6373" w:rsidP="00611E7C">
      <w:pPr>
        <w:rPr>
          <w:rFonts w:ascii="Baskerville" w:hAnsi="Baskerville"/>
          <w:sz w:val="22"/>
          <w:szCs w:val="22"/>
        </w:rPr>
      </w:pPr>
    </w:p>
    <w:p w14:paraId="34DC9988" w14:textId="4609A92E" w:rsidR="00611E7C" w:rsidRDefault="00611E7C" w:rsidP="00611E7C">
      <w:pPr>
        <w:rPr>
          <w:rFonts w:ascii="Baskerville" w:hAnsi="Baskerville"/>
          <w:sz w:val="22"/>
          <w:szCs w:val="22"/>
        </w:rPr>
      </w:pPr>
      <w:r w:rsidRPr="001D7EAF">
        <w:rPr>
          <w:rFonts w:ascii="Baskerville" w:hAnsi="Baskerville"/>
          <w:sz w:val="22"/>
          <w:szCs w:val="22"/>
        </w:rPr>
        <w:t>Christoforou</w:t>
      </w:r>
      <w:r w:rsidR="001C6373">
        <w:rPr>
          <w:rFonts w:ascii="Baskerville" w:hAnsi="Baskerville"/>
          <w:sz w:val="22"/>
          <w:szCs w:val="22"/>
        </w:rPr>
        <w:t xml:space="preserve"> T</w:t>
      </w:r>
      <w:r w:rsidRPr="001D7EAF">
        <w:rPr>
          <w:rFonts w:ascii="Baskerville" w:hAnsi="Baskerville"/>
          <w:sz w:val="22"/>
          <w:szCs w:val="22"/>
        </w:rPr>
        <w:t xml:space="preserve">, </w:t>
      </w:r>
      <w:r>
        <w:rPr>
          <w:rFonts w:ascii="Baskerville" w:hAnsi="Baskerville"/>
          <w:sz w:val="22"/>
          <w:szCs w:val="22"/>
        </w:rPr>
        <w:t>‘</w:t>
      </w:r>
      <w:r w:rsidRPr="001D7EAF">
        <w:rPr>
          <w:rFonts w:ascii="Baskerville" w:hAnsi="Baskerville"/>
          <w:sz w:val="22"/>
          <w:szCs w:val="22"/>
        </w:rPr>
        <w:t>The Precautionary Principle in EC Law and the WTO Legal System</w:t>
      </w:r>
      <w:r>
        <w:rPr>
          <w:rFonts w:ascii="Baskerville" w:hAnsi="Baskerville"/>
          <w:sz w:val="22"/>
          <w:szCs w:val="22"/>
        </w:rPr>
        <w:t>’</w:t>
      </w:r>
      <w:r w:rsidR="00823E44">
        <w:rPr>
          <w:rFonts w:ascii="Baskerville" w:hAnsi="Baskerville"/>
          <w:sz w:val="22"/>
          <w:szCs w:val="22"/>
        </w:rPr>
        <w:t xml:space="preserve"> in </w:t>
      </w:r>
      <w:r w:rsidRPr="001D7EAF">
        <w:rPr>
          <w:rFonts w:ascii="Baskerville" w:hAnsi="Baskerville"/>
          <w:sz w:val="22"/>
          <w:szCs w:val="22"/>
        </w:rPr>
        <w:t>Kremlis</w:t>
      </w:r>
      <w:r w:rsidR="00823E44">
        <w:rPr>
          <w:rFonts w:ascii="Baskerville" w:hAnsi="Baskerville"/>
          <w:sz w:val="22"/>
          <w:szCs w:val="22"/>
        </w:rPr>
        <w:t xml:space="preserve"> G, </w:t>
      </w:r>
      <w:r w:rsidRPr="001D7EAF">
        <w:rPr>
          <w:rFonts w:ascii="Baskerville" w:hAnsi="Baskerville"/>
          <w:sz w:val="22"/>
          <w:szCs w:val="22"/>
        </w:rPr>
        <w:t xml:space="preserve">Balias </w:t>
      </w:r>
      <w:r w:rsidR="00823E44">
        <w:rPr>
          <w:rFonts w:ascii="Baskerville" w:hAnsi="Baskerville"/>
          <w:sz w:val="22"/>
          <w:szCs w:val="22"/>
        </w:rPr>
        <w:t xml:space="preserve">G and </w:t>
      </w:r>
      <w:r w:rsidRPr="001D7EAF">
        <w:rPr>
          <w:rFonts w:ascii="Baskerville" w:hAnsi="Baskerville"/>
          <w:sz w:val="22"/>
          <w:szCs w:val="22"/>
        </w:rPr>
        <w:t>Sifakis</w:t>
      </w:r>
      <w:r w:rsidR="00823E44">
        <w:rPr>
          <w:rFonts w:ascii="Baskerville" w:hAnsi="Baskerville"/>
          <w:sz w:val="22"/>
          <w:szCs w:val="22"/>
        </w:rPr>
        <w:t xml:space="preserve"> A</w:t>
      </w:r>
      <w:r w:rsidRPr="001D7EAF">
        <w:rPr>
          <w:rFonts w:ascii="Baskerville" w:hAnsi="Baskerville"/>
          <w:sz w:val="22"/>
          <w:szCs w:val="22"/>
        </w:rPr>
        <w:t xml:space="preserve"> (eds), </w:t>
      </w:r>
      <w:r w:rsidRPr="001D7EAF">
        <w:rPr>
          <w:rFonts w:ascii="Baskerville" w:hAnsi="Baskerville"/>
          <w:i/>
          <w:iCs/>
          <w:sz w:val="22"/>
          <w:szCs w:val="22"/>
        </w:rPr>
        <w:t>The Precautionary Principle</w:t>
      </w:r>
      <w:r>
        <w:rPr>
          <w:rFonts w:ascii="Baskerville" w:hAnsi="Baskerville"/>
          <w:sz w:val="22"/>
          <w:szCs w:val="22"/>
        </w:rPr>
        <w:t xml:space="preserve"> (Sakkoulas 2004)</w:t>
      </w:r>
      <w:r w:rsidR="004629FB">
        <w:rPr>
          <w:rFonts w:ascii="Baskerville" w:hAnsi="Baskerville"/>
          <w:sz w:val="22"/>
          <w:szCs w:val="22"/>
        </w:rPr>
        <w:t>.</w:t>
      </w:r>
      <w:r w:rsidRPr="001D7EAF">
        <w:rPr>
          <w:rFonts w:ascii="Baskerville" w:hAnsi="Baskerville"/>
          <w:sz w:val="22"/>
          <w:szCs w:val="22"/>
        </w:rPr>
        <w:t xml:space="preserve"> </w:t>
      </w:r>
    </w:p>
    <w:p w14:paraId="0DFAD186" w14:textId="77777777" w:rsidR="00611E7C" w:rsidRDefault="00611E7C" w:rsidP="00611E7C">
      <w:pPr>
        <w:rPr>
          <w:rFonts w:ascii="Baskerville" w:hAnsi="Baskerville"/>
          <w:sz w:val="22"/>
          <w:szCs w:val="22"/>
        </w:rPr>
      </w:pPr>
    </w:p>
    <w:p w14:paraId="301A723A" w14:textId="23EDE7E9" w:rsidR="001E1EB6" w:rsidRDefault="001E1EB6" w:rsidP="001E1EB6">
      <w:pPr>
        <w:rPr>
          <w:rFonts w:ascii="Baskerville" w:hAnsi="Baskerville"/>
          <w:sz w:val="22"/>
          <w:szCs w:val="22"/>
        </w:rPr>
      </w:pPr>
      <w:r>
        <w:rPr>
          <w:rFonts w:ascii="Baskerville" w:hAnsi="Baskerville"/>
          <w:sz w:val="22"/>
          <w:szCs w:val="22"/>
        </w:rPr>
        <w:t>De Sadeleer</w:t>
      </w:r>
      <w:r w:rsidR="001C6373">
        <w:rPr>
          <w:rFonts w:ascii="Baskerville" w:hAnsi="Baskerville"/>
          <w:sz w:val="22"/>
          <w:szCs w:val="22"/>
        </w:rPr>
        <w:t xml:space="preserve"> N</w:t>
      </w:r>
      <w:r>
        <w:rPr>
          <w:rFonts w:ascii="Baskerville" w:hAnsi="Baskerville"/>
          <w:sz w:val="22"/>
          <w:szCs w:val="22"/>
        </w:rPr>
        <w:t xml:space="preserve">, </w:t>
      </w:r>
      <w:r>
        <w:rPr>
          <w:rFonts w:ascii="Baskerville" w:hAnsi="Baskerville"/>
          <w:i/>
          <w:sz w:val="22"/>
          <w:szCs w:val="22"/>
        </w:rPr>
        <w:t xml:space="preserve">Environmental Principles: From Political Slogans to Legal Rules </w:t>
      </w:r>
      <w:r>
        <w:rPr>
          <w:rFonts w:ascii="Baskerville" w:hAnsi="Baskerville"/>
          <w:sz w:val="22"/>
          <w:szCs w:val="22"/>
        </w:rPr>
        <w:t>(OUP 2002).</w:t>
      </w:r>
    </w:p>
    <w:p w14:paraId="73EFF867" w14:textId="77777777" w:rsidR="00611E7C" w:rsidRDefault="00611E7C" w:rsidP="00611E7C">
      <w:pPr>
        <w:rPr>
          <w:rFonts w:ascii="Baskerville" w:hAnsi="Baskerville"/>
          <w:sz w:val="22"/>
          <w:szCs w:val="22"/>
        </w:rPr>
      </w:pPr>
    </w:p>
    <w:p w14:paraId="581974BD" w14:textId="1DA23BFD" w:rsidR="00611E7C" w:rsidRDefault="00611E7C" w:rsidP="00611E7C">
      <w:pPr>
        <w:pStyle w:val="FootnoteText"/>
        <w:rPr>
          <w:rFonts w:ascii="Baskerville" w:hAnsi="Baskerville"/>
          <w:sz w:val="22"/>
          <w:szCs w:val="22"/>
        </w:rPr>
      </w:pPr>
      <w:r>
        <w:rPr>
          <w:rFonts w:ascii="Baskerville" w:hAnsi="Baskerville"/>
          <w:sz w:val="22"/>
          <w:szCs w:val="22"/>
        </w:rPr>
        <w:t>Nollkaemper</w:t>
      </w:r>
      <w:r w:rsidR="001C6373">
        <w:rPr>
          <w:rFonts w:ascii="Baskerville" w:hAnsi="Baskerville"/>
          <w:sz w:val="22"/>
          <w:szCs w:val="22"/>
        </w:rPr>
        <w:t xml:space="preserve"> A</w:t>
      </w:r>
      <w:r>
        <w:rPr>
          <w:rFonts w:ascii="Baskerville" w:hAnsi="Baskerville"/>
          <w:sz w:val="22"/>
          <w:szCs w:val="22"/>
        </w:rPr>
        <w:t>, ‘International Environmental Law in the C</w:t>
      </w:r>
      <w:r w:rsidR="00282629">
        <w:rPr>
          <w:rFonts w:ascii="Baskerville" w:hAnsi="Baskerville"/>
          <w:sz w:val="22"/>
          <w:szCs w:val="22"/>
        </w:rPr>
        <w:t xml:space="preserve">ourts of the Netherlands’, in </w:t>
      </w:r>
      <w:r>
        <w:rPr>
          <w:rFonts w:ascii="Baskerville" w:hAnsi="Baskerville"/>
          <w:sz w:val="22"/>
          <w:szCs w:val="22"/>
        </w:rPr>
        <w:t xml:space="preserve">Anderson </w:t>
      </w:r>
      <w:r w:rsidR="00282629">
        <w:rPr>
          <w:rFonts w:ascii="Baskerville" w:hAnsi="Baskerville"/>
          <w:sz w:val="22"/>
          <w:szCs w:val="22"/>
        </w:rPr>
        <w:t xml:space="preserve">M and </w:t>
      </w:r>
      <w:r>
        <w:rPr>
          <w:rFonts w:ascii="Baskerville" w:hAnsi="Baskerville"/>
          <w:sz w:val="22"/>
          <w:szCs w:val="22"/>
        </w:rPr>
        <w:t>Galizzi</w:t>
      </w:r>
      <w:r w:rsidR="00282629">
        <w:rPr>
          <w:rFonts w:ascii="Baskerville" w:hAnsi="Baskerville"/>
          <w:sz w:val="22"/>
          <w:szCs w:val="22"/>
        </w:rPr>
        <w:t xml:space="preserve"> P</w:t>
      </w:r>
      <w:r>
        <w:rPr>
          <w:rFonts w:ascii="Baskerville" w:hAnsi="Baskerville"/>
          <w:sz w:val="22"/>
          <w:szCs w:val="22"/>
        </w:rPr>
        <w:t xml:space="preserve"> (eds), </w:t>
      </w:r>
      <w:r>
        <w:rPr>
          <w:rFonts w:ascii="Baskerville" w:hAnsi="Baskerville"/>
          <w:i/>
          <w:sz w:val="22"/>
          <w:szCs w:val="22"/>
        </w:rPr>
        <w:t xml:space="preserve">International Environmental Courts in National Courts </w:t>
      </w:r>
      <w:r>
        <w:rPr>
          <w:rFonts w:ascii="Baskerville" w:hAnsi="Baskerville"/>
          <w:sz w:val="22"/>
          <w:szCs w:val="22"/>
        </w:rPr>
        <w:t>(British Institute of International and Comparative Law 2002)</w:t>
      </w:r>
      <w:r w:rsidR="004629FB">
        <w:rPr>
          <w:rFonts w:ascii="Baskerville" w:hAnsi="Baskerville"/>
          <w:sz w:val="22"/>
          <w:szCs w:val="22"/>
        </w:rPr>
        <w:t>.</w:t>
      </w:r>
    </w:p>
    <w:p w14:paraId="562FFB6C" w14:textId="77777777" w:rsidR="001C6373" w:rsidRPr="006E1AA7" w:rsidRDefault="001C6373" w:rsidP="00611E7C">
      <w:pPr>
        <w:pStyle w:val="FootnoteText"/>
        <w:rPr>
          <w:rFonts w:ascii="Baskerville" w:hAnsi="Baskerville"/>
          <w:sz w:val="22"/>
          <w:szCs w:val="22"/>
          <w:lang w:val="en-US"/>
        </w:rPr>
      </w:pPr>
    </w:p>
    <w:p w14:paraId="77CB8811" w14:textId="77777777" w:rsidR="001C6373" w:rsidRDefault="001C6373" w:rsidP="001C6373">
      <w:pPr>
        <w:rPr>
          <w:rFonts w:ascii="Baskerville" w:hAnsi="Baskerville"/>
          <w:sz w:val="22"/>
          <w:szCs w:val="22"/>
        </w:rPr>
      </w:pPr>
      <w:r w:rsidRPr="008E04C7">
        <w:rPr>
          <w:rFonts w:ascii="Baskerville" w:hAnsi="Baskerville"/>
          <w:sz w:val="22"/>
          <w:szCs w:val="22"/>
        </w:rPr>
        <w:t>Vi</w:t>
      </w:r>
      <w:r w:rsidRPr="008E04C7">
        <w:rPr>
          <w:rFonts w:ascii="Baskerville" w:hAnsi="Baskerville" w:cs="Lucida Grande"/>
          <w:color w:val="000000"/>
          <w:sz w:val="22"/>
          <w:szCs w:val="22"/>
        </w:rPr>
        <w:t>ñ</w:t>
      </w:r>
      <w:r w:rsidRPr="008E04C7">
        <w:rPr>
          <w:rFonts w:ascii="Baskerville" w:hAnsi="Baskerville"/>
          <w:sz w:val="22"/>
          <w:szCs w:val="22"/>
        </w:rPr>
        <w:t>uales</w:t>
      </w:r>
      <w:r>
        <w:rPr>
          <w:rFonts w:ascii="Baskerville" w:hAnsi="Baskerville"/>
          <w:sz w:val="22"/>
          <w:szCs w:val="22"/>
        </w:rPr>
        <w:t xml:space="preserve"> J E, </w:t>
      </w:r>
      <w:r>
        <w:rPr>
          <w:rFonts w:ascii="Baskerville" w:hAnsi="Baskerville"/>
          <w:i/>
          <w:sz w:val="22"/>
          <w:szCs w:val="22"/>
        </w:rPr>
        <w:t xml:space="preserve">The Rio Declaration on the Environment and Development </w:t>
      </w:r>
      <w:r>
        <w:rPr>
          <w:rFonts w:ascii="Baskerville" w:hAnsi="Baskerville"/>
          <w:sz w:val="22"/>
          <w:szCs w:val="22"/>
        </w:rPr>
        <w:t>(OUP 2015).</w:t>
      </w:r>
    </w:p>
    <w:p w14:paraId="18540F24" w14:textId="77777777" w:rsidR="00611E7C" w:rsidRDefault="00611E7C" w:rsidP="00611E7C">
      <w:pPr>
        <w:rPr>
          <w:rFonts w:ascii="Baskerville" w:hAnsi="Baskerville"/>
          <w:b/>
          <w:u w:val="single"/>
          <w:lang w:val="en-US"/>
        </w:rPr>
      </w:pPr>
    </w:p>
    <w:p w14:paraId="6BD5907F" w14:textId="77777777" w:rsidR="00611E7C" w:rsidRDefault="00611E7C" w:rsidP="00611E7C">
      <w:pPr>
        <w:rPr>
          <w:rFonts w:ascii="Baskerville" w:hAnsi="Baskerville"/>
          <w:b/>
          <w:u w:val="single"/>
          <w:lang w:val="en-US"/>
        </w:rPr>
      </w:pPr>
      <w:r>
        <w:rPr>
          <w:rFonts w:ascii="Baskerville" w:hAnsi="Baskerville"/>
          <w:b/>
          <w:u w:val="single"/>
          <w:lang w:val="en-US"/>
        </w:rPr>
        <w:t>Journals</w:t>
      </w:r>
    </w:p>
    <w:p w14:paraId="7B154FB8" w14:textId="77777777" w:rsidR="00611E7C" w:rsidRDefault="00611E7C" w:rsidP="00611E7C">
      <w:pPr>
        <w:rPr>
          <w:rFonts w:ascii="Baskerville" w:hAnsi="Baskerville"/>
          <w:b/>
          <w:u w:val="single"/>
          <w:lang w:val="en-US"/>
        </w:rPr>
      </w:pPr>
    </w:p>
    <w:p w14:paraId="530BC5ED" w14:textId="737F425A" w:rsidR="00611E7C" w:rsidRDefault="00611E7C" w:rsidP="00611E7C">
      <w:pPr>
        <w:rPr>
          <w:rFonts w:ascii="Baskerville" w:hAnsi="Baskerville"/>
          <w:sz w:val="22"/>
          <w:szCs w:val="22"/>
        </w:rPr>
      </w:pPr>
      <w:r>
        <w:rPr>
          <w:rFonts w:ascii="Baskerville" w:hAnsi="Baskerville"/>
          <w:sz w:val="22"/>
          <w:szCs w:val="22"/>
        </w:rPr>
        <w:t>Cordato</w:t>
      </w:r>
      <w:r w:rsidR="00FD5D6B" w:rsidRPr="00FD5D6B">
        <w:rPr>
          <w:rFonts w:ascii="Baskerville" w:hAnsi="Baskerville"/>
          <w:sz w:val="22"/>
          <w:szCs w:val="22"/>
        </w:rPr>
        <w:t xml:space="preserve"> </w:t>
      </w:r>
      <w:r w:rsidR="00FD5D6B">
        <w:rPr>
          <w:rFonts w:ascii="Baskerville" w:hAnsi="Baskerville"/>
          <w:sz w:val="22"/>
          <w:szCs w:val="22"/>
        </w:rPr>
        <w:t>R E</w:t>
      </w:r>
      <w:r>
        <w:rPr>
          <w:rFonts w:ascii="Baskerville" w:hAnsi="Baskerville"/>
          <w:sz w:val="22"/>
          <w:szCs w:val="22"/>
        </w:rPr>
        <w:t>, ‘</w:t>
      </w:r>
      <w:r w:rsidRPr="00AF236D">
        <w:rPr>
          <w:rFonts w:ascii="Baskerville" w:hAnsi="Baskerville"/>
          <w:i/>
          <w:sz w:val="22"/>
          <w:szCs w:val="22"/>
        </w:rPr>
        <w:t>The Polluter Pays Principle: A Proper Guide for Environmental Policy</w:t>
      </w:r>
      <w:r>
        <w:rPr>
          <w:rFonts w:ascii="Baskerville" w:hAnsi="Baskerville"/>
          <w:i/>
          <w:sz w:val="22"/>
          <w:szCs w:val="22"/>
        </w:rPr>
        <w:t>’</w:t>
      </w:r>
      <w:r w:rsidR="00E757D0">
        <w:rPr>
          <w:rFonts w:ascii="Baskerville" w:hAnsi="Baskerville"/>
          <w:sz w:val="22"/>
          <w:szCs w:val="22"/>
        </w:rPr>
        <w:t xml:space="preserve">, </w:t>
      </w:r>
      <w:r w:rsidRPr="009D40D9">
        <w:rPr>
          <w:rFonts w:ascii="Baskerville" w:hAnsi="Baskerville"/>
          <w:sz w:val="22"/>
          <w:szCs w:val="22"/>
        </w:rPr>
        <w:t>Institute for Research on the Economics of Taxation Studies in Social Cost, Regulat</w:t>
      </w:r>
      <w:r w:rsidR="00691E2D">
        <w:rPr>
          <w:rFonts w:ascii="Baskerville" w:hAnsi="Baskerville"/>
          <w:sz w:val="22"/>
          <w:szCs w:val="22"/>
        </w:rPr>
        <w:t>ion, and the Environment</w:t>
      </w:r>
      <w:r w:rsidR="008E5A95">
        <w:rPr>
          <w:rFonts w:ascii="Baskerville" w:hAnsi="Baskerville"/>
          <w:sz w:val="22"/>
          <w:szCs w:val="22"/>
        </w:rPr>
        <w:t>,</w:t>
      </w:r>
      <w:r>
        <w:rPr>
          <w:rFonts w:ascii="Baskerville" w:hAnsi="Baskerville"/>
          <w:sz w:val="22"/>
          <w:szCs w:val="22"/>
        </w:rPr>
        <w:t xml:space="preserve"> </w:t>
      </w:r>
      <w:r w:rsidRPr="009D40D9">
        <w:rPr>
          <w:rFonts w:ascii="Baskerville" w:hAnsi="Baskerville"/>
          <w:sz w:val="22"/>
          <w:szCs w:val="22"/>
        </w:rPr>
        <w:t>Washington</w:t>
      </w:r>
      <w:r>
        <w:rPr>
          <w:rFonts w:ascii="Baskerville" w:hAnsi="Baskerville"/>
          <w:sz w:val="22"/>
          <w:szCs w:val="22"/>
        </w:rPr>
        <w:t xml:space="preserve"> DC</w:t>
      </w:r>
      <w:r w:rsidR="008E5A95">
        <w:rPr>
          <w:rFonts w:ascii="Baskerville" w:hAnsi="Baskerville"/>
          <w:sz w:val="22"/>
          <w:szCs w:val="22"/>
        </w:rPr>
        <w:t xml:space="preserve"> (2006).</w:t>
      </w:r>
    </w:p>
    <w:p w14:paraId="017D2E8E" w14:textId="77777777" w:rsidR="00611E7C" w:rsidRDefault="00611E7C" w:rsidP="00611E7C">
      <w:pPr>
        <w:pStyle w:val="FootnoteText"/>
        <w:rPr>
          <w:rFonts w:ascii="Baskerville" w:hAnsi="Baskerville"/>
          <w:sz w:val="22"/>
          <w:szCs w:val="22"/>
        </w:rPr>
      </w:pPr>
    </w:p>
    <w:p w14:paraId="3A6FB1A9" w14:textId="77777777" w:rsidR="00611E7C" w:rsidRPr="000A7533" w:rsidRDefault="00611E7C" w:rsidP="00611E7C">
      <w:pPr>
        <w:pStyle w:val="FootnoteText"/>
        <w:rPr>
          <w:rFonts w:ascii="Baskerville" w:hAnsi="Baskerville"/>
          <w:b/>
          <w:u w:val="single"/>
        </w:rPr>
      </w:pPr>
      <w:r w:rsidRPr="000A7533">
        <w:rPr>
          <w:rFonts w:ascii="Baskerville" w:hAnsi="Baskerville"/>
          <w:b/>
          <w:u w:val="single"/>
        </w:rPr>
        <w:t>Reports</w:t>
      </w:r>
      <w:r>
        <w:rPr>
          <w:rFonts w:ascii="Baskerville" w:hAnsi="Baskerville"/>
          <w:b/>
          <w:u w:val="single"/>
        </w:rPr>
        <w:t xml:space="preserve"> and Papers</w:t>
      </w:r>
    </w:p>
    <w:p w14:paraId="69FF8373" w14:textId="77777777" w:rsidR="00611E7C" w:rsidRDefault="00611E7C" w:rsidP="00611E7C">
      <w:pPr>
        <w:rPr>
          <w:rFonts w:ascii="Baskerville" w:hAnsi="Baskerville"/>
          <w:sz w:val="22"/>
          <w:szCs w:val="22"/>
        </w:rPr>
      </w:pPr>
    </w:p>
    <w:p w14:paraId="0A62BD07" w14:textId="1B13F896" w:rsidR="00611E7C" w:rsidRDefault="00611E7C" w:rsidP="00611E7C">
      <w:pPr>
        <w:rPr>
          <w:rFonts w:ascii="Baskerville" w:hAnsi="Baskerville"/>
          <w:sz w:val="22"/>
          <w:szCs w:val="22"/>
        </w:rPr>
      </w:pPr>
      <w:r w:rsidRPr="001D7EAF">
        <w:rPr>
          <w:rFonts w:ascii="Baskerville" w:hAnsi="Baskerville"/>
          <w:sz w:val="22"/>
          <w:szCs w:val="22"/>
        </w:rPr>
        <w:t xml:space="preserve">Shaw </w:t>
      </w:r>
      <w:r w:rsidR="00FD5D6B">
        <w:rPr>
          <w:rFonts w:ascii="Baskerville" w:hAnsi="Baskerville"/>
          <w:sz w:val="22"/>
          <w:szCs w:val="22"/>
        </w:rPr>
        <w:t xml:space="preserve">S and </w:t>
      </w:r>
      <w:r w:rsidRPr="001D7EAF">
        <w:rPr>
          <w:rFonts w:ascii="Baskerville" w:hAnsi="Baskerville"/>
          <w:sz w:val="22"/>
          <w:szCs w:val="22"/>
        </w:rPr>
        <w:t>Schwartz</w:t>
      </w:r>
      <w:r w:rsidR="00FD5D6B">
        <w:rPr>
          <w:rFonts w:ascii="Baskerville" w:hAnsi="Baskerville"/>
          <w:sz w:val="22"/>
          <w:szCs w:val="22"/>
        </w:rPr>
        <w:t xml:space="preserve"> R</w:t>
      </w:r>
      <w:r w:rsidRPr="001D7EAF">
        <w:rPr>
          <w:rFonts w:ascii="Baskerville" w:hAnsi="Baskerville"/>
          <w:sz w:val="22"/>
          <w:szCs w:val="22"/>
        </w:rPr>
        <w:t>, ‘</w:t>
      </w:r>
      <w:r w:rsidRPr="001D7EAF">
        <w:rPr>
          <w:rFonts w:ascii="Baskerville" w:hAnsi="Baskerville"/>
          <w:bCs/>
          <w:sz w:val="22"/>
          <w:szCs w:val="22"/>
        </w:rPr>
        <w:t>Trading Precaution: The Precautionary Principle and the WTO’, United Nations University – Institute of Advanced Studies Report</w:t>
      </w:r>
      <w:r w:rsidRPr="001D7EAF">
        <w:rPr>
          <w:rFonts w:ascii="Baskerville" w:hAnsi="Baskerville"/>
          <w:b/>
          <w:bCs/>
          <w:sz w:val="22"/>
          <w:szCs w:val="22"/>
        </w:rPr>
        <w:t xml:space="preserve"> </w:t>
      </w:r>
      <w:r w:rsidRPr="001D7EAF">
        <w:rPr>
          <w:rFonts w:ascii="Baskerville" w:hAnsi="Baskerville"/>
          <w:bCs/>
          <w:sz w:val="22"/>
          <w:szCs w:val="22"/>
        </w:rPr>
        <w:t>2005</w:t>
      </w:r>
      <w:r w:rsidR="00FD5D6B">
        <w:rPr>
          <w:rFonts w:ascii="Baskerville" w:hAnsi="Baskerville"/>
          <w:bCs/>
          <w:sz w:val="22"/>
          <w:szCs w:val="22"/>
        </w:rPr>
        <w:t>.</w:t>
      </w:r>
    </w:p>
    <w:p w14:paraId="08FA7EC0" w14:textId="77777777" w:rsidR="00611E7C" w:rsidRDefault="00611E7C" w:rsidP="00611E7C">
      <w:pPr>
        <w:rPr>
          <w:rFonts w:ascii="Baskerville" w:hAnsi="Baskerville"/>
          <w:sz w:val="22"/>
          <w:szCs w:val="22"/>
        </w:rPr>
      </w:pPr>
    </w:p>
    <w:p w14:paraId="0CDD50FD" w14:textId="3812F3DC" w:rsidR="00611E7C" w:rsidRDefault="00611E7C" w:rsidP="00611E7C">
      <w:pPr>
        <w:rPr>
          <w:rFonts w:ascii="Baskerville" w:hAnsi="Baskerville"/>
          <w:sz w:val="22"/>
          <w:szCs w:val="22"/>
        </w:rPr>
      </w:pPr>
      <w:r w:rsidRPr="00ED6C97">
        <w:rPr>
          <w:rFonts w:ascii="Baskerville" w:hAnsi="Baskerville"/>
          <w:sz w:val="22"/>
          <w:szCs w:val="22"/>
        </w:rPr>
        <w:t>Sands</w:t>
      </w:r>
      <w:r w:rsidR="00FD5D6B">
        <w:rPr>
          <w:rFonts w:ascii="Baskerville" w:hAnsi="Baskerville"/>
          <w:sz w:val="22"/>
          <w:szCs w:val="22"/>
        </w:rPr>
        <w:t xml:space="preserve"> P</w:t>
      </w:r>
      <w:r w:rsidRPr="00ED6C97">
        <w:rPr>
          <w:rFonts w:ascii="Baskerville" w:hAnsi="Baskerville"/>
          <w:sz w:val="22"/>
          <w:szCs w:val="22"/>
        </w:rPr>
        <w:t xml:space="preserve">, </w:t>
      </w:r>
      <w:r>
        <w:rPr>
          <w:rFonts w:ascii="Baskerville" w:hAnsi="Baskerville"/>
          <w:sz w:val="22"/>
          <w:szCs w:val="22"/>
        </w:rPr>
        <w:t>‘</w:t>
      </w:r>
      <w:r w:rsidRPr="00ED6C97">
        <w:rPr>
          <w:rFonts w:ascii="Baskerville" w:hAnsi="Baskerville"/>
          <w:i/>
          <w:sz w:val="22"/>
          <w:szCs w:val="22"/>
        </w:rPr>
        <w:t>Litigating Environmental Disputes: Courts, Tribunals and the Progressive Development of International Environmental Law</w:t>
      </w:r>
      <w:r>
        <w:rPr>
          <w:rFonts w:ascii="Baskerville" w:hAnsi="Baskerville"/>
          <w:sz w:val="22"/>
          <w:szCs w:val="22"/>
        </w:rPr>
        <w:t>’ Contribution to the Liber Amicorum of Judge Thomas Menash</w:t>
      </w:r>
    </w:p>
    <w:p w14:paraId="2178A718" w14:textId="46D02476" w:rsidR="00611E7C" w:rsidRPr="002F0FDE" w:rsidRDefault="00611E7C" w:rsidP="00611E7C">
      <w:pPr>
        <w:rPr>
          <w:rFonts w:ascii="Baskerville" w:hAnsi="Baskerville"/>
          <w:b/>
          <w:u w:val="single"/>
        </w:rPr>
      </w:pPr>
      <w:r>
        <w:rPr>
          <w:rFonts w:ascii="Baskerville" w:hAnsi="Baskerville"/>
          <w:sz w:val="22"/>
          <w:szCs w:val="22"/>
        </w:rPr>
        <w:t>2007</w:t>
      </w:r>
      <w:r w:rsidRPr="00ED6C97">
        <w:rPr>
          <w:rFonts w:ascii="Baskerville" w:hAnsi="Baskerville"/>
          <w:sz w:val="22"/>
          <w:szCs w:val="22"/>
        </w:rPr>
        <w:t xml:space="preserve"> Session 2.2: The policy framework for investment: the social and environmental dimensions </w:t>
      </w:r>
      <w:r w:rsidR="00FD5D6B">
        <w:rPr>
          <w:rFonts w:ascii="Baskerville" w:hAnsi="Baskerville"/>
          <w:sz w:val="22"/>
          <w:szCs w:val="22"/>
        </w:rPr>
        <w:t>(</w:t>
      </w:r>
      <w:r w:rsidRPr="00ED6C97">
        <w:rPr>
          <w:rFonts w:ascii="Baskerville" w:hAnsi="Baskerville"/>
          <w:sz w:val="22"/>
          <w:szCs w:val="22"/>
        </w:rPr>
        <w:t>OECD 2008</w:t>
      </w:r>
      <w:r w:rsidR="00FD5D6B">
        <w:rPr>
          <w:rFonts w:ascii="Baskerville" w:hAnsi="Baskerville"/>
          <w:sz w:val="22"/>
          <w:szCs w:val="22"/>
        </w:rPr>
        <w:t>).</w:t>
      </w:r>
    </w:p>
    <w:p w14:paraId="30FD087B" w14:textId="77777777" w:rsidR="003D3307" w:rsidRPr="00E728A6" w:rsidRDefault="003D3307" w:rsidP="003D3307">
      <w:pPr>
        <w:rPr>
          <w:rFonts w:ascii="Baskerville" w:hAnsi="Baskerville"/>
          <w:b/>
          <w:lang w:val="en-US"/>
        </w:rPr>
      </w:pPr>
    </w:p>
    <w:p w14:paraId="24DAA62E" w14:textId="77777777" w:rsidR="00FB5D35" w:rsidRPr="00FD5D6B" w:rsidRDefault="00FB5D35" w:rsidP="00EA6CF4">
      <w:pPr>
        <w:rPr>
          <w:rFonts w:ascii="Baskerville" w:hAnsi="Baskerville"/>
          <w:b/>
          <w:sz w:val="22"/>
          <w:szCs w:val="22"/>
          <w:u w:val="single"/>
          <w:lang w:val="en-US"/>
        </w:rPr>
      </w:pPr>
    </w:p>
    <w:p w14:paraId="4E2A7626" w14:textId="77777777" w:rsidR="00652721" w:rsidRDefault="00652721"/>
    <w:sectPr w:rsidR="00652721" w:rsidSect="00A923C8">
      <w:headerReference w:type="default" r:id="rId8"/>
      <w:footerReference w:type="even" r:id="rId9"/>
      <w:footerReference w:type="default" r:id="rId10"/>
      <w:pgSz w:w="11900" w:h="16840"/>
      <w:pgMar w:top="1135"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943CA2" w:rsidRDefault="00943CA2" w:rsidP="003272A5">
      <w:r>
        <w:separator/>
      </w:r>
    </w:p>
  </w:endnote>
  <w:endnote w:type="continuationSeparator" w:id="0">
    <w:p w14:paraId="6DDAF6ED" w14:textId="77777777" w:rsidR="00943CA2" w:rsidRDefault="00943CA2"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Baskerville">
    <w:panose1 w:val="02020502070401020303"/>
    <w:charset w:val="00"/>
    <w:family w:val="auto"/>
    <w:pitch w:val="variable"/>
    <w:sig w:usb0="80000067" w:usb1="00000000"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9C6B5" w14:textId="77777777" w:rsidR="00943CA2" w:rsidRDefault="00943CA2" w:rsidP="00DA43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D04CF83" w14:textId="77777777" w:rsidR="00943CA2" w:rsidRDefault="00943CA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97F7D" w14:textId="77777777" w:rsidR="00943CA2" w:rsidRPr="009E209E" w:rsidRDefault="00943CA2" w:rsidP="00DA43B8">
    <w:pPr>
      <w:pStyle w:val="Footer"/>
      <w:framePr w:wrap="around" w:vAnchor="text" w:hAnchor="margin" w:xAlign="center" w:y="1"/>
      <w:rPr>
        <w:rStyle w:val="PageNumber"/>
        <w:rFonts w:ascii="Baskerville" w:hAnsi="Baskerville"/>
      </w:rPr>
    </w:pPr>
    <w:r w:rsidRPr="009E209E">
      <w:rPr>
        <w:rStyle w:val="PageNumber"/>
        <w:rFonts w:ascii="Baskerville" w:hAnsi="Baskerville"/>
      </w:rPr>
      <w:fldChar w:fldCharType="begin"/>
    </w:r>
    <w:r w:rsidRPr="009E209E">
      <w:rPr>
        <w:rStyle w:val="PageNumber"/>
        <w:rFonts w:ascii="Baskerville" w:hAnsi="Baskerville"/>
      </w:rPr>
      <w:instrText xml:space="preserve">PAGE  </w:instrText>
    </w:r>
    <w:r w:rsidRPr="009E209E">
      <w:rPr>
        <w:rStyle w:val="PageNumber"/>
        <w:rFonts w:ascii="Baskerville" w:hAnsi="Baskerville"/>
      </w:rPr>
      <w:fldChar w:fldCharType="separate"/>
    </w:r>
    <w:r w:rsidR="00564E82">
      <w:rPr>
        <w:rStyle w:val="PageNumber"/>
        <w:rFonts w:ascii="Baskerville" w:hAnsi="Baskerville"/>
        <w:noProof/>
      </w:rPr>
      <w:t>1</w:t>
    </w:r>
    <w:r w:rsidRPr="009E209E">
      <w:rPr>
        <w:rStyle w:val="PageNumber"/>
        <w:rFonts w:ascii="Baskerville" w:hAnsi="Baskerville"/>
      </w:rPr>
      <w:fldChar w:fldCharType="end"/>
    </w:r>
  </w:p>
  <w:p w14:paraId="3B789BB0" w14:textId="77777777" w:rsidR="00943CA2" w:rsidRDefault="00943CA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943CA2" w:rsidRDefault="00943CA2" w:rsidP="003272A5">
      <w:r>
        <w:separator/>
      </w:r>
    </w:p>
  </w:footnote>
  <w:footnote w:type="continuationSeparator" w:id="0">
    <w:p w14:paraId="6849D78F" w14:textId="77777777" w:rsidR="00943CA2" w:rsidRDefault="00943CA2" w:rsidP="003272A5">
      <w:r>
        <w:continuationSeparator/>
      </w:r>
    </w:p>
  </w:footnote>
  <w:footnote w:id="1">
    <w:p w14:paraId="58A8D47F" w14:textId="2177C476" w:rsidR="00943CA2" w:rsidRPr="001D4E33" w:rsidRDefault="00943CA2">
      <w:pPr>
        <w:pStyle w:val="FootnoteText"/>
        <w:rPr>
          <w:rFonts w:ascii="Baskerville" w:hAnsi="Baskerville"/>
          <w:sz w:val="22"/>
          <w:szCs w:val="22"/>
        </w:rPr>
      </w:pPr>
      <w:r w:rsidRPr="001D4E33">
        <w:rPr>
          <w:rStyle w:val="FootnoteReference"/>
          <w:rFonts w:ascii="Baskerville" w:hAnsi="Baskerville"/>
          <w:sz w:val="22"/>
          <w:szCs w:val="22"/>
        </w:rPr>
        <w:footnoteRef/>
      </w:r>
      <w:r w:rsidRPr="001D4E33">
        <w:rPr>
          <w:rFonts w:ascii="Baskerville" w:hAnsi="Baskerville"/>
          <w:sz w:val="22"/>
          <w:szCs w:val="22"/>
        </w:rPr>
        <w:t xml:space="preserve"> </w:t>
      </w:r>
      <w:r w:rsidRPr="001D4E33">
        <w:rPr>
          <w:rFonts w:ascii="Baskerville" w:hAnsi="Baskerville"/>
          <w:bCs/>
          <w:sz w:val="22"/>
          <w:szCs w:val="22"/>
          <w:lang w:val="en-US"/>
        </w:rPr>
        <w:t xml:space="preserve">Iron Rhine Arbitration, </w:t>
      </w:r>
      <w:r w:rsidRPr="001D4E33">
        <w:rPr>
          <w:rFonts w:ascii="Baskerville" w:hAnsi="Baskerville"/>
          <w:bCs/>
          <w:i/>
          <w:sz w:val="22"/>
          <w:szCs w:val="22"/>
          <w:lang w:val="en-US"/>
        </w:rPr>
        <w:t>Belgium</w:t>
      </w:r>
      <w:r w:rsidRPr="001D4E33">
        <w:rPr>
          <w:rFonts w:ascii="Baskerville" w:hAnsi="Baskerville"/>
          <w:bCs/>
          <w:sz w:val="22"/>
          <w:szCs w:val="22"/>
          <w:lang w:val="en-US"/>
        </w:rPr>
        <w:t xml:space="preserve"> v </w:t>
      </w:r>
      <w:r w:rsidRPr="001D4E33">
        <w:rPr>
          <w:rFonts w:ascii="Baskerville" w:hAnsi="Baskerville"/>
          <w:bCs/>
          <w:i/>
          <w:sz w:val="22"/>
          <w:szCs w:val="22"/>
          <w:lang w:val="en-US"/>
        </w:rPr>
        <w:t>Netherlands</w:t>
      </w:r>
      <w:r w:rsidRPr="001D4E33">
        <w:rPr>
          <w:rFonts w:ascii="Baskerville" w:hAnsi="Baskerville"/>
          <w:bCs/>
          <w:sz w:val="22"/>
          <w:szCs w:val="22"/>
          <w:lang w:val="en-US"/>
        </w:rPr>
        <w:t>, Award, ICGJ 373 (PCA 2005), 24th May 2005, Permanent Court of Arbitration [PCA].</w:t>
      </w:r>
    </w:p>
  </w:footnote>
  <w:footnote w:id="2">
    <w:p w14:paraId="0F0B527C" w14:textId="5707392F" w:rsidR="00943CA2" w:rsidRPr="00E173E1" w:rsidRDefault="00943CA2" w:rsidP="0001377D">
      <w:pPr>
        <w:pStyle w:val="FootnoteText"/>
        <w:rPr>
          <w:rFonts w:ascii="Baskerville" w:hAnsi="Baskerville"/>
          <w:sz w:val="22"/>
          <w:szCs w:val="22"/>
          <w:lang w:val="en-US"/>
        </w:rPr>
      </w:pPr>
      <w:r w:rsidRPr="00E173E1">
        <w:rPr>
          <w:rStyle w:val="FootnoteReference"/>
          <w:rFonts w:ascii="Baskerville" w:hAnsi="Baskerville"/>
          <w:sz w:val="22"/>
          <w:szCs w:val="22"/>
        </w:rPr>
        <w:footnoteRef/>
      </w:r>
      <w:r w:rsidRPr="00E173E1">
        <w:rPr>
          <w:rFonts w:ascii="Baskerville" w:hAnsi="Baskerville"/>
          <w:sz w:val="22"/>
          <w:szCs w:val="22"/>
        </w:rPr>
        <w:t xml:space="preserve"> The Rio Declaration</w:t>
      </w:r>
      <w:r>
        <w:rPr>
          <w:rFonts w:ascii="Baskerville" w:hAnsi="Baskerville"/>
          <w:sz w:val="22"/>
          <w:szCs w:val="22"/>
        </w:rPr>
        <w:t xml:space="preserve"> on Enviro</w:t>
      </w:r>
      <w:bookmarkStart w:id="2" w:name="_GoBack"/>
      <w:bookmarkEnd w:id="2"/>
      <w:r>
        <w:rPr>
          <w:rFonts w:ascii="Baskerville" w:hAnsi="Baskerville"/>
          <w:sz w:val="22"/>
          <w:szCs w:val="22"/>
        </w:rPr>
        <w:t>nment and Development</w:t>
      </w:r>
      <w:r w:rsidRPr="00E173E1">
        <w:rPr>
          <w:rFonts w:ascii="Baskerville" w:hAnsi="Baskerville"/>
          <w:sz w:val="22"/>
          <w:szCs w:val="22"/>
        </w:rPr>
        <w:t xml:space="preserve">, </w:t>
      </w:r>
      <w:r w:rsidRPr="00E173E1">
        <w:rPr>
          <w:rFonts w:ascii="Baskerville" w:hAnsi="Baskerville"/>
          <w:sz w:val="22"/>
          <w:szCs w:val="22"/>
          <w:lang w:val="en-US"/>
        </w:rPr>
        <w:t>UN Doc. A/CONF.151/26 (vol. I) / 31 ILM 874 (1992)</w:t>
      </w:r>
      <w:r>
        <w:rPr>
          <w:rFonts w:ascii="Baskerville" w:hAnsi="Baskerville"/>
          <w:sz w:val="22"/>
          <w:szCs w:val="22"/>
        </w:rPr>
        <w:t>, Principle 16.</w:t>
      </w:r>
    </w:p>
  </w:footnote>
  <w:footnote w:id="3">
    <w:p w14:paraId="0D8C6DBA" w14:textId="5FD35BCC" w:rsidR="00943CA2" w:rsidRPr="009D33E6" w:rsidRDefault="00943CA2">
      <w:pPr>
        <w:pStyle w:val="FootnoteText"/>
        <w:rPr>
          <w:rFonts w:ascii="Baskerville" w:hAnsi="Baskerville"/>
          <w:sz w:val="22"/>
          <w:szCs w:val="22"/>
          <w:lang w:val="en-US"/>
        </w:rPr>
      </w:pPr>
      <w:r w:rsidRPr="009D33E6">
        <w:rPr>
          <w:rStyle w:val="FootnoteReference"/>
          <w:rFonts w:ascii="Baskerville" w:hAnsi="Baskerville"/>
          <w:sz w:val="22"/>
          <w:szCs w:val="22"/>
        </w:rPr>
        <w:footnoteRef/>
      </w:r>
      <w:r w:rsidRPr="009D33E6">
        <w:rPr>
          <w:rFonts w:ascii="Baskerville" w:hAnsi="Baskerville"/>
          <w:sz w:val="22"/>
          <w:szCs w:val="22"/>
        </w:rPr>
        <w:t xml:space="preserve"> Case C-188/07 </w:t>
      </w:r>
      <w:r w:rsidRPr="009D33E6">
        <w:rPr>
          <w:rFonts w:ascii="Baskerville" w:hAnsi="Baskerville"/>
          <w:i/>
          <w:sz w:val="22"/>
          <w:szCs w:val="22"/>
        </w:rPr>
        <w:t xml:space="preserve">Commune de Mesquer </w:t>
      </w:r>
      <w:r w:rsidRPr="009D33E6">
        <w:rPr>
          <w:rFonts w:ascii="Baskerville" w:hAnsi="Baskerville"/>
          <w:sz w:val="22"/>
          <w:szCs w:val="22"/>
        </w:rPr>
        <w:t xml:space="preserve">v </w:t>
      </w:r>
      <w:r w:rsidRPr="009D33E6">
        <w:rPr>
          <w:rFonts w:ascii="Baskerville" w:hAnsi="Baskerville"/>
          <w:i/>
          <w:sz w:val="22"/>
          <w:szCs w:val="22"/>
        </w:rPr>
        <w:t xml:space="preserve">Total France SA </w:t>
      </w:r>
      <w:r w:rsidR="00BF3435">
        <w:rPr>
          <w:rFonts w:ascii="Baskerville" w:hAnsi="Baskerville"/>
          <w:sz w:val="22"/>
          <w:szCs w:val="22"/>
        </w:rPr>
        <w:t>[2008] ECR I-4501, [77];</w:t>
      </w:r>
      <w:r w:rsidRPr="009D33E6">
        <w:rPr>
          <w:rFonts w:ascii="Baskerville" w:hAnsi="Baskerville"/>
          <w:sz w:val="22"/>
          <w:szCs w:val="22"/>
        </w:rPr>
        <w:t xml:space="preserve"> </w:t>
      </w:r>
      <w:r w:rsidR="00B93AF9" w:rsidRPr="009D33E6">
        <w:rPr>
          <w:rFonts w:ascii="Baskerville" w:hAnsi="Baskerville"/>
          <w:bCs/>
          <w:sz w:val="22"/>
          <w:szCs w:val="22"/>
          <w:lang w:val="en-US"/>
        </w:rPr>
        <w:t xml:space="preserve">Case C‑534/13 </w:t>
      </w:r>
      <w:r w:rsidR="00B93AF9" w:rsidRPr="009D33E6">
        <w:rPr>
          <w:rFonts w:ascii="Baskerville" w:hAnsi="Baskerville"/>
          <w:bCs/>
          <w:i/>
          <w:sz w:val="22"/>
          <w:szCs w:val="22"/>
          <w:lang w:val="en-US"/>
        </w:rPr>
        <w:t>Fipa Group and Others</w:t>
      </w:r>
      <w:r w:rsidR="00B93AF9" w:rsidRPr="009D33E6">
        <w:rPr>
          <w:rFonts w:ascii="Baskerville" w:hAnsi="Baskerville"/>
          <w:bCs/>
          <w:sz w:val="22"/>
          <w:szCs w:val="22"/>
          <w:lang w:val="en-US"/>
        </w:rPr>
        <w:t xml:space="preserve"> (Judgment) [2015] EUECJ</w:t>
      </w:r>
      <w:r w:rsidRPr="009D33E6">
        <w:rPr>
          <w:rFonts w:ascii="Baskerville" w:hAnsi="Baskerville"/>
          <w:sz w:val="22"/>
          <w:szCs w:val="22"/>
        </w:rPr>
        <w:t xml:space="preserve">, in which </w:t>
      </w:r>
      <w:r w:rsidRPr="009D33E6">
        <w:rPr>
          <w:rFonts w:ascii="Baskerville" w:hAnsi="Baskerville"/>
          <w:sz w:val="22"/>
          <w:szCs w:val="22"/>
          <w:lang w:val="en-US"/>
        </w:rPr>
        <w:t>the Council of State asked the Court of Justice whether the principles laid down in Article 191(2) TFEU</w:t>
      </w:r>
      <w:r w:rsidR="00DA6EB9" w:rsidRPr="009D33E6">
        <w:rPr>
          <w:rFonts w:ascii="Baskerville" w:hAnsi="Baskerville"/>
          <w:sz w:val="22"/>
          <w:szCs w:val="22"/>
          <w:lang w:val="en-US"/>
        </w:rPr>
        <w:t>,</w:t>
      </w:r>
      <w:r w:rsidRPr="009D33E6">
        <w:rPr>
          <w:rFonts w:ascii="Baskerville" w:hAnsi="Baskerville"/>
          <w:sz w:val="22"/>
          <w:szCs w:val="22"/>
          <w:lang w:val="en-US"/>
        </w:rPr>
        <w:t xml:space="preserve"> namely the ‘polluter-pays’ principle, the precautionary principle and the principles that preventive action should be taken and that environmental damage should be rectified at source as a matter of priority</w:t>
      </w:r>
      <w:r w:rsidR="00DA6EB9" w:rsidRPr="009D33E6">
        <w:rPr>
          <w:rFonts w:ascii="Baskerville" w:hAnsi="Baskerville"/>
          <w:sz w:val="22"/>
          <w:szCs w:val="22"/>
          <w:lang w:val="en-US"/>
        </w:rPr>
        <w:t>.</w:t>
      </w:r>
    </w:p>
  </w:footnote>
  <w:footnote w:id="4">
    <w:p w14:paraId="088C939C" w14:textId="6A4BEBD8" w:rsidR="00943CA2" w:rsidRPr="00B36BB8" w:rsidRDefault="00943CA2">
      <w:pPr>
        <w:pStyle w:val="FootnoteText"/>
        <w:rPr>
          <w:rFonts w:ascii="Baskerville" w:hAnsi="Baskerville"/>
          <w:sz w:val="22"/>
          <w:szCs w:val="22"/>
          <w:lang w:val="en-US"/>
        </w:rPr>
      </w:pPr>
      <w:r w:rsidRPr="00B36BB8">
        <w:rPr>
          <w:rStyle w:val="FootnoteReference"/>
          <w:rFonts w:ascii="Baskerville" w:hAnsi="Baskerville"/>
          <w:sz w:val="22"/>
          <w:szCs w:val="22"/>
        </w:rPr>
        <w:footnoteRef/>
      </w:r>
      <w:r>
        <w:rPr>
          <w:rFonts w:ascii="Baskerville" w:hAnsi="Baskerville"/>
          <w:sz w:val="22"/>
          <w:szCs w:val="22"/>
        </w:rPr>
        <w:t xml:space="preserve"> Case </w:t>
      </w:r>
      <w:r w:rsidRPr="00B36BB8">
        <w:rPr>
          <w:rFonts w:ascii="Baskerville" w:hAnsi="Baskerville"/>
          <w:sz w:val="22"/>
          <w:szCs w:val="22"/>
        </w:rPr>
        <w:t xml:space="preserve">C-254/08 </w:t>
      </w:r>
      <w:r w:rsidRPr="00B36BB8">
        <w:rPr>
          <w:rFonts w:ascii="Baskerville" w:hAnsi="Baskerville"/>
          <w:i/>
          <w:iCs/>
          <w:sz w:val="22"/>
          <w:szCs w:val="22"/>
        </w:rPr>
        <w:t xml:space="preserve">Futura Immobiliare </w:t>
      </w:r>
      <w:r w:rsidRPr="00C00F97">
        <w:rPr>
          <w:rFonts w:ascii="Baskerville" w:hAnsi="Baskerville"/>
          <w:iCs/>
          <w:sz w:val="22"/>
          <w:szCs w:val="22"/>
        </w:rPr>
        <w:t>v</w:t>
      </w:r>
      <w:r w:rsidRPr="00B36BB8">
        <w:rPr>
          <w:rFonts w:ascii="Baskerville" w:hAnsi="Baskerville"/>
          <w:i/>
          <w:iCs/>
          <w:sz w:val="22"/>
          <w:szCs w:val="22"/>
        </w:rPr>
        <w:t xml:space="preserve"> Comune di Casoria </w:t>
      </w:r>
      <w:r>
        <w:rPr>
          <w:rFonts w:ascii="Baskerville" w:hAnsi="Baskerville"/>
          <w:iCs/>
          <w:sz w:val="22"/>
          <w:szCs w:val="22"/>
        </w:rPr>
        <w:t>[2009] ECR I-6995 [</w:t>
      </w:r>
      <w:r w:rsidRPr="00B36BB8">
        <w:rPr>
          <w:rFonts w:ascii="Baskerville" w:hAnsi="Baskerville"/>
          <w:iCs/>
          <w:sz w:val="22"/>
          <w:szCs w:val="22"/>
        </w:rPr>
        <w:t>56</w:t>
      </w:r>
      <w:r>
        <w:rPr>
          <w:rFonts w:ascii="Baskerville" w:hAnsi="Baskerville"/>
          <w:iCs/>
          <w:sz w:val="22"/>
          <w:szCs w:val="22"/>
        </w:rPr>
        <w:t>]</w:t>
      </w:r>
      <w:r w:rsidRPr="00B36BB8">
        <w:rPr>
          <w:rFonts w:ascii="Baskerville" w:hAnsi="Baskerville"/>
          <w:iCs/>
          <w:sz w:val="22"/>
          <w:szCs w:val="22"/>
        </w:rPr>
        <w:t>.</w:t>
      </w:r>
    </w:p>
  </w:footnote>
  <w:footnote w:id="5">
    <w:p w14:paraId="6A400143" w14:textId="48328D18" w:rsidR="00943CA2" w:rsidRPr="00154AD6" w:rsidRDefault="00943CA2">
      <w:pPr>
        <w:pStyle w:val="FootnoteText"/>
        <w:rPr>
          <w:lang w:val="en-US"/>
        </w:rPr>
      </w:pPr>
      <w:r w:rsidRPr="00B36BB8">
        <w:rPr>
          <w:rStyle w:val="FootnoteReference"/>
          <w:rFonts w:ascii="Baskerville" w:hAnsi="Baskerville"/>
          <w:sz w:val="22"/>
          <w:szCs w:val="22"/>
        </w:rPr>
        <w:footnoteRef/>
      </w:r>
      <w:r w:rsidRPr="00B36BB8">
        <w:rPr>
          <w:rFonts w:ascii="Baskerville" w:hAnsi="Baskerville"/>
          <w:sz w:val="22"/>
          <w:szCs w:val="22"/>
        </w:rPr>
        <w:t xml:space="preserve"> </w:t>
      </w:r>
      <w:r>
        <w:rPr>
          <w:rFonts w:ascii="Baskerville" w:hAnsi="Baskerville"/>
          <w:sz w:val="22"/>
          <w:szCs w:val="22"/>
        </w:rPr>
        <w:t>Ibid [</w:t>
      </w:r>
      <w:r w:rsidRPr="00B36BB8">
        <w:rPr>
          <w:rFonts w:ascii="Baskerville" w:hAnsi="Baskerville"/>
          <w:sz w:val="22"/>
          <w:szCs w:val="22"/>
        </w:rPr>
        <w:t>65</w:t>
      </w:r>
      <w:r>
        <w:rPr>
          <w:rFonts w:ascii="Baskerville" w:hAnsi="Baskerville"/>
          <w:sz w:val="22"/>
          <w:szCs w:val="22"/>
        </w:rPr>
        <w:t>]</w:t>
      </w:r>
      <w:r w:rsidRPr="00B36BB8">
        <w:rPr>
          <w:rFonts w:ascii="Baskerville" w:hAnsi="Baskerville"/>
          <w:sz w:val="22"/>
          <w:szCs w:val="22"/>
        </w:rPr>
        <w:t>.</w:t>
      </w:r>
    </w:p>
  </w:footnote>
  <w:footnote w:id="6">
    <w:p w14:paraId="0D324E5D" w14:textId="4D5F4225" w:rsidR="00943CA2" w:rsidRPr="00AF236D" w:rsidRDefault="00943CA2">
      <w:pPr>
        <w:pStyle w:val="FootnoteText"/>
        <w:rPr>
          <w:rFonts w:ascii="Baskerville" w:hAnsi="Baskerville"/>
          <w:sz w:val="22"/>
          <w:szCs w:val="22"/>
        </w:rPr>
      </w:pPr>
      <w:r w:rsidRPr="008F26A5">
        <w:rPr>
          <w:rStyle w:val="FootnoteReference"/>
          <w:rFonts w:ascii="Baskerville" w:hAnsi="Baskerville"/>
          <w:sz w:val="22"/>
          <w:szCs w:val="22"/>
        </w:rPr>
        <w:footnoteRef/>
      </w:r>
      <w:r w:rsidRPr="008F26A5">
        <w:rPr>
          <w:rFonts w:ascii="Baskerville" w:hAnsi="Baskerville"/>
          <w:sz w:val="22"/>
          <w:szCs w:val="22"/>
        </w:rPr>
        <w:t xml:space="preserve"> </w:t>
      </w:r>
      <w:r>
        <w:rPr>
          <w:rFonts w:ascii="Baskerville" w:hAnsi="Baskerville"/>
          <w:sz w:val="22"/>
          <w:szCs w:val="22"/>
        </w:rPr>
        <w:t xml:space="preserve">R. E. Cordato, </w:t>
      </w:r>
      <w:r w:rsidRPr="00AF236D">
        <w:rPr>
          <w:rFonts w:ascii="Baskerville" w:hAnsi="Baskerville"/>
          <w:i/>
          <w:sz w:val="22"/>
          <w:szCs w:val="22"/>
        </w:rPr>
        <w:t>The Polluter Pays Principle: A Proper Guide for Environmental Policy</w:t>
      </w:r>
      <w:r>
        <w:rPr>
          <w:rFonts w:ascii="Baskerville" w:hAnsi="Baskerville"/>
          <w:sz w:val="22"/>
          <w:szCs w:val="22"/>
        </w:rPr>
        <w:t xml:space="preserve">, </w:t>
      </w:r>
      <w:r w:rsidRPr="009D40D9">
        <w:rPr>
          <w:rFonts w:ascii="Baskerville" w:hAnsi="Baskerville"/>
          <w:sz w:val="22"/>
          <w:szCs w:val="22"/>
        </w:rPr>
        <w:t>Institute for Research on the Economics of Taxation Studies in Social Cost, Regulat</w:t>
      </w:r>
      <w:r>
        <w:rPr>
          <w:rFonts w:ascii="Baskerville" w:hAnsi="Baskerville"/>
          <w:sz w:val="22"/>
          <w:szCs w:val="22"/>
        </w:rPr>
        <w:t>ion, and the Environment: No. 6 (</w:t>
      </w:r>
      <w:r w:rsidRPr="009D40D9">
        <w:rPr>
          <w:rFonts w:ascii="Baskerville" w:hAnsi="Baskerville"/>
          <w:sz w:val="22"/>
          <w:szCs w:val="22"/>
        </w:rPr>
        <w:t>Washington</w:t>
      </w:r>
      <w:r>
        <w:rPr>
          <w:rFonts w:ascii="Baskerville" w:hAnsi="Baskerville"/>
          <w:sz w:val="22"/>
          <w:szCs w:val="22"/>
        </w:rPr>
        <w:t>, D.C. 200</w:t>
      </w:r>
      <w:r w:rsidRPr="009D40D9">
        <w:rPr>
          <w:rFonts w:ascii="Baskerville" w:hAnsi="Baskerville"/>
          <w:sz w:val="22"/>
          <w:szCs w:val="22"/>
        </w:rPr>
        <w:t>6</w:t>
      </w:r>
      <w:r>
        <w:rPr>
          <w:rFonts w:ascii="Baskerville" w:hAnsi="Baskerville"/>
          <w:sz w:val="22"/>
          <w:szCs w:val="22"/>
        </w:rPr>
        <w:t>), p ii.</w:t>
      </w:r>
      <w:r w:rsidRPr="009D40D9">
        <w:rPr>
          <w:rFonts w:ascii="Baskerville" w:hAnsi="Baskerville"/>
          <w:sz w:val="22"/>
          <w:szCs w:val="22"/>
        </w:rPr>
        <w:t xml:space="preserve"> </w:t>
      </w:r>
    </w:p>
  </w:footnote>
  <w:footnote w:id="7">
    <w:p w14:paraId="00E3A7CF" w14:textId="5D26C9A5" w:rsidR="00943CA2" w:rsidRPr="00272C29" w:rsidRDefault="00943CA2">
      <w:pPr>
        <w:pStyle w:val="FootnoteText"/>
        <w:rPr>
          <w:rFonts w:ascii="Baskerville" w:hAnsi="Baskerville"/>
          <w:sz w:val="22"/>
          <w:szCs w:val="22"/>
          <w:lang w:val="en-US"/>
        </w:rPr>
      </w:pPr>
      <w:r w:rsidRPr="00272C29">
        <w:rPr>
          <w:rStyle w:val="FootnoteReference"/>
          <w:rFonts w:ascii="Baskerville" w:hAnsi="Baskerville"/>
          <w:sz w:val="22"/>
          <w:szCs w:val="22"/>
        </w:rPr>
        <w:footnoteRef/>
      </w:r>
      <w:r w:rsidRPr="00272C29">
        <w:rPr>
          <w:rFonts w:ascii="Baskerville" w:hAnsi="Baskerville"/>
          <w:sz w:val="22"/>
          <w:szCs w:val="22"/>
        </w:rPr>
        <w:t xml:space="preserve"> </w:t>
      </w:r>
      <w:r>
        <w:rPr>
          <w:rFonts w:ascii="Baskerville" w:hAnsi="Baskerville"/>
          <w:sz w:val="22"/>
          <w:szCs w:val="22"/>
        </w:rPr>
        <w:t>Ibid.</w:t>
      </w:r>
    </w:p>
  </w:footnote>
  <w:footnote w:id="8">
    <w:p w14:paraId="79BB9236" w14:textId="0F97B196" w:rsidR="00943CA2" w:rsidRPr="008B1172" w:rsidRDefault="00943CA2">
      <w:pPr>
        <w:pStyle w:val="FootnoteText"/>
        <w:rPr>
          <w:rFonts w:ascii="Baskerville" w:hAnsi="Baskerville"/>
          <w:sz w:val="22"/>
          <w:szCs w:val="22"/>
          <w:lang w:val="en-US"/>
        </w:rPr>
      </w:pPr>
      <w:r w:rsidRPr="008B1172">
        <w:rPr>
          <w:rStyle w:val="FootnoteReference"/>
          <w:rFonts w:ascii="Baskerville" w:hAnsi="Baskerville"/>
          <w:sz w:val="22"/>
          <w:szCs w:val="22"/>
        </w:rPr>
        <w:footnoteRef/>
      </w:r>
      <w:r w:rsidRPr="008B1172">
        <w:rPr>
          <w:rFonts w:ascii="Baskerville" w:hAnsi="Baskerville"/>
          <w:sz w:val="22"/>
          <w:szCs w:val="22"/>
        </w:rPr>
        <w:t xml:space="preserve"> </w:t>
      </w:r>
      <w:r>
        <w:rPr>
          <w:rFonts w:ascii="Baskerville" w:hAnsi="Baskerville"/>
          <w:sz w:val="22"/>
          <w:szCs w:val="22"/>
        </w:rPr>
        <w:t xml:space="preserve">EC Treaty, </w:t>
      </w:r>
      <w:r w:rsidRPr="008B1172">
        <w:rPr>
          <w:rFonts w:ascii="Baskerville" w:hAnsi="Baskerville"/>
          <w:sz w:val="22"/>
          <w:szCs w:val="22"/>
        </w:rPr>
        <w:t>Article 174(2)</w:t>
      </w:r>
      <w:r>
        <w:rPr>
          <w:rFonts w:ascii="Baskerville" w:hAnsi="Baskerville"/>
          <w:sz w:val="22"/>
          <w:szCs w:val="22"/>
        </w:rPr>
        <w:t>.</w:t>
      </w:r>
    </w:p>
  </w:footnote>
  <w:footnote w:id="9">
    <w:p w14:paraId="7BF8F075" w14:textId="31535E38" w:rsidR="00943CA2" w:rsidRPr="00715750" w:rsidRDefault="00943CA2">
      <w:pPr>
        <w:pStyle w:val="FootnoteText"/>
        <w:rPr>
          <w:rFonts w:ascii="Baskerville" w:hAnsi="Baskerville"/>
          <w:sz w:val="22"/>
          <w:szCs w:val="22"/>
          <w:lang w:val="en-US"/>
        </w:rPr>
      </w:pPr>
      <w:r w:rsidRPr="00715750">
        <w:rPr>
          <w:rStyle w:val="FootnoteReference"/>
          <w:rFonts w:ascii="Baskerville" w:hAnsi="Baskerville"/>
          <w:sz w:val="22"/>
          <w:szCs w:val="22"/>
        </w:rPr>
        <w:footnoteRef/>
      </w:r>
      <w:r w:rsidRPr="00715750">
        <w:rPr>
          <w:rFonts w:ascii="Baskerville" w:hAnsi="Baskerville"/>
          <w:sz w:val="22"/>
          <w:szCs w:val="22"/>
        </w:rPr>
        <w:t xml:space="preserve"> </w:t>
      </w:r>
      <w:r>
        <w:rPr>
          <w:rFonts w:ascii="Baskerville" w:hAnsi="Baskerville"/>
          <w:sz w:val="22"/>
          <w:szCs w:val="22"/>
        </w:rPr>
        <w:t xml:space="preserve">N. De Sadeleer, </w:t>
      </w:r>
      <w:r>
        <w:rPr>
          <w:rFonts w:ascii="Baskerville" w:hAnsi="Baskerville"/>
          <w:i/>
          <w:sz w:val="22"/>
          <w:szCs w:val="22"/>
        </w:rPr>
        <w:t xml:space="preserve">Environmental Principles: From Political Slogans to Legal Rules </w:t>
      </w:r>
      <w:r>
        <w:rPr>
          <w:rFonts w:ascii="Baskerville" w:hAnsi="Baskerville"/>
          <w:sz w:val="22"/>
          <w:szCs w:val="22"/>
        </w:rPr>
        <w:t>(Oxford University Press 2002), p 325.</w:t>
      </w:r>
    </w:p>
  </w:footnote>
  <w:footnote w:id="10">
    <w:p w14:paraId="586FBC2C" w14:textId="6BD98836" w:rsidR="00943CA2" w:rsidRPr="004A35D3" w:rsidRDefault="00943CA2" w:rsidP="002C5D92">
      <w:pPr>
        <w:pStyle w:val="FootnoteText"/>
        <w:rPr>
          <w:rFonts w:ascii="Baskerville" w:hAnsi="Baskerville"/>
          <w:i/>
          <w:sz w:val="22"/>
          <w:szCs w:val="22"/>
          <w:lang w:val="en-US"/>
        </w:rPr>
      </w:pPr>
      <w:r w:rsidRPr="006F0A17">
        <w:rPr>
          <w:rStyle w:val="FootnoteReference"/>
          <w:rFonts w:ascii="Baskerville" w:hAnsi="Baskerville"/>
          <w:sz w:val="22"/>
          <w:szCs w:val="22"/>
        </w:rPr>
        <w:footnoteRef/>
      </w:r>
      <w:r w:rsidRPr="006F0A17">
        <w:rPr>
          <w:rFonts w:ascii="Baskerville" w:hAnsi="Baskerville"/>
          <w:sz w:val="22"/>
          <w:szCs w:val="22"/>
        </w:rPr>
        <w:t xml:space="preserve"> </w:t>
      </w:r>
      <w:r w:rsidRPr="006F0A17">
        <w:rPr>
          <w:rFonts w:ascii="Baskerville" w:hAnsi="Baskerville"/>
          <w:sz w:val="22"/>
          <w:szCs w:val="22"/>
          <w:lang w:val="en-US"/>
        </w:rPr>
        <w:t>Case C-293/97</w:t>
      </w:r>
      <w:r w:rsidRPr="006F0A17">
        <w:rPr>
          <w:rFonts w:ascii="Baskerville" w:hAnsi="Baskerville"/>
          <w:i/>
          <w:sz w:val="22"/>
          <w:szCs w:val="22"/>
          <w:lang w:val="en-US"/>
        </w:rPr>
        <w:t xml:space="preserve"> </w:t>
      </w:r>
      <w:r w:rsidRPr="006F0A17">
        <w:rPr>
          <w:rFonts w:ascii="Baskerville" w:hAnsi="Baskerville"/>
          <w:i/>
          <w:iCs/>
          <w:sz w:val="22"/>
          <w:szCs w:val="22"/>
          <w:lang w:val="en-US"/>
        </w:rPr>
        <w:t>Standley</w:t>
      </w:r>
      <w:r w:rsidRPr="006F0A17">
        <w:rPr>
          <w:rFonts w:ascii="Baskerville" w:hAnsi="Baskerville"/>
          <w:i/>
          <w:sz w:val="22"/>
          <w:szCs w:val="22"/>
          <w:lang w:val="en-US"/>
        </w:rPr>
        <w:t xml:space="preserve"> </w:t>
      </w:r>
      <w:r>
        <w:rPr>
          <w:rFonts w:ascii="Baskerville" w:hAnsi="Baskerville"/>
          <w:sz w:val="22"/>
          <w:szCs w:val="22"/>
          <w:lang w:val="en-US"/>
        </w:rPr>
        <w:t>[1999] ECR I-2603, para 51.</w:t>
      </w:r>
    </w:p>
  </w:footnote>
  <w:footnote w:id="11">
    <w:p w14:paraId="7E0961FD" w14:textId="3D4421E6" w:rsidR="00943CA2" w:rsidRPr="001D7EAF" w:rsidRDefault="00943CA2">
      <w:pPr>
        <w:pStyle w:val="FootnoteText"/>
        <w:rPr>
          <w:rFonts w:ascii="Baskerville" w:hAnsi="Baskerville"/>
          <w:sz w:val="22"/>
          <w:szCs w:val="22"/>
        </w:rPr>
      </w:pPr>
      <w:r w:rsidRPr="001D7EAF">
        <w:rPr>
          <w:rStyle w:val="FootnoteReference"/>
          <w:rFonts w:ascii="Baskerville" w:hAnsi="Baskerville"/>
          <w:sz w:val="22"/>
          <w:szCs w:val="22"/>
        </w:rPr>
        <w:footnoteRef/>
      </w:r>
      <w:r w:rsidRPr="001D7EAF">
        <w:rPr>
          <w:rFonts w:ascii="Baskerville" w:hAnsi="Baskerville"/>
          <w:sz w:val="22"/>
          <w:szCs w:val="22"/>
        </w:rPr>
        <w:t xml:space="preserve"> Some experts argue that there is sufficient state practice to support the emergence of the precautionary principle as a principle of customary international law. See T</w:t>
      </w:r>
      <w:r>
        <w:rPr>
          <w:rFonts w:ascii="Baskerville" w:hAnsi="Baskerville"/>
          <w:sz w:val="22"/>
          <w:szCs w:val="22"/>
        </w:rPr>
        <w:t xml:space="preserve">. </w:t>
      </w:r>
      <w:r w:rsidRPr="001D7EAF">
        <w:rPr>
          <w:rFonts w:ascii="Baskerville" w:hAnsi="Baskerville"/>
          <w:sz w:val="22"/>
          <w:szCs w:val="22"/>
        </w:rPr>
        <w:t>Christoforou, “The Precautionary Principle in EC Law and Science,” in J</w:t>
      </w:r>
      <w:r>
        <w:rPr>
          <w:rFonts w:ascii="Baskerville" w:hAnsi="Baskerville"/>
          <w:sz w:val="22"/>
          <w:szCs w:val="22"/>
        </w:rPr>
        <w:t>.</w:t>
      </w:r>
      <w:r w:rsidRPr="001D7EAF">
        <w:rPr>
          <w:rFonts w:ascii="Baskerville" w:hAnsi="Baskerville"/>
          <w:sz w:val="22"/>
          <w:szCs w:val="22"/>
        </w:rPr>
        <w:t xml:space="preserve"> Tickner (ed.), </w:t>
      </w:r>
      <w:r w:rsidRPr="001D7EAF">
        <w:rPr>
          <w:rFonts w:ascii="Baskerville" w:hAnsi="Baskerville"/>
          <w:i/>
          <w:iCs/>
          <w:sz w:val="22"/>
          <w:szCs w:val="22"/>
        </w:rPr>
        <w:t>Environmental Science and Preventive Public Policy</w:t>
      </w:r>
      <w:r w:rsidRPr="001D7EAF">
        <w:rPr>
          <w:rFonts w:ascii="Baskerville" w:hAnsi="Baskerville"/>
          <w:sz w:val="22"/>
          <w:szCs w:val="22"/>
        </w:rPr>
        <w:t xml:space="preserve">, Island Press, 2003, Chapter 16; J. Cameron and J. Abouchar, “The Status of the Precautionary Principle in International Law,” in D. Freestone and E. Hey (eds.), </w:t>
      </w:r>
      <w:r w:rsidRPr="001D7EAF">
        <w:rPr>
          <w:rFonts w:ascii="Baskerville" w:hAnsi="Baskerville"/>
          <w:i/>
          <w:iCs/>
          <w:sz w:val="22"/>
          <w:szCs w:val="22"/>
        </w:rPr>
        <w:t>The Precautionary Principle in International Law</w:t>
      </w:r>
      <w:r w:rsidRPr="001D7EAF">
        <w:rPr>
          <w:rFonts w:ascii="Baskerville" w:hAnsi="Baskerville"/>
          <w:sz w:val="22"/>
          <w:szCs w:val="22"/>
        </w:rPr>
        <w:t xml:space="preserve">, Kluwer, 1996, p. 52. Other academics consider that the precautionary principle is not yet a principle of international law particularly given the variety of interpretations. See P. Birnie and A. Boyle, </w:t>
      </w:r>
      <w:r w:rsidRPr="001D7EAF">
        <w:rPr>
          <w:rFonts w:ascii="Baskerville" w:hAnsi="Baskerville"/>
          <w:i/>
          <w:iCs/>
          <w:sz w:val="22"/>
          <w:szCs w:val="22"/>
        </w:rPr>
        <w:t>International Law and the Environment</w:t>
      </w:r>
      <w:r w:rsidRPr="001D7EAF">
        <w:rPr>
          <w:rFonts w:ascii="Baskerville" w:hAnsi="Baskerville"/>
          <w:sz w:val="22"/>
          <w:szCs w:val="22"/>
        </w:rPr>
        <w:t xml:space="preserve">, Oxford University Press, 2002, page 98. </w:t>
      </w:r>
    </w:p>
  </w:footnote>
  <w:footnote w:id="12">
    <w:p w14:paraId="3407A95E" w14:textId="77777777" w:rsidR="001626B1" w:rsidRPr="00E173E1" w:rsidRDefault="001626B1" w:rsidP="001626B1">
      <w:pPr>
        <w:pStyle w:val="FootnoteText"/>
        <w:rPr>
          <w:rFonts w:ascii="Baskerville" w:hAnsi="Baskerville"/>
          <w:sz w:val="22"/>
          <w:szCs w:val="22"/>
          <w:lang w:val="en-US"/>
        </w:rPr>
      </w:pPr>
      <w:r w:rsidRPr="00E173E1">
        <w:rPr>
          <w:rStyle w:val="FootnoteReference"/>
          <w:rFonts w:ascii="Baskerville" w:hAnsi="Baskerville"/>
          <w:sz w:val="22"/>
          <w:szCs w:val="22"/>
        </w:rPr>
        <w:footnoteRef/>
      </w:r>
      <w:r w:rsidRPr="00E173E1">
        <w:rPr>
          <w:rFonts w:ascii="Baskerville" w:hAnsi="Baskerville"/>
          <w:sz w:val="22"/>
          <w:szCs w:val="22"/>
        </w:rPr>
        <w:t xml:space="preserve"> The Rio Declaration</w:t>
      </w:r>
      <w:r>
        <w:rPr>
          <w:rFonts w:ascii="Baskerville" w:hAnsi="Baskerville"/>
          <w:sz w:val="22"/>
          <w:szCs w:val="22"/>
        </w:rPr>
        <w:t xml:space="preserve"> on Environment and Development</w:t>
      </w:r>
      <w:r w:rsidRPr="00E173E1">
        <w:rPr>
          <w:rFonts w:ascii="Baskerville" w:hAnsi="Baskerville"/>
          <w:sz w:val="22"/>
          <w:szCs w:val="22"/>
        </w:rPr>
        <w:t xml:space="preserve">, </w:t>
      </w:r>
      <w:r w:rsidRPr="00E173E1">
        <w:rPr>
          <w:rFonts w:ascii="Baskerville" w:hAnsi="Baskerville"/>
          <w:sz w:val="22"/>
          <w:szCs w:val="22"/>
          <w:lang w:val="en-US"/>
        </w:rPr>
        <w:t>UN Doc. A/CONF.151/26 (vol. I) / 31 ILM 874 (1992)</w:t>
      </w:r>
      <w:r>
        <w:rPr>
          <w:rFonts w:ascii="Baskerville" w:hAnsi="Baskerville"/>
          <w:sz w:val="22"/>
          <w:szCs w:val="22"/>
        </w:rPr>
        <w:t>, Principle 15.</w:t>
      </w:r>
    </w:p>
  </w:footnote>
  <w:footnote w:id="13">
    <w:p w14:paraId="35CEC42F" w14:textId="7E0560A7" w:rsidR="00943CA2" w:rsidRPr="001D7EAF" w:rsidRDefault="00943CA2">
      <w:pPr>
        <w:pStyle w:val="FootnoteText"/>
        <w:rPr>
          <w:rFonts w:ascii="Baskerville" w:hAnsi="Baskerville"/>
          <w:sz w:val="22"/>
          <w:szCs w:val="22"/>
        </w:rPr>
      </w:pPr>
      <w:r w:rsidRPr="001D7EAF">
        <w:rPr>
          <w:rStyle w:val="FootnoteReference"/>
          <w:rFonts w:ascii="Baskerville" w:hAnsi="Baskerville"/>
          <w:sz w:val="22"/>
          <w:szCs w:val="22"/>
        </w:rPr>
        <w:footnoteRef/>
      </w:r>
      <w:r w:rsidRPr="001D7EAF">
        <w:rPr>
          <w:rFonts w:ascii="Baskerville" w:hAnsi="Baskerville"/>
          <w:sz w:val="22"/>
          <w:szCs w:val="22"/>
        </w:rPr>
        <w:t xml:space="preserve"> Case C-157/96</w:t>
      </w:r>
      <w:r w:rsidR="00EE5E43">
        <w:rPr>
          <w:rFonts w:ascii="Baskerville" w:hAnsi="Baskerville"/>
          <w:sz w:val="22"/>
          <w:szCs w:val="22"/>
        </w:rPr>
        <w:t xml:space="preserve"> </w:t>
      </w:r>
      <w:r w:rsidRPr="00EE5E43">
        <w:rPr>
          <w:rFonts w:ascii="Baskerville" w:hAnsi="Baskerville"/>
          <w:i/>
          <w:sz w:val="22"/>
          <w:szCs w:val="22"/>
        </w:rPr>
        <w:t>BSE</w:t>
      </w:r>
      <w:r w:rsidR="00127A3B">
        <w:rPr>
          <w:rFonts w:ascii="Baskerville" w:hAnsi="Baskerville"/>
          <w:sz w:val="22"/>
          <w:szCs w:val="22"/>
        </w:rPr>
        <w:t xml:space="preserve"> (1998)</w:t>
      </w:r>
      <w:r w:rsidRPr="001D7EAF">
        <w:rPr>
          <w:rFonts w:ascii="Baskerville" w:hAnsi="Baskerville"/>
          <w:sz w:val="22"/>
          <w:szCs w:val="22"/>
        </w:rPr>
        <w:t xml:space="preserve"> ECR1-2211; Case T-13/99 </w:t>
      </w:r>
      <w:r w:rsidRPr="001D7EAF">
        <w:rPr>
          <w:rFonts w:ascii="Baskerville" w:hAnsi="Baskerville"/>
          <w:i/>
          <w:sz w:val="22"/>
          <w:szCs w:val="22"/>
        </w:rPr>
        <w:t>Pifzer</w:t>
      </w:r>
      <w:r w:rsidRPr="001D7EAF">
        <w:rPr>
          <w:rFonts w:ascii="Baskerville" w:hAnsi="Baskerville"/>
          <w:sz w:val="22"/>
          <w:szCs w:val="22"/>
        </w:rPr>
        <w:t xml:space="preserve"> (2002) ECR 11-3305, and Case T-70/99 </w:t>
      </w:r>
      <w:r w:rsidRPr="001D7EAF">
        <w:rPr>
          <w:rFonts w:ascii="Baskerville" w:hAnsi="Baskerville"/>
          <w:i/>
          <w:sz w:val="22"/>
          <w:szCs w:val="22"/>
        </w:rPr>
        <w:t>Alpharama</w:t>
      </w:r>
      <w:r w:rsidRPr="001D7EAF">
        <w:rPr>
          <w:rFonts w:ascii="Baskerville" w:hAnsi="Baskerville"/>
          <w:sz w:val="22"/>
          <w:szCs w:val="22"/>
        </w:rPr>
        <w:t xml:space="preserve"> (2002) ECR 11-3945. For an in-depth treatment of these cases, see Theofanis Christoforou, “The Precautionary Principle in EC Law and the WTO Legal System,” in G. Kremlis, G. Balias and A. Sifakis (eds.), </w:t>
      </w:r>
      <w:r w:rsidRPr="001D7EAF">
        <w:rPr>
          <w:rFonts w:ascii="Baskerville" w:hAnsi="Baskerville"/>
          <w:i/>
          <w:iCs/>
          <w:sz w:val="22"/>
          <w:szCs w:val="22"/>
        </w:rPr>
        <w:t>The Precautionary Principle</w:t>
      </w:r>
      <w:r w:rsidRPr="001D7EAF">
        <w:rPr>
          <w:rFonts w:ascii="Baskerville" w:hAnsi="Baskerville"/>
          <w:sz w:val="22"/>
          <w:szCs w:val="22"/>
        </w:rPr>
        <w:t xml:space="preserve">, Athens: Sakkoulas, 2004, pages 99-149. </w:t>
      </w:r>
    </w:p>
  </w:footnote>
  <w:footnote w:id="14">
    <w:p w14:paraId="33FA0F29" w14:textId="0EE96ABE" w:rsidR="00943CA2" w:rsidRPr="001D7EAF" w:rsidRDefault="00943CA2">
      <w:pPr>
        <w:pStyle w:val="FootnoteText"/>
        <w:rPr>
          <w:rFonts w:ascii="Baskerville" w:hAnsi="Baskerville"/>
          <w:sz w:val="22"/>
          <w:szCs w:val="22"/>
          <w:lang w:val="en-US"/>
        </w:rPr>
      </w:pPr>
      <w:r w:rsidRPr="001D7EAF">
        <w:rPr>
          <w:rStyle w:val="FootnoteReference"/>
          <w:rFonts w:ascii="Baskerville" w:hAnsi="Baskerville"/>
          <w:sz w:val="22"/>
          <w:szCs w:val="22"/>
        </w:rPr>
        <w:footnoteRef/>
      </w:r>
      <w:r w:rsidRPr="001D7EAF">
        <w:rPr>
          <w:rFonts w:ascii="Baskerville" w:hAnsi="Baskerville"/>
          <w:sz w:val="22"/>
          <w:szCs w:val="22"/>
        </w:rPr>
        <w:t xml:space="preserve"> Ibid.</w:t>
      </w:r>
    </w:p>
  </w:footnote>
  <w:footnote w:id="15">
    <w:p w14:paraId="6D93F332" w14:textId="05E381DB" w:rsidR="00943CA2" w:rsidRPr="001D7EAF" w:rsidRDefault="00943CA2" w:rsidP="00C665FC">
      <w:pPr>
        <w:pStyle w:val="FootnoteText"/>
        <w:rPr>
          <w:rFonts w:ascii="Baskerville" w:hAnsi="Baskerville"/>
          <w:sz w:val="22"/>
          <w:szCs w:val="22"/>
        </w:rPr>
      </w:pPr>
      <w:r w:rsidRPr="001D7EAF">
        <w:rPr>
          <w:rStyle w:val="FootnoteReference"/>
          <w:rFonts w:ascii="Baskerville" w:hAnsi="Baskerville"/>
          <w:sz w:val="22"/>
          <w:szCs w:val="22"/>
        </w:rPr>
        <w:footnoteRef/>
      </w:r>
      <w:r w:rsidRPr="001D7EAF">
        <w:rPr>
          <w:rFonts w:ascii="Baskerville" w:hAnsi="Baskerville"/>
          <w:sz w:val="22"/>
          <w:szCs w:val="22"/>
        </w:rPr>
        <w:t xml:space="preserve"> S. Shaw and R. Schwartz, ‘</w:t>
      </w:r>
      <w:r w:rsidRPr="001D7EAF">
        <w:rPr>
          <w:rFonts w:ascii="Baskerville" w:hAnsi="Baskerville"/>
          <w:bCs/>
          <w:sz w:val="22"/>
          <w:szCs w:val="22"/>
        </w:rPr>
        <w:t>Trading Precaution: The Precautionary Principle and the WTO’, United Nations University – Institute of Advanced Studies Report</w:t>
      </w:r>
      <w:r w:rsidRPr="001D7EAF">
        <w:rPr>
          <w:rFonts w:ascii="Baskerville" w:hAnsi="Baskerville"/>
          <w:b/>
          <w:bCs/>
          <w:sz w:val="22"/>
          <w:szCs w:val="22"/>
        </w:rPr>
        <w:t xml:space="preserve"> </w:t>
      </w:r>
      <w:r w:rsidRPr="001D7EAF">
        <w:rPr>
          <w:rFonts w:ascii="Baskerville" w:hAnsi="Baskerville"/>
          <w:bCs/>
          <w:sz w:val="22"/>
          <w:szCs w:val="22"/>
        </w:rPr>
        <w:t>2005</w:t>
      </w:r>
      <w:r w:rsidRPr="001D7EAF">
        <w:rPr>
          <w:rFonts w:ascii="Baskerville" w:hAnsi="Baskerville"/>
          <w:sz w:val="22"/>
          <w:szCs w:val="22"/>
        </w:rPr>
        <w:t>, p 4.</w:t>
      </w:r>
    </w:p>
  </w:footnote>
  <w:footnote w:id="16">
    <w:p w14:paraId="2D96775D" w14:textId="58462ED0" w:rsidR="00943CA2" w:rsidRPr="001D7EAF" w:rsidRDefault="00943CA2">
      <w:pPr>
        <w:pStyle w:val="FootnoteText"/>
        <w:rPr>
          <w:rFonts w:ascii="Baskerville" w:hAnsi="Baskerville"/>
          <w:sz w:val="22"/>
          <w:szCs w:val="22"/>
          <w:lang w:val="en-US"/>
        </w:rPr>
      </w:pPr>
      <w:r w:rsidRPr="001D7EAF">
        <w:rPr>
          <w:rStyle w:val="FootnoteReference"/>
          <w:rFonts w:ascii="Baskerville" w:hAnsi="Baskerville"/>
          <w:sz w:val="22"/>
          <w:szCs w:val="22"/>
        </w:rPr>
        <w:footnoteRef/>
      </w:r>
      <w:r w:rsidRPr="001D7EAF">
        <w:rPr>
          <w:rFonts w:ascii="Baskerville" w:hAnsi="Baskerville"/>
          <w:sz w:val="22"/>
          <w:szCs w:val="22"/>
        </w:rPr>
        <w:t xml:space="preserve"> Ibid, p 8.</w:t>
      </w:r>
    </w:p>
  </w:footnote>
  <w:footnote w:id="17">
    <w:p w14:paraId="60296076" w14:textId="59CF6146" w:rsidR="00943CA2" w:rsidRPr="007E7C5D" w:rsidRDefault="00943CA2" w:rsidP="007E7C5D">
      <w:pPr>
        <w:rPr>
          <w:rFonts w:ascii="Baskerville" w:hAnsi="Baskerville"/>
          <w:sz w:val="22"/>
          <w:szCs w:val="22"/>
        </w:rPr>
      </w:pPr>
      <w:r w:rsidRPr="007E7C5D">
        <w:rPr>
          <w:rStyle w:val="FootnoteReference"/>
          <w:rFonts w:ascii="Baskerville" w:hAnsi="Baskerville"/>
          <w:sz w:val="22"/>
          <w:szCs w:val="22"/>
        </w:rPr>
        <w:footnoteRef/>
      </w:r>
      <w:r w:rsidRPr="007E7C5D">
        <w:rPr>
          <w:rFonts w:ascii="Baskerville" w:hAnsi="Baskerville"/>
          <w:sz w:val="22"/>
          <w:szCs w:val="22"/>
        </w:rPr>
        <w:t xml:space="preserve"> </w:t>
      </w:r>
      <w:r w:rsidRPr="007E7C5D">
        <w:rPr>
          <w:rFonts w:ascii="Baskerville" w:hAnsi="Baskerville"/>
          <w:sz w:val="22"/>
          <w:szCs w:val="22"/>
          <w:lang w:val="en-US"/>
        </w:rPr>
        <w:t xml:space="preserve">The </w:t>
      </w:r>
      <w:r>
        <w:rPr>
          <w:rFonts w:ascii="Baskerville" w:hAnsi="Baskerville"/>
          <w:sz w:val="22"/>
          <w:szCs w:val="22"/>
          <w:lang w:val="en-US"/>
        </w:rPr>
        <w:t xml:space="preserve">prevention </w:t>
      </w:r>
      <w:r w:rsidRPr="007E7C5D">
        <w:rPr>
          <w:rFonts w:ascii="Baskerville" w:hAnsi="Baskerville"/>
          <w:sz w:val="22"/>
          <w:szCs w:val="22"/>
          <w:lang w:val="en-US"/>
        </w:rPr>
        <w:t xml:space="preserve">principle </w:t>
      </w:r>
      <w:r>
        <w:rPr>
          <w:rFonts w:ascii="Baskerville" w:hAnsi="Baskerville"/>
          <w:sz w:val="22"/>
          <w:szCs w:val="22"/>
          <w:lang w:val="en-US"/>
        </w:rPr>
        <w:t>formed the</w:t>
      </w:r>
      <w:r w:rsidRPr="007E7C5D">
        <w:rPr>
          <w:rFonts w:ascii="Baskerville" w:hAnsi="Baskerville"/>
          <w:sz w:val="22"/>
          <w:szCs w:val="22"/>
          <w:lang w:val="en-US"/>
        </w:rPr>
        <w:t xml:space="preserve"> foundation of the Basel Convention on the Control of Transboundary Movements of Hazardous Wastes and their Disposal (1989), which sought to minimize the production of hazardous waste and to combat illegal dumping. The prevention principle also was an important element of the EC’s Third Environmental Action Programme, which was adopted in 1983.</w:t>
      </w:r>
    </w:p>
  </w:footnote>
  <w:footnote w:id="18">
    <w:p w14:paraId="79D01DB1" w14:textId="70618F32" w:rsidR="00943CA2" w:rsidRPr="00D936A5" w:rsidRDefault="00943CA2">
      <w:pPr>
        <w:pStyle w:val="FootnoteText"/>
        <w:rPr>
          <w:rFonts w:ascii="Baskerville" w:hAnsi="Baskerville"/>
          <w:sz w:val="22"/>
          <w:szCs w:val="22"/>
          <w:lang w:val="en-US"/>
        </w:rPr>
      </w:pPr>
      <w:r w:rsidRPr="00D936A5">
        <w:rPr>
          <w:rStyle w:val="FootnoteReference"/>
          <w:rFonts w:ascii="Baskerville" w:hAnsi="Baskerville"/>
          <w:sz w:val="22"/>
          <w:szCs w:val="22"/>
        </w:rPr>
        <w:footnoteRef/>
      </w:r>
      <w:r w:rsidRPr="00D936A5">
        <w:rPr>
          <w:rFonts w:ascii="Baskerville" w:hAnsi="Baskerville"/>
          <w:sz w:val="22"/>
          <w:szCs w:val="22"/>
        </w:rPr>
        <w:t xml:space="preserve"> </w:t>
      </w:r>
      <w:r w:rsidRPr="00D936A5">
        <w:rPr>
          <w:rFonts w:ascii="Baskerville" w:hAnsi="Baskerville"/>
          <w:sz w:val="22"/>
          <w:szCs w:val="22"/>
          <w:lang w:val="en-US"/>
        </w:rPr>
        <w:t>Case C‑366/10</w:t>
      </w:r>
      <w:r w:rsidRPr="00D936A5">
        <w:rPr>
          <w:rFonts w:ascii="Baskerville" w:hAnsi="Baskerville"/>
          <w:i/>
          <w:sz w:val="22"/>
          <w:szCs w:val="22"/>
          <w:lang w:val="en-US"/>
        </w:rPr>
        <w:t xml:space="preserve"> Air Transport Association America </w:t>
      </w:r>
      <w:r w:rsidRPr="00D936A5">
        <w:rPr>
          <w:rFonts w:ascii="Baskerville" w:hAnsi="Baskerville"/>
          <w:sz w:val="22"/>
          <w:szCs w:val="22"/>
          <w:lang w:val="en-US"/>
        </w:rPr>
        <w:t xml:space="preserve">v </w:t>
      </w:r>
      <w:r w:rsidRPr="00D936A5">
        <w:rPr>
          <w:rFonts w:ascii="Baskerville" w:hAnsi="Baskerville"/>
          <w:i/>
          <w:sz w:val="22"/>
          <w:szCs w:val="22"/>
          <w:lang w:val="en-US"/>
        </w:rPr>
        <w:t xml:space="preserve">Secretary of State for Energy and Climate Change </w:t>
      </w:r>
      <w:r w:rsidRPr="00D936A5">
        <w:rPr>
          <w:rFonts w:ascii="Baskerville" w:hAnsi="Baskerville"/>
          <w:sz w:val="22"/>
          <w:szCs w:val="22"/>
          <w:lang w:val="en-US"/>
        </w:rPr>
        <w:t>[2011] WLR (D) 386.</w:t>
      </w:r>
    </w:p>
  </w:footnote>
  <w:footnote w:id="19">
    <w:p w14:paraId="2111FBCB" w14:textId="29CD28E6" w:rsidR="00943CA2" w:rsidRPr="00570FCD" w:rsidRDefault="00943CA2">
      <w:pPr>
        <w:pStyle w:val="FootnoteText"/>
        <w:rPr>
          <w:rFonts w:ascii="Baskerville" w:hAnsi="Baskerville"/>
          <w:sz w:val="22"/>
          <w:szCs w:val="22"/>
          <w:lang w:val="en-US"/>
        </w:rPr>
      </w:pPr>
      <w:r w:rsidRPr="00570FCD">
        <w:rPr>
          <w:rStyle w:val="FootnoteReference"/>
          <w:rFonts w:ascii="Baskerville" w:hAnsi="Baskerville"/>
          <w:sz w:val="22"/>
          <w:szCs w:val="22"/>
        </w:rPr>
        <w:footnoteRef/>
      </w:r>
      <w:r w:rsidRPr="00570FCD">
        <w:rPr>
          <w:rFonts w:ascii="Baskerville" w:hAnsi="Baskerville"/>
          <w:sz w:val="22"/>
          <w:szCs w:val="22"/>
        </w:rPr>
        <w:t xml:space="preserve"> </w:t>
      </w:r>
      <w:r>
        <w:rPr>
          <w:rFonts w:ascii="Baskerville" w:hAnsi="Baskerville"/>
          <w:sz w:val="22"/>
          <w:szCs w:val="22"/>
        </w:rPr>
        <w:t xml:space="preserve">Directive 2003/87/EC, ‘EU Emissions Trading Directive’ (Consolidated version of July 2013). </w:t>
      </w:r>
    </w:p>
  </w:footnote>
  <w:footnote w:id="20">
    <w:p w14:paraId="72187C58" w14:textId="0E4CE6CE" w:rsidR="00943CA2" w:rsidRPr="001C179E" w:rsidRDefault="00943CA2">
      <w:pPr>
        <w:pStyle w:val="FootnoteText"/>
        <w:rPr>
          <w:rFonts w:ascii="Baskerville" w:hAnsi="Baskerville"/>
          <w:sz w:val="22"/>
          <w:szCs w:val="22"/>
          <w:lang w:val="en-US"/>
        </w:rPr>
      </w:pPr>
      <w:r w:rsidRPr="001C179E">
        <w:rPr>
          <w:rStyle w:val="FootnoteReference"/>
          <w:rFonts w:ascii="Baskerville" w:hAnsi="Baskerville"/>
          <w:sz w:val="22"/>
          <w:szCs w:val="22"/>
        </w:rPr>
        <w:footnoteRef/>
      </w:r>
      <w:r w:rsidRPr="001C179E">
        <w:rPr>
          <w:rFonts w:ascii="Baskerville" w:hAnsi="Baskerville"/>
          <w:sz w:val="22"/>
          <w:szCs w:val="22"/>
        </w:rPr>
        <w:t xml:space="preserve"> The Rio Declaration on Environment and Development, </w:t>
      </w:r>
      <w:r w:rsidRPr="001C179E">
        <w:rPr>
          <w:rFonts w:ascii="Baskerville" w:hAnsi="Baskerville"/>
          <w:sz w:val="22"/>
          <w:szCs w:val="22"/>
          <w:lang w:val="en-US"/>
        </w:rPr>
        <w:t>UN Doc. A/CONF.151/26 (vol. I) / 31 ILM 874 (1992)</w:t>
      </w:r>
      <w:r w:rsidRPr="001C179E">
        <w:rPr>
          <w:rFonts w:ascii="Baskerville" w:hAnsi="Baskerville"/>
          <w:sz w:val="22"/>
          <w:szCs w:val="22"/>
        </w:rPr>
        <w:t>.</w:t>
      </w:r>
    </w:p>
  </w:footnote>
  <w:footnote w:id="21">
    <w:p w14:paraId="4E0933BD" w14:textId="36F8A903" w:rsidR="00943CA2" w:rsidRPr="008E04C7" w:rsidRDefault="00943CA2">
      <w:pPr>
        <w:pStyle w:val="FootnoteText"/>
        <w:rPr>
          <w:rFonts w:ascii="Baskerville" w:hAnsi="Baskerville"/>
          <w:sz w:val="22"/>
          <w:szCs w:val="22"/>
          <w:lang w:val="en-US"/>
        </w:rPr>
      </w:pPr>
      <w:r w:rsidRPr="008E04C7">
        <w:rPr>
          <w:rStyle w:val="FootnoteReference"/>
          <w:rFonts w:ascii="Baskerville" w:hAnsi="Baskerville"/>
          <w:sz w:val="22"/>
          <w:szCs w:val="22"/>
        </w:rPr>
        <w:footnoteRef/>
      </w:r>
      <w:r w:rsidRPr="008E04C7">
        <w:rPr>
          <w:rFonts w:ascii="Baskerville" w:hAnsi="Baskerville"/>
          <w:sz w:val="22"/>
          <w:szCs w:val="22"/>
        </w:rPr>
        <w:t xml:space="preserve"> J. E. Vi</w:t>
      </w:r>
      <w:r w:rsidRPr="008E04C7">
        <w:rPr>
          <w:rFonts w:ascii="Baskerville" w:hAnsi="Baskerville" w:cs="Lucida Grande"/>
          <w:color w:val="000000"/>
          <w:sz w:val="22"/>
          <w:szCs w:val="22"/>
        </w:rPr>
        <w:t>ñ</w:t>
      </w:r>
      <w:r w:rsidRPr="008E04C7">
        <w:rPr>
          <w:rFonts w:ascii="Baskerville" w:hAnsi="Baskerville"/>
          <w:sz w:val="22"/>
          <w:szCs w:val="22"/>
        </w:rPr>
        <w:t>uales</w:t>
      </w:r>
      <w:r>
        <w:rPr>
          <w:rFonts w:ascii="Baskerville" w:hAnsi="Baskerville"/>
          <w:sz w:val="22"/>
          <w:szCs w:val="22"/>
        </w:rPr>
        <w:t xml:space="preserve">, </w:t>
      </w:r>
      <w:r w:rsidRPr="00C72BD1">
        <w:rPr>
          <w:rFonts w:ascii="Baskerville" w:hAnsi="Baskerville"/>
          <w:i/>
          <w:sz w:val="22"/>
          <w:szCs w:val="22"/>
        </w:rPr>
        <w:t>The Rio Declaration on the Environment and Development</w:t>
      </w:r>
      <w:r>
        <w:rPr>
          <w:rFonts w:ascii="Baskerville" w:hAnsi="Baskerville"/>
          <w:i/>
          <w:sz w:val="22"/>
          <w:szCs w:val="22"/>
        </w:rPr>
        <w:t>: A Commentary</w:t>
      </w:r>
      <w:r w:rsidRPr="00C72BD1">
        <w:rPr>
          <w:rFonts w:ascii="Baskerville" w:hAnsi="Baskerville"/>
          <w:sz w:val="22"/>
          <w:szCs w:val="22"/>
        </w:rPr>
        <w:t xml:space="preserve"> </w:t>
      </w:r>
      <w:r>
        <w:rPr>
          <w:rFonts w:ascii="Baskerville" w:hAnsi="Baskerville"/>
          <w:sz w:val="22"/>
          <w:szCs w:val="22"/>
        </w:rPr>
        <w:t>(Oxford University Press 2015), p 133.</w:t>
      </w:r>
    </w:p>
  </w:footnote>
  <w:footnote w:id="22">
    <w:p w14:paraId="2B15FD76" w14:textId="7B7DB6CE" w:rsidR="00943CA2" w:rsidRPr="006E1AA7" w:rsidRDefault="00943CA2">
      <w:pPr>
        <w:pStyle w:val="FootnoteText"/>
        <w:rPr>
          <w:rFonts w:ascii="Baskerville" w:hAnsi="Baskerville"/>
          <w:sz w:val="22"/>
          <w:szCs w:val="22"/>
          <w:lang w:val="en-US"/>
        </w:rPr>
      </w:pPr>
      <w:r w:rsidRPr="003D3CE2">
        <w:rPr>
          <w:rStyle w:val="FootnoteReference"/>
          <w:rFonts w:ascii="Baskerville" w:hAnsi="Baskerville"/>
          <w:sz w:val="22"/>
          <w:szCs w:val="22"/>
        </w:rPr>
        <w:footnoteRef/>
      </w:r>
      <w:r w:rsidRPr="003D3CE2">
        <w:rPr>
          <w:rFonts w:ascii="Baskerville" w:hAnsi="Baskerville"/>
          <w:sz w:val="22"/>
          <w:szCs w:val="22"/>
        </w:rPr>
        <w:t xml:space="preserve"> </w:t>
      </w:r>
      <w:r>
        <w:rPr>
          <w:rFonts w:ascii="Baskerville" w:hAnsi="Baskerville"/>
          <w:i/>
          <w:sz w:val="22"/>
          <w:szCs w:val="22"/>
        </w:rPr>
        <w:t xml:space="preserve">Reinwater </w:t>
      </w:r>
      <w:r>
        <w:rPr>
          <w:rFonts w:ascii="Baskerville" w:hAnsi="Baskerville"/>
          <w:sz w:val="22"/>
          <w:szCs w:val="22"/>
        </w:rPr>
        <w:t xml:space="preserve">v </w:t>
      </w:r>
      <w:r>
        <w:rPr>
          <w:rFonts w:ascii="Baskerville" w:hAnsi="Baskerville"/>
          <w:i/>
          <w:sz w:val="22"/>
          <w:szCs w:val="22"/>
        </w:rPr>
        <w:t>Mines de Potasse d’Alsace</w:t>
      </w:r>
      <w:r>
        <w:rPr>
          <w:rFonts w:ascii="Baskerville" w:hAnsi="Baskerville"/>
          <w:sz w:val="22"/>
          <w:szCs w:val="22"/>
        </w:rPr>
        <w:t xml:space="preserve">, District Court of Rotterdam (8 January 1979), NJ 1979, no 113, cited in A. Nollkaemper, ‘International Environmental Law in the Courts of the Netherlands’, in M. Anderson and P. Galizzi (eds.), </w:t>
      </w:r>
      <w:r>
        <w:rPr>
          <w:rFonts w:ascii="Baskerville" w:hAnsi="Baskerville"/>
          <w:i/>
          <w:sz w:val="22"/>
          <w:szCs w:val="22"/>
        </w:rPr>
        <w:t xml:space="preserve">International Environmental Courts in National Courts </w:t>
      </w:r>
      <w:r>
        <w:rPr>
          <w:rFonts w:ascii="Baskerville" w:hAnsi="Baskerville"/>
          <w:sz w:val="22"/>
          <w:szCs w:val="22"/>
        </w:rPr>
        <w:t>(British Institute of International and Comparative Law 2002), 183, 187.</w:t>
      </w:r>
    </w:p>
  </w:footnote>
  <w:footnote w:id="23">
    <w:p w14:paraId="12227B8B" w14:textId="1D2C89B4" w:rsidR="00943CA2" w:rsidRPr="00E1133E" w:rsidRDefault="00943CA2">
      <w:pPr>
        <w:pStyle w:val="FootnoteText"/>
        <w:rPr>
          <w:rFonts w:ascii="Baskerville" w:hAnsi="Baskerville"/>
          <w:sz w:val="22"/>
          <w:szCs w:val="22"/>
          <w:lang w:val="en-US"/>
        </w:rPr>
      </w:pPr>
      <w:r w:rsidRPr="00E1133E">
        <w:rPr>
          <w:rStyle w:val="FootnoteReference"/>
          <w:rFonts w:ascii="Baskerville" w:hAnsi="Baskerville"/>
          <w:sz w:val="22"/>
          <w:szCs w:val="22"/>
        </w:rPr>
        <w:footnoteRef/>
      </w:r>
      <w:r w:rsidRPr="00E1133E">
        <w:rPr>
          <w:rFonts w:ascii="Baskerville" w:hAnsi="Baskerville"/>
          <w:sz w:val="22"/>
          <w:szCs w:val="22"/>
        </w:rPr>
        <w:t xml:space="preserve"> </w:t>
      </w:r>
      <w:r>
        <w:rPr>
          <w:rFonts w:ascii="Baskerville" w:hAnsi="Baskerville"/>
          <w:sz w:val="22"/>
          <w:szCs w:val="22"/>
        </w:rPr>
        <w:t>Appeals Court of the Hague (10 September 1986), the Hoge Raad (23 September 1989), NJ 1989, no 743, cited in Nollkaemper, ‘International Environmental Law in the Courts of the Netherlands’.</w:t>
      </w:r>
    </w:p>
  </w:footnote>
  <w:footnote w:id="24">
    <w:p w14:paraId="749FDD8D" w14:textId="6D649935" w:rsidR="00943CA2" w:rsidRPr="00E06A8D" w:rsidRDefault="00943CA2">
      <w:pPr>
        <w:pStyle w:val="FootnoteText"/>
        <w:rPr>
          <w:rFonts w:ascii="Baskerville" w:hAnsi="Baskerville"/>
          <w:sz w:val="22"/>
          <w:szCs w:val="22"/>
          <w:lang w:val="en-US"/>
        </w:rPr>
      </w:pPr>
      <w:r w:rsidRPr="00E06A8D">
        <w:rPr>
          <w:rStyle w:val="FootnoteReference"/>
          <w:rFonts w:ascii="Baskerville" w:hAnsi="Baskerville"/>
          <w:sz w:val="22"/>
          <w:szCs w:val="22"/>
        </w:rPr>
        <w:footnoteRef/>
      </w:r>
      <w:r w:rsidRPr="00E06A8D">
        <w:rPr>
          <w:rFonts w:ascii="Baskerville" w:hAnsi="Baskerville"/>
          <w:sz w:val="22"/>
          <w:szCs w:val="22"/>
        </w:rPr>
        <w:t xml:space="preserve"> </w:t>
      </w:r>
      <w:r w:rsidRPr="00E06A8D">
        <w:rPr>
          <w:rFonts w:ascii="Baskerville" w:hAnsi="Baskerville"/>
          <w:sz w:val="22"/>
          <w:szCs w:val="22"/>
          <w:lang w:val="en-US"/>
        </w:rPr>
        <w:t>Case C-119/02</w:t>
      </w:r>
      <w:r>
        <w:rPr>
          <w:rFonts w:ascii="Baskerville" w:hAnsi="Baskerville"/>
          <w:sz w:val="22"/>
          <w:szCs w:val="22"/>
          <w:lang w:val="en-US"/>
        </w:rPr>
        <w:t xml:space="preserve"> </w:t>
      </w:r>
      <w:r>
        <w:rPr>
          <w:rFonts w:ascii="Baskerville" w:hAnsi="Baskerville"/>
          <w:i/>
          <w:sz w:val="22"/>
          <w:szCs w:val="22"/>
          <w:lang w:val="en-US"/>
        </w:rPr>
        <w:t xml:space="preserve">Commission </w:t>
      </w:r>
      <w:r>
        <w:rPr>
          <w:rFonts w:ascii="Baskerville" w:hAnsi="Baskerville"/>
          <w:sz w:val="22"/>
          <w:szCs w:val="22"/>
          <w:lang w:val="en-US"/>
        </w:rPr>
        <w:t xml:space="preserve">v </w:t>
      </w:r>
      <w:r>
        <w:rPr>
          <w:rFonts w:ascii="Baskerville" w:hAnsi="Baskerville"/>
          <w:i/>
          <w:sz w:val="22"/>
          <w:szCs w:val="22"/>
          <w:lang w:val="en-US"/>
        </w:rPr>
        <w:t xml:space="preserve">Greece </w:t>
      </w:r>
      <w:r>
        <w:rPr>
          <w:rFonts w:ascii="Baskerville" w:hAnsi="Baskerville"/>
          <w:sz w:val="22"/>
          <w:szCs w:val="22"/>
          <w:lang w:val="en-US"/>
        </w:rPr>
        <w:t>[2004] ECR I-1433, in which t</w:t>
      </w:r>
      <w:r w:rsidRPr="00E06A8D">
        <w:rPr>
          <w:rFonts w:ascii="Baskerville" w:hAnsi="Baskerville"/>
          <w:sz w:val="22"/>
          <w:szCs w:val="22"/>
          <w:lang w:val="en-US"/>
        </w:rPr>
        <w:t xml:space="preserve">he Court of Justice of the EU ruled in 2004 that </w:t>
      </w:r>
      <w:r w:rsidRPr="00E06A8D">
        <w:rPr>
          <w:rFonts w:ascii="Baskerville" w:hAnsi="Baskerville"/>
          <w:bCs/>
          <w:sz w:val="22"/>
          <w:szCs w:val="22"/>
          <w:lang w:val="en-US"/>
        </w:rPr>
        <w:t>Greece</w:t>
      </w:r>
      <w:r w:rsidRPr="00E06A8D">
        <w:rPr>
          <w:rFonts w:ascii="Baskerville" w:hAnsi="Baskerville"/>
          <w:sz w:val="22"/>
          <w:szCs w:val="22"/>
          <w:lang w:val="en-US"/>
        </w:rPr>
        <w:t xml:space="preserve"> was violating EU law by not adequately collecting and treating waste water discharged into the Gulf of Elefsina</w:t>
      </w:r>
      <w:r>
        <w:rPr>
          <w:rFonts w:ascii="Baskerville" w:hAnsi="Baskerville"/>
          <w:sz w:val="22"/>
          <w:szCs w:val="22"/>
          <w:lang w:val="en-US"/>
        </w:rPr>
        <w:t>. Twelve</w:t>
      </w:r>
      <w:r w:rsidRPr="00E06A8D">
        <w:rPr>
          <w:rFonts w:ascii="Baskerville" w:hAnsi="Baskerville"/>
          <w:sz w:val="22"/>
          <w:szCs w:val="22"/>
          <w:lang w:val="en-US"/>
        </w:rPr>
        <w:t xml:space="preserve"> years later, Greece has </w:t>
      </w:r>
      <w:r>
        <w:rPr>
          <w:rFonts w:ascii="Baskerville" w:hAnsi="Baskerville"/>
          <w:sz w:val="22"/>
          <w:szCs w:val="22"/>
          <w:lang w:val="en-US"/>
        </w:rPr>
        <w:t xml:space="preserve">still </w:t>
      </w:r>
      <w:r w:rsidRPr="00E06A8D">
        <w:rPr>
          <w:rFonts w:ascii="Baskerville" w:hAnsi="Baskerville"/>
          <w:sz w:val="22"/>
          <w:szCs w:val="22"/>
          <w:lang w:val="en-US"/>
        </w:rPr>
        <w:t>not managed to adequately address this problem.</w:t>
      </w:r>
    </w:p>
  </w:footnote>
  <w:footnote w:id="25">
    <w:p w14:paraId="14C6DEB9" w14:textId="67F2129D" w:rsidR="0057769F" w:rsidRPr="0057769F" w:rsidRDefault="0057769F">
      <w:pPr>
        <w:pStyle w:val="FootnoteText"/>
        <w:rPr>
          <w:rFonts w:ascii="Baskerville" w:hAnsi="Baskerville"/>
          <w:sz w:val="22"/>
          <w:szCs w:val="22"/>
          <w:lang w:val="en-US"/>
        </w:rPr>
      </w:pPr>
      <w:r w:rsidRPr="0057769F">
        <w:rPr>
          <w:rStyle w:val="FootnoteReference"/>
          <w:rFonts w:ascii="Baskerville" w:hAnsi="Baskerville"/>
          <w:sz w:val="22"/>
          <w:szCs w:val="22"/>
        </w:rPr>
        <w:footnoteRef/>
      </w:r>
      <w:r w:rsidRPr="0057769F">
        <w:rPr>
          <w:rFonts w:ascii="Baskerville" w:hAnsi="Baskerville"/>
          <w:sz w:val="22"/>
          <w:szCs w:val="22"/>
        </w:rPr>
        <w:t xml:space="preserve"> </w:t>
      </w:r>
      <w:r w:rsidRPr="0057769F">
        <w:rPr>
          <w:rFonts w:ascii="Baskerville" w:hAnsi="Baskerville"/>
          <w:i/>
          <w:iCs/>
          <w:sz w:val="22"/>
          <w:szCs w:val="22"/>
          <w:lang w:val="en-US"/>
        </w:rPr>
        <w:t xml:space="preserve">Bolton Metropolitan District Council and others </w:t>
      </w:r>
      <w:r w:rsidRPr="0057769F">
        <w:rPr>
          <w:rFonts w:ascii="Baskerville" w:hAnsi="Baskerville"/>
          <w:iCs/>
          <w:sz w:val="22"/>
          <w:szCs w:val="22"/>
          <w:lang w:val="en-US"/>
        </w:rPr>
        <w:t>v</w:t>
      </w:r>
      <w:r w:rsidRPr="0057769F">
        <w:rPr>
          <w:rFonts w:ascii="Baskerville" w:hAnsi="Baskerville"/>
          <w:i/>
          <w:iCs/>
          <w:sz w:val="22"/>
          <w:szCs w:val="22"/>
          <w:lang w:val="en-US"/>
        </w:rPr>
        <w:t xml:space="preserve"> Secretary of State for the Environment and others</w:t>
      </w:r>
      <w:r w:rsidRPr="0057769F">
        <w:rPr>
          <w:rFonts w:ascii="Baskerville" w:hAnsi="Baskerville"/>
          <w:iCs/>
          <w:sz w:val="22"/>
          <w:szCs w:val="22"/>
          <w:lang w:val="en-US"/>
        </w:rPr>
        <w:t xml:space="preserve"> (1996) 71 P.</w:t>
      </w:r>
      <w:r>
        <w:rPr>
          <w:rFonts w:ascii="Baskerville" w:hAnsi="Baskerville"/>
          <w:iCs/>
          <w:sz w:val="22"/>
          <w:szCs w:val="22"/>
          <w:lang w:val="en-US"/>
        </w:rPr>
        <w:t xml:space="preserve"> </w:t>
      </w:r>
      <w:r w:rsidRPr="0057769F">
        <w:rPr>
          <w:rFonts w:ascii="Baskerville" w:hAnsi="Baskerville"/>
          <w:iCs/>
          <w:sz w:val="22"/>
          <w:szCs w:val="22"/>
          <w:lang w:val="en-US"/>
        </w:rPr>
        <w:t>&amp; C.R. 309, at 313-314.</w:t>
      </w:r>
    </w:p>
  </w:footnote>
  <w:footnote w:id="26">
    <w:p w14:paraId="5029E4D5" w14:textId="7389E34E" w:rsidR="00097DF8" w:rsidRPr="00097DF8" w:rsidRDefault="00097DF8">
      <w:pPr>
        <w:pStyle w:val="FootnoteText"/>
        <w:rPr>
          <w:rFonts w:ascii="Baskerville" w:hAnsi="Baskerville"/>
          <w:sz w:val="22"/>
          <w:szCs w:val="22"/>
          <w:lang w:val="en-US"/>
        </w:rPr>
      </w:pPr>
      <w:r w:rsidRPr="00097DF8">
        <w:rPr>
          <w:rStyle w:val="FootnoteReference"/>
          <w:rFonts w:ascii="Baskerville" w:hAnsi="Baskerville"/>
          <w:sz w:val="22"/>
          <w:szCs w:val="22"/>
        </w:rPr>
        <w:footnoteRef/>
      </w:r>
      <w:r w:rsidRPr="00097DF8">
        <w:rPr>
          <w:rFonts w:ascii="Baskerville" w:hAnsi="Baskerville"/>
          <w:sz w:val="22"/>
          <w:szCs w:val="22"/>
        </w:rPr>
        <w:t xml:space="preserve"> </w:t>
      </w:r>
      <w:r w:rsidRPr="00097DF8">
        <w:rPr>
          <w:rFonts w:ascii="Baskerville" w:hAnsi="Baskerville"/>
          <w:sz w:val="22"/>
          <w:szCs w:val="22"/>
          <w:lang w:val="en-US"/>
        </w:rPr>
        <w:t xml:space="preserve">Case C-320/03 </w:t>
      </w:r>
      <w:r w:rsidRPr="00097DF8">
        <w:rPr>
          <w:rFonts w:ascii="Baskerville" w:hAnsi="Baskerville"/>
          <w:i/>
          <w:iCs/>
          <w:sz w:val="22"/>
          <w:szCs w:val="22"/>
          <w:lang w:val="en-US"/>
        </w:rPr>
        <w:t xml:space="preserve">Commission </w:t>
      </w:r>
      <w:r w:rsidRPr="00097DF8">
        <w:rPr>
          <w:rFonts w:ascii="Baskerville" w:hAnsi="Baskerville"/>
          <w:sz w:val="22"/>
          <w:szCs w:val="22"/>
          <w:lang w:val="en-US"/>
        </w:rPr>
        <w:t>v</w:t>
      </w:r>
      <w:r w:rsidRPr="00097DF8">
        <w:rPr>
          <w:rFonts w:ascii="Baskerville" w:hAnsi="Baskerville"/>
          <w:i/>
          <w:iCs/>
          <w:sz w:val="22"/>
          <w:szCs w:val="22"/>
          <w:lang w:val="en-US"/>
        </w:rPr>
        <w:t xml:space="preserve"> Austria</w:t>
      </w:r>
      <w:r w:rsidRPr="00097DF8">
        <w:rPr>
          <w:rFonts w:ascii="Baskerville" w:hAnsi="Baskerville"/>
          <w:sz w:val="22"/>
          <w:szCs w:val="22"/>
          <w:lang w:val="en-US"/>
        </w:rPr>
        <w:t xml:space="preserve"> [2005] ECR I-0000, </w:t>
      </w:r>
      <w:r>
        <w:rPr>
          <w:rFonts w:ascii="Baskerville" w:hAnsi="Baskerville"/>
          <w:sz w:val="22"/>
          <w:szCs w:val="22"/>
          <w:lang w:val="en-US"/>
        </w:rPr>
        <w:t>[</w:t>
      </w:r>
      <w:r w:rsidRPr="00097DF8">
        <w:rPr>
          <w:rFonts w:ascii="Baskerville" w:hAnsi="Baskerville"/>
          <w:sz w:val="22"/>
          <w:szCs w:val="22"/>
          <w:lang w:val="en-US"/>
        </w:rPr>
        <w:t>87</w:t>
      </w:r>
      <w:r>
        <w:rPr>
          <w:rFonts w:ascii="Baskerville" w:hAnsi="Baskerville"/>
          <w:sz w:val="22"/>
          <w:szCs w:val="22"/>
          <w:lang w:val="en-US"/>
        </w:rPr>
        <w:t>]</w:t>
      </w:r>
      <w:r w:rsidRPr="00097DF8">
        <w:rPr>
          <w:rFonts w:ascii="Baskerville" w:hAnsi="Baskerville"/>
          <w:sz w:val="22"/>
          <w:szCs w:val="22"/>
          <w:lang w:val="en-US"/>
        </w:rPr>
        <w:t>.</w:t>
      </w:r>
    </w:p>
  </w:footnote>
  <w:footnote w:id="27">
    <w:p w14:paraId="22471505" w14:textId="1CDA5016" w:rsidR="00943CA2" w:rsidRPr="001D7EAF" w:rsidRDefault="00943CA2">
      <w:pPr>
        <w:pStyle w:val="FootnoteText"/>
        <w:rPr>
          <w:rFonts w:ascii="Baskerville" w:hAnsi="Baskerville"/>
          <w:sz w:val="22"/>
          <w:szCs w:val="22"/>
          <w:lang w:val="en-US"/>
        </w:rPr>
      </w:pPr>
      <w:r w:rsidRPr="001D7EAF">
        <w:rPr>
          <w:rStyle w:val="FootnoteReference"/>
          <w:rFonts w:ascii="Baskerville" w:hAnsi="Baskerville"/>
          <w:sz w:val="22"/>
          <w:szCs w:val="22"/>
        </w:rPr>
        <w:footnoteRef/>
      </w:r>
      <w:r w:rsidRPr="001D7EAF">
        <w:rPr>
          <w:rFonts w:ascii="Baskerville" w:hAnsi="Baskerville"/>
          <w:sz w:val="22"/>
          <w:szCs w:val="22"/>
        </w:rPr>
        <w:t xml:space="preserve"> </w:t>
      </w:r>
      <w:r w:rsidRPr="001D7EAF">
        <w:rPr>
          <w:rFonts w:ascii="Baskerville" w:hAnsi="Baskerville"/>
          <w:i/>
          <w:sz w:val="22"/>
          <w:szCs w:val="22"/>
        </w:rPr>
        <w:t>R</w:t>
      </w:r>
      <w:r w:rsidRPr="001D7EAF">
        <w:rPr>
          <w:rFonts w:ascii="Baskerville" w:hAnsi="Baskerville"/>
          <w:sz w:val="22"/>
          <w:szCs w:val="22"/>
        </w:rPr>
        <w:t xml:space="preserve"> v </w:t>
      </w:r>
      <w:r w:rsidRPr="001D7EAF">
        <w:rPr>
          <w:rFonts w:ascii="Baskerville" w:hAnsi="Baskerville"/>
          <w:i/>
          <w:sz w:val="22"/>
          <w:szCs w:val="22"/>
        </w:rPr>
        <w:t>Secretary of State for Trade and Industry,</w:t>
      </w:r>
      <w:r w:rsidRPr="001D7EAF">
        <w:rPr>
          <w:rFonts w:ascii="Baskerville" w:hAnsi="Baskerville"/>
          <w:sz w:val="22"/>
          <w:szCs w:val="22"/>
        </w:rPr>
        <w:t xml:space="preserve"> </w:t>
      </w:r>
      <w:r w:rsidRPr="001D7EAF">
        <w:rPr>
          <w:rFonts w:ascii="Baskerville" w:hAnsi="Baskerville"/>
          <w:i/>
          <w:iCs/>
          <w:sz w:val="22"/>
          <w:szCs w:val="22"/>
        </w:rPr>
        <w:t xml:space="preserve">ex parte Duddridge </w:t>
      </w:r>
      <w:r w:rsidRPr="001D7EAF">
        <w:rPr>
          <w:rFonts w:ascii="Baskerville" w:hAnsi="Baskerville"/>
          <w:sz w:val="22"/>
          <w:szCs w:val="22"/>
        </w:rPr>
        <w:t>[1995] Env Lr 151.</w:t>
      </w:r>
    </w:p>
  </w:footnote>
  <w:footnote w:id="28">
    <w:p w14:paraId="7BA9E6A1" w14:textId="025D5D63" w:rsidR="00943CA2" w:rsidRPr="00400C7D" w:rsidRDefault="00943CA2">
      <w:pPr>
        <w:pStyle w:val="FootnoteText"/>
        <w:rPr>
          <w:rFonts w:ascii="Baskerville" w:hAnsi="Baskerville"/>
          <w:lang w:val="en-US"/>
        </w:rPr>
      </w:pPr>
      <w:r w:rsidRPr="001D7EAF">
        <w:rPr>
          <w:rStyle w:val="FootnoteReference"/>
          <w:rFonts w:ascii="Baskerville" w:hAnsi="Baskerville"/>
          <w:sz w:val="22"/>
          <w:szCs w:val="22"/>
        </w:rPr>
        <w:footnoteRef/>
      </w:r>
      <w:r w:rsidRPr="001D7EAF">
        <w:rPr>
          <w:rFonts w:ascii="Baskerville" w:hAnsi="Baskerville"/>
          <w:sz w:val="22"/>
          <w:szCs w:val="22"/>
        </w:rPr>
        <w:t xml:space="preserve"> </w:t>
      </w:r>
      <w:r w:rsidRPr="001D7EAF">
        <w:rPr>
          <w:rFonts w:ascii="Baskerville" w:hAnsi="Baskerville"/>
          <w:i/>
          <w:iCs/>
          <w:sz w:val="22"/>
          <w:szCs w:val="22"/>
        </w:rPr>
        <w:t xml:space="preserve">R (National Grid Gas plc (formerly Transco plc)) </w:t>
      </w:r>
      <w:r w:rsidRPr="001D7EAF">
        <w:rPr>
          <w:rFonts w:ascii="Baskerville" w:hAnsi="Baskerville"/>
          <w:iCs/>
          <w:sz w:val="22"/>
          <w:szCs w:val="22"/>
        </w:rPr>
        <w:t>v</w:t>
      </w:r>
      <w:r w:rsidRPr="001D7EAF">
        <w:rPr>
          <w:rFonts w:ascii="Baskerville" w:hAnsi="Baskerville"/>
          <w:i/>
          <w:iCs/>
          <w:sz w:val="22"/>
          <w:szCs w:val="22"/>
        </w:rPr>
        <w:t xml:space="preserve"> Environment Agency </w:t>
      </w:r>
      <w:r w:rsidRPr="001D7EAF">
        <w:rPr>
          <w:rFonts w:ascii="Baskerville" w:hAnsi="Baskerville"/>
          <w:sz w:val="22"/>
          <w:szCs w:val="22"/>
        </w:rPr>
        <w:t>[2007] UKHL 30.</w:t>
      </w:r>
    </w:p>
  </w:footnote>
  <w:footnote w:id="29">
    <w:p w14:paraId="6588F0CE" w14:textId="2C3917F5" w:rsidR="00943CA2" w:rsidRPr="00ED6C97" w:rsidRDefault="00943CA2" w:rsidP="00F20899">
      <w:pPr>
        <w:pStyle w:val="FootnoteText"/>
        <w:rPr>
          <w:rFonts w:ascii="Baskerville" w:hAnsi="Baskerville"/>
          <w:sz w:val="22"/>
          <w:szCs w:val="22"/>
        </w:rPr>
      </w:pPr>
      <w:r w:rsidRPr="00ED6C97">
        <w:rPr>
          <w:rStyle w:val="FootnoteReference"/>
          <w:rFonts w:ascii="Baskerville" w:hAnsi="Baskerville"/>
          <w:sz w:val="22"/>
          <w:szCs w:val="22"/>
        </w:rPr>
        <w:footnoteRef/>
      </w:r>
      <w:r w:rsidRPr="00ED6C97">
        <w:rPr>
          <w:rFonts w:ascii="Baskerville" w:hAnsi="Baskerville"/>
          <w:sz w:val="22"/>
          <w:szCs w:val="22"/>
        </w:rPr>
        <w:t xml:space="preserve"> P. Sands, </w:t>
      </w:r>
      <w:r w:rsidRPr="00ED6C97">
        <w:rPr>
          <w:rFonts w:ascii="Baskerville" w:hAnsi="Baskerville"/>
          <w:i/>
          <w:sz w:val="22"/>
          <w:szCs w:val="22"/>
        </w:rPr>
        <w:t>Litigating Environmental Disputes: Courts, Tribunals and the Progressive Development of International Environmental Law</w:t>
      </w:r>
      <w:r w:rsidRPr="00ED6C97">
        <w:rPr>
          <w:rFonts w:ascii="Baskerville" w:hAnsi="Baskerville"/>
          <w:sz w:val="22"/>
          <w:szCs w:val="22"/>
        </w:rPr>
        <w:t>, Session 2.2: The policy framework for investment: the social and environmental dimensions (OECD 2008), p 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1E1CFC28" w:rsidR="00943CA2" w:rsidRPr="003272A5" w:rsidRDefault="00943CA2">
    <w:pPr>
      <w:pStyle w:val="Header"/>
      <w:rPr>
        <w:rFonts w:ascii="Baskerville" w:hAnsi="Baskerville"/>
      </w:rPr>
    </w:pPr>
    <w:r>
      <w:rPr>
        <w:rFonts w:ascii="Baskerville" w:hAnsi="Baskerville"/>
      </w:rPr>
      <w:t>Christopher Olsen                                                                                        12/11/2016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4740B3"/>
    <w:multiLevelType w:val="hybridMultilevel"/>
    <w:tmpl w:val="9E00082E"/>
    <w:lvl w:ilvl="0" w:tplc="4020769C">
      <w:start w:val="1"/>
      <w:numFmt w:val="bullet"/>
      <w:lvlText w:val="•"/>
      <w:lvlJc w:val="left"/>
      <w:pPr>
        <w:tabs>
          <w:tab w:val="num" w:pos="720"/>
        </w:tabs>
        <w:ind w:left="720" w:hanging="360"/>
      </w:pPr>
      <w:rPr>
        <w:rFonts w:ascii="Arial" w:hAnsi="Arial" w:hint="default"/>
      </w:rPr>
    </w:lvl>
    <w:lvl w:ilvl="1" w:tplc="B30ECEF8">
      <w:numFmt w:val="bullet"/>
      <w:lvlText w:val="•"/>
      <w:lvlJc w:val="left"/>
      <w:pPr>
        <w:tabs>
          <w:tab w:val="num" w:pos="1440"/>
        </w:tabs>
        <w:ind w:left="1440" w:hanging="360"/>
      </w:pPr>
      <w:rPr>
        <w:rFonts w:ascii="Arial" w:hAnsi="Arial" w:hint="default"/>
      </w:rPr>
    </w:lvl>
    <w:lvl w:ilvl="2" w:tplc="83C2478E" w:tentative="1">
      <w:start w:val="1"/>
      <w:numFmt w:val="bullet"/>
      <w:lvlText w:val="•"/>
      <w:lvlJc w:val="left"/>
      <w:pPr>
        <w:tabs>
          <w:tab w:val="num" w:pos="2160"/>
        </w:tabs>
        <w:ind w:left="2160" w:hanging="360"/>
      </w:pPr>
      <w:rPr>
        <w:rFonts w:ascii="Arial" w:hAnsi="Arial" w:hint="default"/>
      </w:rPr>
    </w:lvl>
    <w:lvl w:ilvl="3" w:tplc="9C7AA3BA" w:tentative="1">
      <w:start w:val="1"/>
      <w:numFmt w:val="bullet"/>
      <w:lvlText w:val="•"/>
      <w:lvlJc w:val="left"/>
      <w:pPr>
        <w:tabs>
          <w:tab w:val="num" w:pos="2880"/>
        </w:tabs>
        <w:ind w:left="2880" w:hanging="360"/>
      </w:pPr>
      <w:rPr>
        <w:rFonts w:ascii="Arial" w:hAnsi="Arial" w:hint="default"/>
      </w:rPr>
    </w:lvl>
    <w:lvl w:ilvl="4" w:tplc="8CAA0064" w:tentative="1">
      <w:start w:val="1"/>
      <w:numFmt w:val="bullet"/>
      <w:lvlText w:val="•"/>
      <w:lvlJc w:val="left"/>
      <w:pPr>
        <w:tabs>
          <w:tab w:val="num" w:pos="3600"/>
        </w:tabs>
        <w:ind w:left="3600" w:hanging="360"/>
      </w:pPr>
      <w:rPr>
        <w:rFonts w:ascii="Arial" w:hAnsi="Arial" w:hint="default"/>
      </w:rPr>
    </w:lvl>
    <w:lvl w:ilvl="5" w:tplc="4E56A246" w:tentative="1">
      <w:start w:val="1"/>
      <w:numFmt w:val="bullet"/>
      <w:lvlText w:val="•"/>
      <w:lvlJc w:val="left"/>
      <w:pPr>
        <w:tabs>
          <w:tab w:val="num" w:pos="4320"/>
        </w:tabs>
        <w:ind w:left="4320" w:hanging="360"/>
      </w:pPr>
      <w:rPr>
        <w:rFonts w:ascii="Arial" w:hAnsi="Arial" w:hint="default"/>
      </w:rPr>
    </w:lvl>
    <w:lvl w:ilvl="6" w:tplc="D750CA80" w:tentative="1">
      <w:start w:val="1"/>
      <w:numFmt w:val="bullet"/>
      <w:lvlText w:val="•"/>
      <w:lvlJc w:val="left"/>
      <w:pPr>
        <w:tabs>
          <w:tab w:val="num" w:pos="5040"/>
        </w:tabs>
        <w:ind w:left="5040" w:hanging="360"/>
      </w:pPr>
      <w:rPr>
        <w:rFonts w:ascii="Arial" w:hAnsi="Arial" w:hint="default"/>
      </w:rPr>
    </w:lvl>
    <w:lvl w:ilvl="7" w:tplc="148CAFFE" w:tentative="1">
      <w:start w:val="1"/>
      <w:numFmt w:val="bullet"/>
      <w:lvlText w:val="•"/>
      <w:lvlJc w:val="left"/>
      <w:pPr>
        <w:tabs>
          <w:tab w:val="num" w:pos="5760"/>
        </w:tabs>
        <w:ind w:left="5760" w:hanging="360"/>
      </w:pPr>
      <w:rPr>
        <w:rFonts w:ascii="Arial" w:hAnsi="Arial" w:hint="default"/>
      </w:rPr>
    </w:lvl>
    <w:lvl w:ilvl="8" w:tplc="285CC7FE" w:tentative="1">
      <w:start w:val="1"/>
      <w:numFmt w:val="bullet"/>
      <w:lvlText w:val="•"/>
      <w:lvlJc w:val="left"/>
      <w:pPr>
        <w:tabs>
          <w:tab w:val="num" w:pos="6480"/>
        </w:tabs>
        <w:ind w:left="6480" w:hanging="360"/>
      </w:pPr>
      <w:rPr>
        <w:rFonts w:ascii="Arial" w:hAnsi="Arial" w:hint="default"/>
      </w:rPr>
    </w:lvl>
  </w:abstractNum>
  <w:abstractNum w:abstractNumId="2">
    <w:nsid w:val="01DA3F8A"/>
    <w:multiLevelType w:val="hybridMultilevel"/>
    <w:tmpl w:val="863ACAA6"/>
    <w:lvl w:ilvl="0" w:tplc="C7965CEC">
      <w:start w:val="1"/>
      <w:numFmt w:val="bullet"/>
      <w:lvlText w:val="•"/>
      <w:lvlJc w:val="left"/>
      <w:pPr>
        <w:tabs>
          <w:tab w:val="num" w:pos="720"/>
        </w:tabs>
        <w:ind w:left="720" w:hanging="360"/>
      </w:pPr>
      <w:rPr>
        <w:rFonts w:ascii="Arial" w:hAnsi="Arial" w:hint="default"/>
      </w:rPr>
    </w:lvl>
    <w:lvl w:ilvl="1" w:tplc="23306AB6" w:tentative="1">
      <w:start w:val="1"/>
      <w:numFmt w:val="bullet"/>
      <w:lvlText w:val="•"/>
      <w:lvlJc w:val="left"/>
      <w:pPr>
        <w:tabs>
          <w:tab w:val="num" w:pos="1440"/>
        </w:tabs>
        <w:ind w:left="1440" w:hanging="360"/>
      </w:pPr>
      <w:rPr>
        <w:rFonts w:ascii="Arial" w:hAnsi="Arial" w:hint="default"/>
      </w:rPr>
    </w:lvl>
    <w:lvl w:ilvl="2" w:tplc="2626E6A2" w:tentative="1">
      <w:start w:val="1"/>
      <w:numFmt w:val="bullet"/>
      <w:lvlText w:val="•"/>
      <w:lvlJc w:val="left"/>
      <w:pPr>
        <w:tabs>
          <w:tab w:val="num" w:pos="2160"/>
        </w:tabs>
        <w:ind w:left="2160" w:hanging="360"/>
      </w:pPr>
      <w:rPr>
        <w:rFonts w:ascii="Arial" w:hAnsi="Arial" w:hint="default"/>
      </w:rPr>
    </w:lvl>
    <w:lvl w:ilvl="3" w:tplc="7A8A91E4" w:tentative="1">
      <w:start w:val="1"/>
      <w:numFmt w:val="bullet"/>
      <w:lvlText w:val="•"/>
      <w:lvlJc w:val="left"/>
      <w:pPr>
        <w:tabs>
          <w:tab w:val="num" w:pos="2880"/>
        </w:tabs>
        <w:ind w:left="2880" w:hanging="360"/>
      </w:pPr>
      <w:rPr>
        <w:rFonts w:ascii="Arial" w:hAnsi="Arial" w:hint="default"/>
      </w:rPr>
    </w:lvl>
    <w:lvl w:ilvl="4" w:tplc="7A1CE4A2" w:tentative="1">
      <w:start w:val="1"/>
      <w:numFmt w:val="bullet"/>
      <w:lvlText w:val="•"/>
      <w:lvlJc w:val="left"/>
      <w:pPr>
        <w:tabs>
          <w:tab w:val="num" w:pos="3600"/>
        </w:tabs>
        <w:ind w:left="3600" w:hanging="360"/>
      </w:pPr>
      <w:rPr>
        <w:rFonts w:ascii="Arial" w:hAnsi="Arial" w:hint="default"/>
      </w:rPr>
    </w:lvl>
    <w:lvl w:ilvl="5" w:tplc="AB4E3DBA" w:tentative="1">
      <w:start w:val="1"/>
      <w:numFmt w:val="bullet"/>
      <w:lvlText w:val="•"/>
      <w:lvlJc w:val="left"/>
      <w:pPr>
        <w:tabs>
          <w:tab w:val="num" w:pos="4320"/>
        </w:tabs>
        <w:ind w:left="4320" w:hanging="360"/>
      </w:pPr>
      <w:rPr>
        <w:rFonts w:ascii="Arial" w:hAnsi="Arial" w:hint="default"/>
      </w:rPr>
    </w:lvl>
    <w:lvl w:ilvl="6" w:tplc="58788888" w:tentative="1">
      <w:start w:val="1"/>
      <w:numFmt w:val="bullet"/>
      <w:lvlText w:val="•"/>
      <w:lvlJc w:val="left"/>
      <w:pPr>
        <w:tabs>
          <w:tab w:val="num" w:pos="5040"/>
        </w:tabs>
        <w:ind w:left="5040" w:hanging="360"/>
      </w:pPr>
      <w:rPr>
        <w:rFonts w:ascii="Arial" w:hAnsi="Arial" w:hint="default"/>
      </w:rPr>
    </w:lvl>
    <w:lvl w:ilvl="7" w:tplc="4216C96A" w:tentative="1">
      <w:start w:val="1"/>
      <w:numFmt w:val="bullet"/>
      <w:lvlText w:val="•"/>
      <w:lvlJc w:val="left"/>
      <w:pPr>
        <w:tabs>
          <w:tab w:val="num" w:pos="5760"/>
        </w:tabs>
        <w:ind w:left="5760" w:hanging="360"/>
      </w:pPr>
      <w:rPr>
        <w:rFonts w:ascii="Arial" w:hAnsi="Arial" w:hint="default"/>
      </w:rPr>
    </w:lvl>
    <w:lvl w:ilvl="8" w:tplc="82986A5E" w:tentative="1">
      <w:start w:val="1"/>
      <w:numFmt w:val="bullet"/>
      <w:lvlText w:val="•"/>
      <w:lvlJc w:val="left"/>
      <w:pPr>
        <w:tabs>
          <w:tab w:val="num" w:pos="6480"/>
        </w:tabs>
        <w:ind w:left="6480" w:hanging="360"/>
      </w:pPr>
      <w:rPr>
        <w:rFonts w:ascii="Arial" w:hAnsi="Arial" w:hint="default"/>
      </w:rPr>
    </w:lvl>
  </w:abstractNum>
  <w:abstractNum w:abstractNumId="3">
    <w:nsid w:val="16015109"/>
    <w:multiLevelType w:val="hybridMultilevel"/>
    <w:tmpl w:val="FF5E3E68"/>
    <w:lvl w:ilvl="0" w:tplc="A216D108">
      <w:start w:val="1"/>
      <w:numFmt w:val="bullet"/>
      <w:lvlText w:val="•"/>
      <w:lvlJc w:val="left"/>
      <w:pPr>
        <w:tabs>
          <w:tab w:val="num" w:pos="720"/>
        </w:tabs>
        <w:ind w:left="720" w:hanging="360"/>
      </w:pPr>
      <w:rPr>
        <w:rFonts w:ascii="Arial" w:hAnsi="Arial" w:hint="default"/>
      </w:rPr>
    </w:lvl>
    <w:lvl w:ilvl="1" w:tplc="9C26DDB4" w:tentative="1">
      <w:start w:val="1"/>
      <w:numFmt w:val="bullet"/>
      <w:lvlText w:val="•"/>
      <w:lvlJc w:val="left"/>
      <w:pPr>
        <w:tabs>
          <w:tab w:val="num" w:pos="1440"/>
        </w:tabs>
        <w:ind w:left="1440" w:hanging="360"/>
      </w:pPr>
      <w:rPr>
        <w:rFonts w:ascii="Arial" w:hAnsi="Arial" w:hint="default"/>
      </w:rPr>
    </w:lvl>
    <w:lvl w:ilvl="2" w:tplc="FC30553C" w:tentative="1">
      <w:start w:val="1"/>
      <w:numFmt w:val="bullet"/>
      <w:lvlText w:val="•"/>
      <w:lvlJc w:val="left"/>
      <w:pPr>
        <w:tabs>
          <w:tab w:val="num" w:pos="2160"/>
        </w:tabs>
        <w:ind w:left="2160" w:hanging="360"/>
      </w:pPr>
      <w:rPr>
        <w:rFonts w:ascii="Arial" w:hAnsi="Arial" w:hint="default"/>
      </w:rPr>
    </w:lvl>
    <w:lvl w:ilvl="3" w:tplc="5338F284" w:tentative="1">
      <w:start w:val="1"/>
      <w:numFmt w:val="bullet"/>
      <w:lvlText w:val="•"/>
      <w:lvlJc w:val="left"/>
      <w:pPr>
        <w:tabs>
          <w:tab w:val="num" w:pos="2880"/>
        </w:tabs>
        <w:ind w:left="2880" w:hanging="360"/>
      </w:pPr>
      <w:rPr>
        <w:rFonts w:ascii="Arial" w:hAnsi="Arial" w:hint="default"/>
      </w:rPr>
    </w:lvl>
    <w:lvl w:ilvl="4" w:tplc="6DDE4D5E" w:tentative="1">
      <w:start w:val="1"/>
      <w:numFmt w:val="bullet"/>
      <w:lvlText w:val="•"/>
      <w:lvlJc w:val="left"/>
      <w:pPr>
        <w:tabs>
          <w:tab w:val="num" w:pos="3600"/>
        </w:tabs>
        <w:ind w:left="3600" w:hanging="360"/>
      </w:pPr>
      <w:rPr>
        <w:rFonts w:ascii="Arial" w:hAnsi="Arial" w:hint="default"/>
      </w:rPr>
    </w:lvl>
    <w:lvl w:ilvl="5" w:tplc="7C6CB6DA" w:tentative="1">
      <w:start w:val="1"/>
      <w:numFmt w:val="bullet"/>
      <w:lvlText w:val="•"/>
      <w:lvlJc w:val="left"/>
      <w:pPr>
        <w:tabs>
          <w:tab w:val="num" w:pos="4320"/>
        </w:tabs>
        <w:ind w:left="4320" w:hanging="360"/>
      </w:pPr>
      <w:rPr>
        <w:rFonts w:ascii="Arial" w:hAnsi="Arial" w:hint="default"/>
      </w:rPr>
    </w:lvl>
    <w:lvl w:ilvl="6" w:tplc="6E28614E" w:tentative="1">
      <w:start w:val="1"/>
      <w:numFmt w:val="bullet"/>
      <w:lvlText w:val="•"/>
      <w:lvlJc w:val="left"/>
      <w:pPr>
        <w:tabs>
          <w:tab w:val="num" w:pos="5040"/>
        </w:tabs>
        <w:ind w:left="5040" w:hanging="360"/>
      </w:pPr>
      <w:rPr>
        <w:rFonts w:ascii="Arial" w:hAnsi="Arial" w:hint="default"/>
      </w:rPr>
    </w:lvl>
    <w:lvl w:ilvl="7" w:tplc="541AFFA8" w:tentative="1">
      <w:start w:val="1"/>
      <w:numFmt w:val="bullet"/>
      <w:lvlText w:val="•"/>
      <w:lvlJc w:val="left"/>
      <w:pPr>
        <w:tabs>
          <w:tab w:val="num" w:pos="5760"/>
        </w:tabs>
        <w:ind w:left="5760" w:hanging="360"/>
      </w:pPr>
      <w:rPr>
        <w:rFonts w:ascii="Arial" w:hAnsi="Arial" w:hint="default"/>
      </w:rPr>
    </w:lvl>
    <w:lvl w:ilvl="8" w:tplc="5A98D716" w:tentative="1">
      <w:start w:val="1"/>
      <w:numFmt w:val="bullet"/>
      <w:lvlText w:val="•"/>
      <w:lvlJc w:val="left"/>
      <w:pPr>
        <w:tabs>
          <w:tab w:val="num" w:pos="6480"/>
        </w:tabs>
        <w:ind w:left="6480" w:hanging="360"/>
      </w:pPr>
      <w:rPr>
        <w:rFonts w:ascii="Arial" w:hAnsi="Arial" w:hint="default"/>
      </w:rPr>
    </w:lvl>
  </w:abstractNum>
  <w:abstractNum w:abstractNumId="4">
    <w:nsid w:val="1A833E10"/>
    <w:multiLevelType w:val="hybridMultilevel"/>
    <w:tmpl w:val="5CD85ED0"/>
    <w:lvl w:ilvl="0" w:tplc="DB2497C2">
      <w:start w:val="1"/>
      <w:numFmt w:val="bullet"/>
      <w:lvlText w:val="•"/>
      <w:lvlJc w:val="left"/>
      <w:pPr>
        <w:tabs>
          <w:tab w:val="num" w:pos="720"/>
        </w:tabs>
        <w:ind w:left="720" w:hanging="360"/>
      </w:pPr>
      <w:rPr>
        <w:rFonts w:ascii="Arial" w:hAnsi="Arial" w:hint="default"/>
      </w:rPr>
    </w:lvl>
    <w:lvl w:ilvl="1" w:tplc="8E0AC15A" w:tentative="1">
      <w:start w:val="1"/>
      <w:numFmt w:val="bullet"/>
      <w:lvlText w:val="•"/>
      <w:lvlJc w:val="left"/>
      <w:pPr>
        <w:tabs>
          <w:tab w:val="num" w:pos="1440"/>
        </w:tabs>
        <w:ind w:left="1440" w:hanging="360"/>
      </w:pPr>
      <w:rPr>
        <w:rFonts w:ascii="Arial" w:hAnsi="Arial" w:hint="default"/>
      </w:rPr>
    </w:lvl>
    <w:lvl w:ilvl="2" w:tplc="0F6054B6" w:tentative="1">
      <w:start w:val="1"/>
      <w:numFmt w:val="bullet"/>
      <w:lvlText w:val="•"/>
      <w:lvlJc w:val="left"/>
      <w:pPr>
        <w:tabs>
          <w:tab w:val="num" w:pos="2160"/>
        </w:tabs>
        <w:ind w:left="2160" w:hanging="360"/>
      </w:pPr>
      <w:rPr>
        <w:rFonts w:ascii="Arial" w:hAnsi="Arial" w:hint="default"/>
      </w:rPr>
    </w:lvl>
    <w:lvl w:ilvl="3" w:tplc="2C762BDA" w:tentative="1">
      <w:start w:val="1"/>
      <w:numFmt w:val="bullet"/>
      <w:lvlText w:val="•"/>
      <w:lvlJc w:val="left"/>
      <w:pPr>
        <w:tabs>
          <w:tab w:val="num" w:pos="2880"/>
        </w:tabs>
        <w:ind w:left="2880" w:hanging="360"/>
      </w:pPr>
      <w:rPr>
        <w:rFonts w:ascii="Arial" w:hAnsi="Arial" w:hint="default"/>
      </w:rPr>
    </w:lvl>
    <w:lvl w:ilvl="4" w:tplc="D5F81912" w:tentative="1">
      <w:start w:val="1"/>
      <w:numFmt w:val="bullet"/>
      <w:lvlText w:val="•"/>
      <w:lvlJc w:val="left"/>
      <w:pPr>
        <w:tabs>
          <w:tab w:val="num" w:pos="3600"/>
        </w:tabs>
        <w:ind w:left="3600" w:hanging="360"/>
      </w:pPr>
      <w:rPr>
        <w:rFonts w:ascii="Arial" w:hAnsi="Arial" w:hint="default"/>
      </w:rPr>
    </w:lvl>
    <w:lvl w:ilvl="5" w:tplc="2D50AC64" w:tentative="1">
      <w:start w:val="1"/>
      <w:numFmt w:val="bullet"/>
      <w:lvlText w:val="•"/>
      <w:lvlJc w:val="left"/>
      <w:pPr>
        <w:tabs>
          <w:tab w:val="num" w:pos="4320"/>
        </w:tabs>
        <w:ind w:left="4320" w:hanging="360"/>
      </w:pPr>
      <w:rPr>
        <w:rFonts w:ascii="Arial" w:hAnsi="Arial" w:hint="default"/>
      </w:rPr>
    </w:lvl>
    <w:lvl w:ilvl="6" w:tplc="F0BE2D06" w:tentative="1">
      <w:start w:val="1"/>
      <w:numFmt w:val="bullet"/>
      <w:lvlText w:val="•"/>
      <w:lvlJc w:val="left"/>
      <w:pPr>
        <w:tabs>
          <w:tab w:val="num" w:pos="5040"/>
        </w:tabs>
        <w:ind w:left="5040" w:hanging="360"/>
      </w:pPr>
      <w:rPr>
        <w:rFonts w:ascii="Arial" w:hAnsi="Arial" w:hint="default"/>
      </w:rPr>
    </w:lvl>
    <w:lvl w:ilvl="7" w:tplc="9110B930" w:tentative="1">
      <w:start w:val="1"/>
      <w:numFmt w:val="bullet"/>
      <w:lvlText w:val="•"/>
      <w:lvlJc w:val="left"/>
      <w:pPr>
        <w:tabs>
          <w:tab w:val="num" w:pos="5760"/>
        </w:tabs>
        <w:ind w:left="5760" w:hanging="360"/>
      </w:pPr>
      <w:rPr>
        <w:rFonts w:ascii="Arial" w:hAnsi="Arial" w:hint="default"/>
      </w:rPr>
    </w:lvl>
    <w:lvl w:ilvl="8" w:tplc="E53E3D86" w:tentative="1">
      <w:start w:val="1"/>
      <w:numFmt w:val="bullet"/>
      <w:lvlText w:val="•"/>
      <w:lvlJc w:val="left"/>
      <w:pPr>
        <w:tabs>
          <w:tab w:val="num" w:pos="6480"/>
        </w:tabs>
        <w:ind w:left="6480" w:hanging="360"/>
      </w:pPr>
      <w:rPr>
        <w:rFonts w:ascii="Arial" w:hAnsi="Arial" w:hint="default"/>
      </w:rPr>
    </w:lvl>
  </w:abstractNum>
  <w:abstractNum w:abstractNumId="5">
    <w:nsid w:val="1C923309"/>
    <w:multiLevelType w:val="hybridMultilevel"/>
    <w:tmpl w:val="2F262926"/>
    <w:lvl w:ilvl="0" w:tplc="F8E4FBE2">
      <w:start w:val="1"/>
      <w:numFmt w:val="bullet"/>
      <w:lvlText w:val="•"/>
      <w:lvlJc w:val="left"/>
      <w:pPr>
        <w:tabs>
          <w:tab w:val="num" w:pos="720"/>
        </w:tabs>
        <w:ind w:left="720" w:hanging="360"/>
      </w:pPr>
      <w:rPr>
        <w:rFonts w:ascii="Arial" w:hAnsi="Arial" w:hint="default"/>
      </w:rPr>
    </w:lvl>
    <w:lvl w:ilvl="1" w:tplc="9E5CD324" w:tentative="1">
      <w:start w:val="1"/>
      <w:numFmt w:val="bullet"/>
      <w:lvlText w:val="•"/>
      <w:lvlJc w:val="left"/>
      <w:pPr>
        <w:tabs>
          <w:tab w:val="num" w:pos="1440"/>
        </w:tabs>
        <w:ind w:left="1440" w:hanging="360"/>
      </w:pPr>
      <w:rPr>
        <w:rFonts w:ascii="Arial" w:hAnsi="Arial" w:hint="default"/>
      </w:rPr>
    </w:lvl>
    <w:lvl w:ilvl="2" w:tplc="C7300D1A" w:tentative="1">
      <w:start w:val="1"/>
      <w:numFmt w:val="bullet"/>
      <w:lvlText w:val="•"/>
      <w:lvlJc w:val="left"/>
      <w:pPr>
        <w:tabs>
          <w:tab w:val="num" w:pos="2160"/>
        </w:tabs>
        <w:ind w:left="2160" w:hanging="360"/>
      </w:pPr>
      <w:rPr>
        <w:rFonts w:ascii="Arial" w:hAnsi="Arial" w:hint="default"/>
      </w:rPr>
    </w:lvl>
    <w:lvl w:ilvl="3" w:tplc="DE8AF5A8" w:tentative="1">
      <w:start w:val="1"/>
      <w:numFmt w:val="bullet"/>
      <w:lvlText w:val="•"/>
      <w:lvlJc w:val="left"/>
      <w:pPr>
        <w:tabs>
          <w:tab w:val="num" w:pos="2880"/>
        </w:tabs>
        <w:ind w:left="2880" w:hanging="360"/>
      </w:pPr>
      <w:rPr>
        <w:rFonts w:ascii="Arial" w:hAnsi="Arial" w:hint="default"/>
      </w:rPr>
    </w:lvl>
    <w:lvl w:ilvl="4" w:tplc="B2A26CE2" w:tentative="1">
      <w:start w:val="1"/>
      <w:numFmt w:val="bullet"/>
      <w:lvlText w:val="•"/>
      <w:lvlJc w:val="left"/>
      <w:pPr>
        <w:tabs>
          <w:tab w:val="num" w:pos="3600"/>
        </w:tabs>
        <w:ind w:left="3600" w:hanging="360"/>
      </w:pPr>
      <w:rPr>
        <w:rFonts w:ascii="Arial" w:hAnsi="Arial" w:hint="default"/>
      </w:rPr>
    </w:lvl>
    <w:lvl w:ilvl="5" w:tplc="AF40DA5E" w:tentative="1">
      <w:start w:val="1"/>
      <w:numFmt w:val="bullet"/>
      <w:lvlText w:val="•"/>
      <w:lvlJc w:val="left"/>
      <w:pPr>
        <w:tabs>
          <w:tab w:val="num" w:pos="4320"/>
        </w:tabs>
        <w:ind w:left="4320" w:hanging="360"/>
      </w:pPr>
      <w:rPr>
        <w:rFonts w:ascii="Arial" w:hAnsi="Arial" w:hint="default"/>
      </w:rPr>
    </w:lvl>
    <w:lvl w:ilvl="6" w:tplc="F3EC572E" w:tentative="1">
      <w:start w:val="1"/>
      <w:numFmt w:val="bullet"/>
      <w:lvlText w:val="•"/>
      <w:lvlJc w:val="left"/>
      <w:pPr>
        <w:tabs>
          <w:tab w:val="num" w:pos="5040"/>
        </w:tabs>
        <w:ind w:left="5040" w:hanging="360"/>
      </w:pPr>
      <w:rPr>
        <w:rFonts w:ascii="Arial" w:hAnsi="Arial" w:hint="default"/>
      </w:rPr>
    </w:lvl>
    <w:lvl w:ilvl="7" w:tplc="EF483D0A" w:tentative="1">
      <w:start w:val="1"/>
      <w:numFmt w:val="bullet"/>
      <w:lvlText w:val="•"/>
      <w:lvlJc w:val="left"/>
      <w:pPr>
        <w:tabs>
          <w:tab w:val="num" w:pos="5760"/>
        </w:tabs>
        <w:ind w:left="5760" w:hanging="360"/>
      </w:pPr>
      <w:rPr>
        <w:rFonts w:ascii="Arial" w:hAnsi="Arial" w:hint="default"/>
      </w:rPr>
    </w:lvl>
    <w:lvl w:ilvl="8" w:tplc="F6A48594" w:tentative="1">
      <w:start w:val="1"/>
      <w:numFmt w:val="bullet"/>
      <w:lvlText w:val="•"/>
      <w:lvlJc w:val="left"/>
      <w:pPr>
        <w:tabs>
          <w:tab w:val="num" w:pos="6480"/>
        </w:tabs>
        <w:ind w:left="6480" w:hanging="360"/>
      </w:pPr>
      <w:rPr>
        <w:rFonts w:ascii="Arial" w:hAnsi="Arial" w:hint="default"/>
      </w:rPr>
    </w:lvl>
  </w:abstractNum>
  <w:abstractNum w:abstractNumId="6">
    <w:nsid w:val="1C9250C8"/>
    <w:multiLevelType w:val="hybridMultilevel"/>
    <w:tmpl w:val="97D2DE9A"/>
    <w:lvl w:ilvl="0" w:tplc="59B2625E">
      <w:start w:val="1"/>
      <w:numFmt w:val="bullet"/>
      <w:lvlText w:val="•"/>
      <w:lvlJc w:val="left"/>
      <w:pPr>
        <w:tabs>
          <w:tab w:val="num" w:pos="720"/>
        </w:tabs>
        <w:ind w:left="720" w:hanging="360"/>
      </w:pPr>
      <w:rPr>
        <w:rFonts w:ascii="Arial" w:hAnsi="Arial" w:hint="default"/>
      </w:rPr>
    </w:lvl>
    <w:lvl w:ilvl="1" w:tplc="048A84A6" w:tentative="1">
      <w:start w:val="1"/>
      <w:numFmt w:val="bullet"/>
      <w:lvlText w:val="•"/>
      <w:lvlJc w:val="left"/>
      <w:pPr>
        <w:tabs>
          <w:tab w:val="num" w:pos="1440"/>
        </w:tabs>
        <w:ind w:left="1440" w:hanging="360"/>
      </w:pPr>
      <w:rPr>
        <w:rFonts w:ascii="Arial" w:hAnsi="Arial" w:hint="default"/>
      </w:rPr>
    </w:lvl>
    <w:lvl w:ilvl="2" w:tplc="5B5415DA" w:tentative="1">
      <w:start w:val="1"/>
      <w:numFmt w:val="bullet"/>
      <w:lvlText w:val="•"/>
      <w:lvlJc w:val="left"/>
      <w:pPr>
        <w:tabs>
          <w:tab w:val="num" w:pos="2160"/>
        </w:tabs>
        <w:ind w:left="2160" w:hanging="360"/>
      </w:pPr>
      <w:rPr>
        <w:rFonts w:ascii="Arial" w:hAnsi="Arial" w:hint="default"/>
      </w:rPr>
    </w:lvl>
    <w:lvl w:ilvl="3" w:tplc="A19C5DC0" w:tentative="1">
      <w:start w:val="1"/>
      <w:numFmt w:val="bullet"/>
      <w:lvlText w:val="•"/>
      <w:lvlJc w:val="left"/>
      <w:pPr>
        <w:tabs>
          <w:tab w:val="num" w:pos="2880"/>
        </w:tabs>
        <w:ind w:left="2880" w:hanging="360"/>
      </w:pPr>
      <w:rPr>
        <w:rFonts w:ascii="Arial" w:hAnsi="Arial" w:hint="default"/>
      </w:rPr>
    </w:lvl>
    <w:lvl w:ilvl="4" w:tplc="0A9ECFD0" w:tentative="1">
      <w:start w:val="1"/>
      <w:numFmt w:val="bullet"/>
      <w:lvlText w:val="•"/>
      <w:lvlJc w:val="left"/>
      <w:pPr>
        <w:tabs>
          <w:tab w:val="num" w:pos="3600"/>
        </w:tabs>
        <w:ind w:left="3600" w:hanging="360"/>
      </w:pPr>
      <w:rPr>
        <w:rFonts w:ascii="Arial" w:hAnsi="Arial" w:hint="default"/>
      </w:rPr>
    </w:lvl>
    <w:lvl w:ilvl="5" w:tplc="F89C3A8C" w:tentative="1">
      <w:start w:val="1"/>
      <w:numFmt w:val="bullet"/>
      <w:lvlText w:val="•"/>
      <w:lvlJc w:val="left"/>
      <w:pPr>
        <w:tabs>
          <w:tab w:val="num" w:pos="4320"/>
        </w:tabs>
        <w:ind w:left="4320" w:hanging="360"/>
      </w:pPr>
      <w:rPr>
        <w:rFonts w:ascii="Arial" w:hAnsi="Arial" w:hint="default"/>
      </w:rPr>
    </w:lvl>
    <w:lvl w:ilvl="6" w:tplc="94503A56" w:tentative="1">
      <w:start w:val="1"/>
      <w:numFmt w:val="bullet"/>
      <w:lvlText w:val="•"/>
      <w:lvlJc w:val="left"/>
      <w:pPr>
        <w:tabs>
          <w:tab w:val="num" w:pos="5040"/>
        </w:tabs>
        <w:ind w:left="5040" w:hanging="360"/>
      </w:pPr>
      <w:rPr>
        <w:rFonts w:ascii="Arial" w:hAnsi="Arial" w:hint="default"/>
      </w:rPr>
    </w:lvl>
    <w:lvl w:ilvl="7" w:tplc="43520436" w:tentative="1">
      <w:start w:val="1"/>
      <w:numFmt w:val="bullet"/>
      <w:lvlText w:val="•"/>
      <w:lvlJc w:val="left"/>
      <w:pPr>
        <w:tabs>
          <w:tab w:val="num" w:pos="5760"/>
        </w:tabs>
        <w:ind w:left="5760" w:hanging="360"/>
      </w:pPr>
      <w:rPr>
        <w:rFonts w:ascii="Arial" w:hAnsi="Arial" w:hint="default"/>
      </w:rPr>
    </w:lvl>
    <w:lvl w:ilvl="8" w:tplc="D5F22A56" w:tentative="1">
      <w:start w:val="1"/>
      <w:numFmt w:val="bullet"/>
      <w:lvlText w:val="•"/>
      <w:lvlJc w:val="left"/>
      <w:pPr>
        <w:tabs>
          <w:tab w:val="num" w:pos="6480"/>
        </w:tabs>
        <w:ind w:left="6480" w:hanging="360"/>
      </w:pPr>
      <w:rPr>
        <w:rFonts w:ascii="Arial" w:hAnsi="Arial" w:hint="default"/>
      </w:rPr>
    </w:lvl>
  </w:abstractNum>
  <w:abstractNum w:abstractNumId="7">
    <w:nsid w:val="20121505"/>
    <w:multiLevelType w:val="hybridMultilevel"/>
    <w:tmpl w:val="22D22AAC"/>
    <w:lvl w:ilvl="0" w:tplc="6CCE833C">
      <w:start w:val="1"/>
      <w:numFmt w:val="bullet"/>
      <w:lvlText w:val="•"/>
      <w:lvlJc w:val="left"/>
      <w:pPr>
        <w:tabs>
          <w:tab w:val="num" w:pos="720"/>
        </w:tabs>
        <w:ind w:left="720" w:hanging="360"/>
      </w:pPr>
      <w:rPr>
        <w:rFonts w:ascii="Arial" w:hAnsi="Arial" w:hint="default"/>
      </w:rPr>
    </w:lvl>
    <w:lvl w:ilvl="1" w:tplc="0D7E0346" w:tentative="1">
      <w:start w:val="1"/>
      <w:numFmt w:val="bullet"/>
      <w:lvlText w:val="•"/>
      <w:lvlJc w:val="left"/>
      <w:pPr>
        <w:tabs>
          <w:tab w:val="num" w:pos="1440"/>
        </w:tabs>
        <w:ind w:left="1440" w:hanging="360"/>
      </w:pPr>
      <w:rPr>
        <w:rFonts w:ascii="Arial" w:hAnsi="Arial" w:hint="default"/>
      </w:rPr>
    </w:lvl>
    <w:lvl w:ilvl="2" w:tplc="DB68AE4C" w:tentative="1">
      <w:start w:val="1"/>
      <w:numFmt w:val="bullet"/>
      <w:lvlText w:val="•"/>
      <w:lvlJc w:val="left"/>
      <w:pPr>
        <w:tabs>
          <w:tab w:val="num" w:pos="2160"/>
        </w:tabs>
        <w:ind w:left="2160" w:hanging="360"/>
      </w:pPr>
      <w:rPr>
        <w:rFonts w:ascii="Arial" w:hAnsi="Arial" w:hint="default"/>
      </w:rPr>
    </w:lvl>
    <w:lvl w:ilvl="3" w:tplc="3FD41298" w:tentative="1">
      <w:start w:val="1"/>
      <w:numFmt w:val="bullet"/>
      <w:lvlText w:val="•"/>
      <w:lvlJc w:val="left"/>
      <w:pPr>
        <w:tabs>
          <w:tab w:val="num" w:pos="2880"/>
        </w:tabs>
        <w:ind w:left="2880" w:hanging="360"/>
      </w:pPr>
      <w:rPr>
        <w:rFonts w:ascii="Arial" w:hAnsi="Arial" w:hint="default"/>
      </w:rPr>
    </w:lvl>
    <w:lvl w:ilvl="4" w:tplc="CE2AC180" w:tentative="1">
      <w:start w:val="1"/>
      <w:numFmt w:val="bullet"/>
      <w:lvlText w:val="•"/>
      <w:lvlJc w:val="left"/>
      <w:pPr>
        <w:tabs>
          <w:tab w:val="num" w:pos="3600"/>
        </w:tabs>
        <w:ind w:left="3600" w:hanging="360"/>
      </w:pPr>
      <w:rPr>
        <w:rFonts w:ascii="Arial" w:hAnsi="Arial" w:hint="default"/>
      </w:rPr>
    </w:lvl>
    <w:lvl w:ilvl="5" w:tplc="C69CE980" w:tentative="1">
      <w:start w:val="1"/>
      <w:numFmt w:val="bullet"/>
      <w:lvlText w:val="•"/>
      <w:lvlJc w:val="left"/>
      <w:pPr>
        <w:tabs>
          <w:tab w:val="num" w:pos="4320"/>
        </w:tabs>
        <w:ind w:left="4320" w:hanging="360"/>
      </w:pPr>
      <w:rPr>
        <w:rFonts w:ascii="Arial" w:hAnsi="Arial" w:hint="default"/>
      </w:rPr>
    </w:lvl>
    <w:lvl w:ilvl="6" w:tplc="737CF994" w:tentative="1">
      <w:start w:val="1"/>
      <w:numFmt w:val="bullet"/>
      <w:lvlText w:val="•"/>
      <w:lvlJc w:val="left"/>
      <w:pPr>
        <w:tabs>
          <w:tab w:val="num" w:pos="5040"/>
        </w:tabs>
        <w:ind w:left="5040" w:hanging="360"/>
      </w:pPr>
      <w:rPr>
        <w:rFonts w:ascii="Arial" w:hAnsi="Arial" w:hint="default"/>
      </w:rPr>
    </w:lvl>
    <w:lvl w:ilvl="7" w:tplc="421C9F22" w:tentative="1">
      <w:start w:val="1"/>
      <w:numFmt w:val="bullet"/>
      <w:lvlText w:val="•"/>
      <w:lvlJc w:val="left"/>
      <w:pPr>
        <w:tabs>
          <w:tab w:val="num" w:pos="5760"/>
        </w:tabs>
        <w:ind w:left="5760" w:hanging="360"/>
      </w:pPr>
      <w:rPr>
        <w:rFonts w:ascii="Arial" w:hAnsi="Arial" w:hint="default"/>
      </w:rPr>
    </w:lvl>
    <w:lvl w:ilvl="8" w:tplc="5D201050" w:tentative="1">
      <w:start w:val="1"/>
      <w:numFmt w:val="bullet"/>
      <w:lvlText w:val="•"/>
      <w:lvlJc w:val="left"/>
      <w:pPr>
        <w:tabs>
          <w:tab w:val="num" w:pos="6480"/>
        </w:tabs>
        <w:ind w:left="6480" w:hanging="360"/>
      </w:pPr>
      <w:rPr>
        <w:rFonts w:ascii="Arial" w:hAnsi="Arial" w:hint="default"/>
      </w:rPr>
    </w:lvl>
  </w:abstractNum>
  <w:abstractNum w:abstractNumId="8">
    <w:nsid w:val="317F2010"/>
    <w:multiLevelType w:val="hybridMultilevel"/>
    <w:tmpl w:val="94EA79CC"/>
    <w:lvl w:ilvl="0" w:tplc="FE64EB1C">
      <w:start w:val="1"/>
      <w:numFmt w:val="bullet"/>
      <w:lvlText w:val="•"/>
      <w:lvlJc w:val="left"/>
      <w:pPr>
        <w:tabs>
          <w:tab w:val="num" w:pos="720"/>
        </w:tabs>
        <w:ind w:left="720" w:hanging="360"/>
      </w:pPr>
      <w:rPr>
        <w:rFonts w:ascii="Arial" w:hAnsi="Arial" w:hint="default"/>
      </w:rPr>
    </w:lvl>
    <w:lvl w:ilvl="1" w:tplc="0E8E9D3A" w:tentative="1">
      <w:start w:val="1"/>
      <w:numFmt w:val="bullet"/>
      <w:lvlText w:val="•"/>
      <w:lvlJc w:val="left"/>
      <w:pPr>
        <w:tabs>
          <w:tab w:val="num" w:pos="1440"/>
        </w:tabs>
        <w:ind w:left="1440" w:hanging="360"/>
      </w:pPr>
      <w:rPr>
        <w:rFonts w:ascii="Arial" w:hAnsi="Arial" w:hint="default"/>
      </w:rPr>
    </w:lvl>
    <w:lvl w:ilvl="2" w:tplc="368AAF76" w:tentative="1">
      <w:start w:val="1"/>
      <w:numFmt w:val="bullet"/>
      <w:lvlText w:val="•"/>
      <w:lvlJc w:val="left"/>
      <w:pPr>
        <w:tabs>
          <w:tab w:val="num" w:pos="2160"/>
        </w:tabs>
        <w:ind w:left="2160" w:hanging="360"/>
      </w:pPr>
      <w:rPr>
        <w:rFonts w:ascii="Arial" w:hAnsi="Arial" w:hint="default"/>
      </w:rPr>
    </w:lvl>
    <w:lvl w:ilvl="3" w:tplc="D288578C" w:tentative="1">
      <w:start w:val="1"/>
      <w:numFmt w:val="bullet"/>
      <w:lvlText w:val="•"/>
      <w:lvlJc w:val="left"/>
      <w:pPr>
        <w:tabs>
          <w:tab w:val="num" w:pos="2880"/>
        </w:tabs>
        <w:ind w:left="2880" w:hanging="360"/>
      </w:pPr>
      <w:rPr>
        <w:rFonts w:ascii="Arial" w:hAnsi="Arial" w:hint="default"/>
      </w:rPr>
    </w:lvl>
    <w:lvl w:ilvl="4" w:tplc="F9967416" w:tentative="1">
      <w:start w:val="1"/>
      <w:numFmt w:val="bullet"/>
      <w:lvlText w:val="•"/>
      <w:lvlJc w:val="left"/>
      <w:pPr>
        <w:tabs>
          <w:tab w:val="num" w:pos="3600"/>
        </w:tabs>
        <w:ind w:left="3600" w:hanging="360"/>
      </w:pPr>
      <w:rPr>
        <w:rFonts w:ascii="Arial" w:hAnsi="Arial" w:hint="default"/>
      </w:rPr>
    </w:lvl>
    <w:lvl w:ilvl="5" w:tplc="FF089520" w:tentative="1">
      <w:start w:val="1"/>
      <w:numFmt w:val="bullet"/>
      <w:lvlText w:val="•"/>
      <w:lvlJc w:val="left"/>
      <w:pPr>
        <w:tabs>
          <w:tab w:val="num" w:pos="4320"/>
        </w:tabs>
        <w:ind w:left="4320" w:hanging="360"/>
      </w:pPr>
      <w:rPr>
        <w:rFonts w:ascii="Arial" w:hAnsi="Arial" w:hint="default"/>
      </w:rPr>
    </w:lvl>
    <w:lvl w:ilvl="6" w:tplc="997249E0" w:tentative="1">
      <w:start w:val="1"/>
      <w:numFmt w:val="bullet"/>
      <w:lvlText w:val="•"/>
      <w:lvlJc w:val="left"/>
      <w:pPr>
        <w:tabs>
          <w:tab w:val="num" w:pos="5040"/>
        </w:tabs>
        <w:ind w:left="5040" w:hanging="360"/>
      </w:pPr>
      <w:rPr>
        <w:rFonts w:ascii="Arial" w:hAnsi="Arial" w:hint="default"/>
      </w:rPr>
    </w:lvl>
    <w:lvl w:ilvl="7" w:tplc="7434772C" w:tentative="1">
      <w:start w:val="1"/>
      <w:numFmt w:val="bullet"/>
      <w:lvlText w:val="•"/>
      <w:lvlJc w:val="left"/>
      <w:pPr>
        <w:tabs>
          <w:tab w:val="num" w:pos="5760"/>
        </w:tabs>
        <w:ind w:left="5760" w:hanging="360"/>
      </w:pPr>
      <w:rPr>
        <w:rFonts w:ascii="Arial" w:hAnsi="Arial" w:hint="default"/>
      </w:rPr>
    </w:lvl>
    <w:lvl w:ilvl="8" w:tplc="6EF62C18" w:tentative="1">
      <w:start w:val="1"/>
      <w:numFmt w:val="bullet"/>
      <w:lvlText w:val="•"/>
      <w:lvlJc w:val="left"/>
      <w:pPr>
        <w:tabs>
          <w:tab w:val="num" w:pos="6480"/>
        </w:tabs>
        <w:ind w:left="6480" w:hanging="360"/>
      </w:pPr>
      <w:rPr>
        <w:rFonts w:ascii="Arial" w:hAnsi="Arial" w:hint="default"/>
      </w:rPr>
    </w:lvl>
  </w:abstractNum>
  <w:abstractNum w:abstractNumId="9">
    <w:nsid w:val="3367252F"/>
    <w:multiLevelType w:val="hybridMultilevel"/>
    <w:tmpl w:val="61F4583C"/>
    <w:lvl w:ilvl="0" w:tplc="4E6E3D82">
      <w:start w:val="1"/>
      <w:numFmt w:val="bullet"/>
      <w:lvlText w:val="•"/>
      <w:lvlJc w:val="left"/>
      <w:pPr>
        <w:tabs>
          <w:tab w:val="num" w:pos="720"/>
        </w:tabs>
        <w:ind w:left="720" w:hanging="360"/>
      </w:pPr>
      <w:rPr>
        <w:rFonts w:ascii="Arial" w:hAnsi="Arial" w:hint="default"/>
      </w:rPr>
    </w:lvl>
    <w:lvl w:ilvl="1" w:tplc="0B24ABE2">
      <w:start w:val="1"/>
      <w:numFmt w:val="bullet"/>
      <w:lvlText w:val="•"/>
      <w:lvlJc w:val="left"/>
      <w:pPr>
        <w:tabs>
          <w:tab w:val="num" w:pos="1440"/>
        </w:tabs>
        <w:ind w:left="1440" w:hanging="360"/>
      </w:pPr>
      <w:rPr>
        <w:rFonts w:ascii="Arial" w:hAnsi="Arial" w:hint="default"/>
      </w:rPr>
    </w:lvl>
    <w:lvl w:ilvl="2" w:tplc="855A3664" w:tentative="1">
      <w:start w:val="1"/>
      <w:numFmt w:val="bullet"/>
      <w:lvlText w:val="•"/>
      <w:lvlJc w:val="left"/>
      <w:pPr>
        <w:tabs>
          <w:tab w:val="num" w:pos="2160"/>
        </w:tabs>
        <w:ind w:left="2160" w:hanging="360"/>
      </w:pPr>
      <w:rPr>
        <w:rFonts w:ascii="Arial" w:hAnsi="Arial" w:hint="default"/>
      </w:rPr>
    </w:lvl>
    <w:lvl w:ilvl="3" w:tplc="E44A8A1C" w:tentative="1">
      <w:start w:val="1"/>
      <w:numFmt w:val="bullet"/>
      <w:lvlText w:val="•"/>
      <w:lvlJc w:val="left"/>
      <w:pPr>
        <w:tabs>
          <w:tab w:val="num" w:pos="2880"/>
        </w:tabs>
        <w:ind w:left="2880" w:hanging="360"/>
      </w:pPr>
      <w:rPr>
        <w:rFonts w:ascii="Arial" w:hAnsi="Arial" w:hint="default"/>
      </w:rPr>
    </w:lvl>
    <w:lvl w:ilvl="4" w:tplc="E1F28F12" w:tentative="1">
      <w:start w:val="1"/>
      <w:numFmt w:val="bullet"/>
      <w:lvlText w:val="•"/>
      <w:lvlJc w:val="left"/>
      <w:pPr>
        <w:tabs>
          <w:tab w:val="num" w:pos="3600"/>
        </w:tabs>
        <w:ind w:left="3600" w:hanging="360"/>
      </w:pPr>
      <w:rPr>
        <w:rFonts w:ascii="Arial" w:hAnsi="Arial" w:hint="default"/>
      </w:rPr>
    </w:lvl>
    <w:lvl w:ilvl="5" w:tplc="4FACF750" w:tentative="1">
      <w:start w:val="1"/>
      <w:numFmt w:val="bullet"/>
      <w:lvlText w:val="•"/>
      <w:lvlJc w:val="left"/>
      <w:pPr>
        <w:tabs>
          <w:tab w:val="num" w:pos="4320"/>
        </w:tabs>
        <w:ind w:left="4320" w:hanging="360"/>
      </w:pPr>
      <w:rPr>
        <w:rFonts w:ascii="Arial" w:hAnsi="Arial" w:hint="default"/>
      </w:rPr>
    </w:lvl>
    <w:lvl w:ilvl="6" w:tplc="3C2CC9A4" w:tentative="1">
      <w:start w:val="1"/>
      <w:numFmt w:val="bullet"/>
      <w:lvlText w:val="•"/>
      <w:lvlJc w:val="left"/>
      <w:pPr>
        <w:tabs>
          <w:tab w:val="num" w:pos="5040"/>
        </w:tabs>
        <w:ind w:left="5040" w:hanging="360"/>
      </w:pPr>
      <w:rPr>
        <w:rFonts w:ascii="Arial" w:hAnsi="Arial" w:hint="default"/>
      </w:rPr>
    </w:lvl>
    <w:lvl w:ilvl="7" w:tplc="53660592" w:tentative="1">
      <w:start w:val="1"/>
      <w:numFmt w:val="bullet"/>
      <w:lvlText w:val="•"/>
      <w:lvlJc w:val="left"/>
      <w:pPr>
        <w:tabs>
          <w:tab w:val="num" w:pos="5760"/>
        </w:tabs>
        <w:ind w:left="5760" w:hanging="360"/>
      </w:pPr>
      <w:rPr>
        <w:rFonts w:ascii="Arial" w:hAnsi="Arial" w:hint="default"/>
      </w:rPr>
    </w:lvl>
    <w:lvl w:ilvl="8" w:tplc="18B40938" w:tentative="1">
      <w:start w:val="1"/>
      <w:numFmt w:val="bullet"/>
      <w:lvlText w:val="•"/>
      <w:lvlJc w:val="left"/>
      <w:pPr>
        <w:tabs>
          <w:tab w:val="num" w:pos="6480"/>
        </w:tabs>
        <w:ind w:left="6480" w:hanging="360"/>
      </w:pPr>
      <w:rPr>
        <w:rFonts w:ascii="Arial" w:hAnsi="Arial" w:hint="default"/>
      </w:rPr>
    </w:lvl>
  </w:abstractNum>
  <w:abstractNum w:abstractNumId="10">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FC0520F"/>
    <w:multiLevelType w:val="hybridMultilevel"/>
    <w:tmpl w:val="B5D4F5C0"/>
    <w:lvl w:ilvl="0" w:tplc="629EC302">
      <w:start w:val="1"/>
      <w:numFmt w:val="bullet"/>
      <w:lvlText w:val="•"/>
      <w:lvlJc w:val="left"/>
      <w:pPr>
        <w:tabs>
          <w:tab w:val="num" w:pos="720"/>
        </w:tabs>
        <w:ind w:left="720" w:hanging="360"/>
      </w:pPr>
      <w:rPr>
        <w:rFonts w:ascii="Arial" w:hAnsi="Arial" w:hint="default"/>
      </w:rPr>
    </w:lvl>
    <w:lvl w:ilvl="1" w:tplc="AEEAF196" w:tentative="1">
      <w:start w:val="1"/>
      <w:numFmt w:val="bullet"/>
      <w:lvlText w:val="•"/>
      <w:lvlJc w:val="left"/>
      <w:pPr>
        <w:tabs>
          <w:tab w:val="num" w:pos="1440"/>
        </w:tabs>
        <w:ind w:left="1440" w:hanging="360"/>
      </w:pPr>
      <w:rPr>
        <w:rFonts w:ascii="Arial" w:hAnsi="Arial" w:hint="default"/>
      </w:rPr>
    </w:lvl>
    <w:lvl w:ilvl="2" w:tplc="C7E07CF2" w:tentative="1">
      <w:start w:val="1"/>
      <w:numFmt w:val="bullet"/>
      <w:lvlText w:val="•"/>
      <w:lvlJc w:val="left"/>
      <w:pPr>
        <w:tabs>
          <w:tab w:val="num" w:pos="2160"/>
        </w:tabs>
        <w:ind w:left="2160" w:hanging="360"/>
      </w:pPr>
      <w:rPr>
        <w:rFonts w:ascii="Arial" w:hAnsi="Arial" w:hint="default"/>
      </w:rPr>
    </w:lvl>
    <w:lvl w:ilvl="3" w:tplc="F7368B4E" w:tentative="1">
      <w:start w:val="1"/>
      <w:numFmt w:val="bullet"/>
      <w:lvlText w:val="•"/>
      <w:lvlJc w:val="left"/>
      <w:pPr>
        <w:tabs>
          <w:tab w:val="num" w:pos="2880"/>
        </w:tabs>
        <w:ind w:left="2880" w:hanging="360"/>
      </w:pPr>
      <w:rPr>
        <w:rFonts w:ascii="Arial" w:hAnsi="Arial" w:hint="default"/>
      </w:rPr>
    </w:lvl>
    <w:lvl w:ilvl="4" w:tplc="A6F47E6C" w:tentative="1">
      <w:start w:val="1"/>
      <w:numFmt w:val="bullet"/>
      <w:lvlText w:val="•"/>
      <w:lvlJc w:val="left"/>
      <w:pPr>
        <w:tabs>
          <w:tab w:val="num" w:pos="3600"/>
        </w:tabs>
        <w:ind w:left="3600" w:hanging="360"/>
      </w:pPr>
      <w:rPr>
        <w:rFonts w:ascii="Arial" w:hAnsi="Arial" w:hint="default"/>
      </w:rPr>
    </w:lvl>
    <w:lvl w:ilvl="5" w:tplc="67D8530A" w:tentative="1">
      <w:start w:val="1"/>
      <w:numFmt w:val="bullet"/>
      <w:lvlText w:val="•"/>
      <w:lvlJc w:val="left"/>
      <w:pPr>
        <w:tabs>
          <w:tab w:val="num" w:pos="4320"/>
        </w:tabs>
        <w:ind w:left="4320" w:hanging="360"/>
      </w:pPr>
      <w:rPr>
        <w:rFonts w:ascii="Arial" w:hAnsi="Arial" w:hint="default"/>
      </w:rPr>
    </w:lvl>
    <w:lvl w:ilvl="6" w:tplc="FB86EDB6" w:tentative="1">
      <w:start w:val="1"/>
      <w:numFmt w:val="bullet"/>
      <w:lvlText w:val="•"/>
      <w:lvlJc w:val="left"/>
      <w:pPr>
        <w:tabs>
          <w:tab w:val="num" w:pos="5040"/>
        </w:tabs>
        <w:ind w:left="5040" w:hanging="360"/>
      </w:pPr>
      <w:rPr>
        <w:rFonts w:ascii="Arial" w:hAnsi="Arial" w:hint="default"/>
      </w:rPr>
    </w:lvl>
    <w:lvl w:ilvl="7" w:tplc="EA2AF8EA" w:tentative="1">
      <w:start w:val="1"/>
      <w:numFmt w:val="bullet"/>
      <w:lvlText w:val="•"/>
      <w:lvlJc w:val="left"/>
      <w:pPr>
        <w:tabs>
          <w:tab w:val="num" w:pos="5760"/>
        </w:tabs>
        <w:ind w:left="5760" w:hanging="360"/>
      </w:pPr>
      <w:rPr>
        <w:rFonts w:ascii="Arial" w:hAnsi="Arial" w:hint="default"/>
      </w:rPr>
    </w:lvl>
    <w:lvl w:ilvl="8" w:tplc="BCD2438A" w:tentative="1">
      <w:start w:val="1"/>
      <w:numFmt w:val="bullet"/>
      <w:lvlText w:val="•"/>
      <w:lvlJc w:val="left"/>
      <w:pPr>
        <w:tabs>
          <w:tab w:val="num" w:pos="6480"/>
        </w:tabs>
        <w:ind w:left="6480" w:hanging="360"/>
      </w:pPr>
      <w:rPr>
        <w:rFonts w:ascii="Arial" w:hAnsi="Arial" w:hint="default"/>
      </w:rPr>
    </w:lvl>
  </w:abstractNum>
  <w:abstractNum w:abstractNumId="12">
    <w:nsid w:val="54883892"/>
    <w:multiLevelType w:val="hybridMultilevel"/>
    <w:tmpl w:val="029A3660"/>
    <w:lvl w:ilvl="0" w:tplc="586A4A0E">
      <w:start w:val="1"/>
      <w:numFmt w:val="bullet"/>
      <w:lvlText w:val="•"/>
      <w:lvlJc w:val="left"/>
      <w:pPr>
        <w:tabs>
          <w:tab w:val="num" w:pos="720"/>
        </w:tabs>
        <w:ind w:left="720" w:hanging="360"/>
      </w:pPr>
      <w:rPr>
        <w:rFonts w:ascii="Arial" w:hAnsi="Arial" w:hint="default"/>
      </w:rPr>
    </w:lvl>
    <w:lvl w:ilvl="1" w:tplc="560EA838">
      <w:numFmt w:val="bullet"/>
      <w:lvlText w:val="•"/>
      <w:lvlJc w:val="left"/>
      <w:pPr>
        <w:tabs>
          <w:tab w:val="num" w:pos="1440"/>
        </w:tabs>
        <w:ind w:left="1440" w:hanging="360"/>
      </w:pPr>
      <w:rPr>
        <w:rFonts w:ascii="Arial" w:hAnsi="Arial" w:hint="default"/>
      </w:rPr>
    </w:lvl>
    <w:lvl w:ilvl="2" w:tplc="0010CBE6" w:tentative="1">
      <w:start w:val="1"/>
      <w:numFmt w:val="bullet"/>
      <w:lvlText w:val="•"/>
      <w:lvlJc w:val="left"/>
      <w:pPr>
        <w:tabs>
          <w:tab w:val="num" w:pos="2160"/>
        </w:tabs>
        <w:ind w:left="2160" w:hanging="360"/>
      </w:pPr>
      <w:rPr>
        <w:rFonts w:ascii="Arial" w:hAnsi="Arial" w:hint="default"/>
      </w:rPr>
    </w:lvl>
    <w:lvl w:ilvl="3" w:tplc="D5AA625C" w:tentative="1">
      <w:start w:val="1"/>
      <w:numFmt w:val="bullet"/>
      <w:lvlText w:val="•"/>
      <w:lvlJc w:val="left"/>
      <w:pPr>
        <w:tabs>
          <w:tab w:val="num" w:pos="2880"/>
        </w:tabs>
        <w:ind w:left="2880" w:hanging="360"/>
      </w:pPr>
      <w:rPr>
        <w:rFonts w:ascii="Arial" w:hAnsi="Arial" w:hint="default"/>
      </w:rPr>
    </w:lvl>
    <w:lvl w:ilvl="4" w:tplc="D17E831E" w:tentative="1">
      <w:start w:val="1"/>
      <w:numFmt w:val="bullet"/>
      <w:lvlText w:val="•"/>
      <w:lvlJc w:val="left"/>
      <w:pPr>
        <w:tabs>
          <w:tab w:val="num" w:pos="3600"/>
        </w:tabs>
        <w:ind w:left="3600" w:hanging="360"/>
      </w:pPr>
      <w:rPr>
        <w:rFonts w:ascii="Arial" w:hAnsi="Arial" w:hint="default"/>
      </w:rPr>
    </w:lvl>
    <w:lvl w:ilvl="5" w:tplc="84F6355A" w:tentative="1">
      <w:start w:val="1"/>
      <w:numFmt w:val="bullet"/>
      <w:lvlText w:val="•"/>
      <w:lvlJc w:val="left"/>
      <w:pPr>
        <w:tabs>
          <w:tab w:val="num" w:pos="4320"/>
        </w:tabs>
        <w:ind w:left="4320" w:hanging="360"/>
      </w:pPr>
      <w:rPr>
        <w:rFonts w:ascii="Arial" w:hAnsi="Arial" w:hint="default"/>
      </w:rPr>
    </w:lvl>
    <w:lvl w:ilvl="6" w:tplc="48180F74" w:tentative="1">
      <w:start w:val="1"/>
      <w:numFmt w:val="bullet"/>
      <w:lvlText w:val="•"/>
      <w:lvlJc w:val="left"/>
      <w:pPr>
        <w:tabs>
          <w:tab w:val="num" w:pos="5040"/>
        </w:tabs>
        <w:ind w:left="5040" w:hanging="360"/>
      </w:pPr>
      <w:rPr>
        <w:rFonts w:ascii="Arial" w:hAnsi="Arial" w:hint="default"/>
      </w:rPr>
    </w:lvl>
    <w:lvl w:ilvl="7" w:tplc="108E7844" w:tentative="1">
      <w:start w:val="1"/>
      <w:numFmt w:val="bullet"/>
      <w:lvlText w:val="•"/>
      <w:lvlJc w:val="left"/>
      <w:pPr>
        <w:tabs>
          <w:tab w:val="num" w:pos="5760"/>
        </w:tabs>
        <w:ind w:left="5760" w:hanging="360"/>
      </w:pPr>
      <w:rPr>
        <w:rFonts w:ascii="Arial" w:hAnsi="Arial" w:hint="default"/>
      </w:rPr>
    </w:lvl>
    <w:lvl w:ilvl="8" w:tplc="5D061A82" w:tentative="1">
      <w:start w:val="1"/>
      <w:numFmt w:val="bullet"/>
      <w:lvlText w:val="•"/>
      <w:lvlJc w:val="left"/>
      <w:pPr>
        <w:tabs>
          <w:tab w:val="num" w:pos="6480"/>
        </w:tabs>
        <w:ind w:left="6480" w:hanging="360"/>
      </w:pPr>
      <w:rPr>
        <w:rFonts w:ascii="Arial" w:hAnsi="Arial" w:hint="default"/>
      </w:rPr>
    </w:lvl>
  </w:abstractNum>
  <w:abstractNum w:abstractNumId="13">
    <w:nsid w:val="60A724BB"/>
    <w:multiLevelType w:val="hybridMultilevel"/>
    <w:tmpl w:val="BF56D074"/>
    <w:lvl w:ilvl="0" w:tplc="6CE4FD0C">
      <w:start w:val="1"/>
      <w:numFmt w:val="bullet"/>
      <w:lvlText w:val="•"/>
      <w:lvlJc w:val="left"/>
      <w:pPr>
        <w:tabs>
          <w:tab w:val="num" w:pos="720"/>
        </w:tabs>
        <w:ind w:left="720" w:hanging="360"/>
      </w:pPr>
      <w:rPr>
        <w:rFonts w:ascii="Arial" w:hAnsi="Arial" w:hint="default"/>
      </w:rPr>
    </w:lvl>
    <w:lvl w:ilvl="1" w:tplc="388A85C4">
      <w:start w:val="1"/>
      <w:numFmt w:val="bullet"/>
      <w:lvlText w:val="•"/>
      <w:lvlJc w:val="left"/>
      <w:pPr>
        <w:tabs>
          <w:tab w:val="num" w:pos="1440"/>
        </w:tabs>
        <w:ind w:left="1440" w:hanging="360"/>
      </w:pPr>
      <w:rPr>
        <w:rFonts w:ascii="Arial" w:hAnsi="Arial" w:hint="default"/>
      </w:rPr>
    </w:lvl>
    <w:lvl w:ilvl="2" w:tplc="2C7604C6" w:tentative="1">
      <w:start w:val="1"/>
      <w:numFmt w:val="bullet"/>
      <w:lvlText w:val="•"/>
      <w:lvlJc w:val="left"/>
      <w:pPr>
        <w:tabs>
          <w:tab w:val="num" w:pos="2160"/>
        </w:tabs>
        <w:ind w:left="2160" w:hanging="360"/>
      </w:pPr>
      <w:rPr>
        <w:rFonts w:ascii="Arial" w:hAnsi="Arial" w:hint="default"/>
      </w:rPr>
    </w:lvl>
    <w:lvl w:ilvl="3" w:tplc="7BF6FDC4" w:tentative="1">
      <w:start w:val="1"/>
      <w:numFmt w:val="bullet"/>
      <w:lvlText w:val="•"/>
      <w:lvlJc w:val="left"/>
      <w:pPr>
        <w:tabs>
          <w:tab w:val="num" w:pos="2880"/>
        </w:tabs>
        <w:ind w:left="2880" w:hanging="360"/>
      </w:pPr>
      <w:rPr>
        <w:rFonts w:ascii="Arial" w:hAnsi="Arial" w:hint="default"/>
      </w:rPr>
    </w:lvl>
    <w:lvl w:ilvl="4" w:tplc="ED465E70" w:tentative="1">
      <w:start w:val="1"/>
      <w:numFmt w:val="bullet"/>
      <w:lvlText w:val="•"/>
      <w:lvlJc w:val="left"/>
      <w:pPr>
        <w:tabs>
          <w:tab w:val="num" w:pos="3600"/>
        </w:tabs>
        <w:ind w:left="3600" w:hanging="360"/>
      </w:pPr>
      <w:rPr>
        <w:rFonts w:ascii="Arial" w:hAnsi="Arial" w:hint="default"/>
      </w:rPr>
    </w:lvl>
    <w:lvl w:ilvl="5" w:tplc="4E7A0CF2" w:tentative="1">
      <w:start w:val="1"/>
      <w:numFmt w:val="bullet"/>
      <w:lvlText w:val="•"/>
      <w:lvlJc w:val="left"/>
      <w:pPr>
        <w:tabs>
          <w:tab w:val="num" w:pos="4320"/>
        </w:tabs>
        <w:ind w:left="4320" w:hanging="360"/>
      </w:pPr>
      <w:rPr>
        <w:rFonts w:ascii="Arial" w:hAnsi="Arial" w:hint="default"/>
      </w:rPr>
    </w:lvl>
    <w:lvl w:ilvl="6" w:tplc="0A34DB94" w:tentative="1">
      <w:start w:val="1"/>
      <w:numFmt w:val="bullet"/>
      <w:lvlText w:val="•"/>
      <w:lvlJc w:val="left"/>
      <w:pPr>
        <w:tabs>
          <w:tab w:val="num" w:pos="5040"/>
        </w:tabs>
        <w:ind w:left="5040" w:hanging="360"/>
      </w:pPr>
      <w:rPr>
        <w:rFonts w:ascii="Arial" w:hAnsi="Arial" w:hint="default"/>
      </w:rPr>
    </w:lvl>
    <w:lvl w:ilvl="7" w:tplc="749AB5CC" w:tentative="1">
      <w:start w:val="1"/>
      <w:numFmt w:val="bullet"/>
      <w:lvlText w:val="•"/>
      <w:lvlJc w:val="left"/>
      <w:pPr>
        <w:tabs>
          <w:tab w:val="num" w:pos="5760"/>
        </w:tabs>
        <w:ind w:left="5760" w:hanging="360"/>
      </w:pPr>
      <w:rPr>
        <w:rFonts w:ascii="Arial" w:hAnsi="Arial" w:hint="default"/>
      </w:rPr>
    </w:lvl>
    <w:lvl w:ilvl="8" w:tplc="CC042A62" w:tentative="1">
      <w:start w:val="1"/>
      <w:numFmt w:val="bullet"/>
      <w:lvlText w:val="•"/>
      <w:lvlJc w:val="left"/>
      <w:pPr>
        <w:tabs>
          <w:tab w:val="num" w:pos="6480"/>
        </w:tabs>
        <w:ind w:left="6480" w:hanging="360"/>
      </w:pPr>
      <w:rPr>
        <w:rFonts w:ascii="Arial" w:hAnsi="Arial" w:hint="default"/>
      </w:rPr>
    </w:lvl>
  </w:abstractNum>
  <w:abstractNum w:abstractNumId="14">
    <w:nsid w:val="719E7B51"/>
    <w:multiLevelType w:val="multilevel"/>
    <w:tmpl w:val="56243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25E4337"/>
    <w:multiLevelType w:val="hybridMultilevel"/>
    <w:tmpl w:val="D420719A"/>
    <w:lvl w:ilvl="0" w:tplc="94645B46">
      <w:start w:val="1"/>
      <w:numFmt w:val="bullet"/>
      <w:lvlText w:val="•"/>
      <w:lvlJc w:val="left"/>
      <w:pPr>
        <w:tabs>
          <w:tab w:val="num" w:pos="720"/>
        </w:tabs>
        <w:ind w:left="720" w:hanging="360"/>
      </w:pPr>
      <w:rPr>
        <w:rFonts w:ascii="Arial" w:hAnsi="Arial" w:hint="default"/>
      </w:rPr>
    </w:lvl>
    <w:lvl w:ilvl="1" w:tplc="EEF27D42">
      <w:start w:val="1"/>
      <w:numFmt w:val="bullet"/>
      <w:lvlText w:val="•"/>
      <w:lvlJc w:val="left"/>
      <w:pPr>
        <w:tabs>
          <w:tab w:val="num" w:pos="1440"/>
        </w:tabs>
        <w:ind w:left="1440" w:hanging="360"/>
      </w:pPr>
      <w:rPr>
        <w:rFonts w:ascii="Arial" w:hAnsi="Arial" w:hint="default"/>
      </w:rPr>
    </w:lvl>
    <w:lvl w:ilvl="2" w:tplc="B51A43A2" w:tentative="1">
      <w:start w:val="1"/>
      <w:numFmt w:val="bullet"/>
      <w:lvlText w:val="•"/>
      <w:lvlJc w:val="left"/>
      <w:pPr>
        <w:tabs>
          <w:tab w:val="num" w:pos="2160"/>
        </w:tabs>
        <w:ind w:left="2160" w:hanging="360"/>
      </w:pPr>
      <w:rPr>
        <w:rFonts w:ascii="Arial" w:hAnsi="Arial" w:hint="default"/>
      </w:rPr>
    </w:lvl>
    <w:lvl w:ilvl="3" w:tplc="0D2CA906" w:tentative="1">
      <w:start w:val="1"/>
      <w:numFmt w:val="bullet"/>
      <w:lvlText w:val="•"/>
      <w:lvlJc w:val="left"/>
      <w:pPr>
        <w:tabs>
          <w:tab w:val="num" w:pos="2880"/>
        </w:tabs>
        <w:ind w:left="2880" w:hanging="360"/>
      </w:pPr>
      <w:rPr>
        <w:rFonts w:ascii="Arial" w:hAnsi="Arial" w:hint="default"/>
      </w:rPr>
    </w:lvl>
    <w:lvl w:ilvl="4" w:tplc="ED6ABE1E" w:tentative="1">
      <w:start w:val="1"/>
      <w:numFmt w:val="bullet"/>
      <w:lvlText w:val="•"/>
      <w:lvlJc w:val="left"/>
      <w:pPr>
        <w:tabs>
          <w:tab w:val="num" w:pos="3600"/>
        </w:tabs>
        <w:ind w:left="3600" w:hanging="360"/>
      </w:pPr>
      <w:rPr>
        <w:rFonts w:ascii="Arial" w:hAnsi="Arial" w:hint="default"/>
      </w:rPr>
    </w:lvl>
    <w:lvl w:ilvl="5" w:tplc="2A4E3874" w:tentative="1">
      <w:start w:val="1"/>
      <w:numFmt w:val="bullet"/>
      <w:lvlText w:val="•"/>
      <w:lvlJc w:val="left"/>
      <w:pPr>
        <w:tabs>
          <w:tab w:val="num" w:pos="4320"/>
        </w:tabs>
        <w:ind w:left="4320" w:hanging="360"/>
      </w:pPr>
      <w:rPr>
        <w:rFonts w:ascii="Arial" w:hAnsi="Arial" w:hint="default"/>
      </w:rPr>
    </w:lvl>
    <w:lvl w:ilvl="6" w:tplc="3CBED936" w:tentative="1">
      <w:start w:val="1"/>
      <w:numFmt w:val="bullet"/>
      <w:lvlText w:val="•"/>
      <w:lvlJc w:val="left"/>
      <w:pPr>
        <w:tabs>
          <w:tab w:val="num" w:pos="5040"/>
        </w:tabs>
        <w:ind w:left="5040" w:hanging="360"/>
      </w:pPr>
      <w:rPr>
        <w:rFonts w:ascii="Arial" w:hAnsi="Arial" w:hint="default"/>
      </w:rPr>
    </w:lvl>
    <w:lvl w:ilvl="7" w:tplc="8676BFA6" w:tentative="1">
      <w:start w:val="1"/>
      <w:numFmt w:val="bullet"/>
      <w:lvlText w:val="•"/>
      <w:lvlJc w:val="left"/>
      <w:pPr>
        <w:tabs>
          <w:tab w:val="num" w:pos="5760"/>
        </w:tabs>
        <w:ind w:left="5760" w:hanging="360"/>
      </w:pPr>
      <w:rPr>
        <w:rFonts w:ascii="Arial" w:hAnsi="Arial" w:hint="default"/>
      </w:rPr>
    </w:lvl>
    <w:lvl w:ilvl="8" w:tplc="DF1CD36E"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0"/>
  </w:num>
  <w:num w:numId="3">
    <w:abstractNumId w:val="9"/>
  </w:num>
  <w:num w:numId="4">
    <w:abstractNumId w:val="15"/>
  </w:num>
  <w:num w:numId="5">
    <w:abstractNumId w:val="6"/>
  </w:num>
  <w:num w:numId="6">
    <w:abstractNumId w:val="1"/>
  </w:num>
  <w:num w:numId="7">
    <w:abstractNumId w:val="5"/>
  </w:num>
  <w:num w:numId="8">
    <w:abstractNumId w:val="11"/>
  </w:num>
  <w:num w:numId="9">
    <w:abstractNumId w:val="4"/>
  </w:num>
  <w:num w:numId="10">
    <w:abstractNumId w:val="13"/>
  </w:num>
  <w:num w:numId="11">
    <w:abstractNumId w:val="8"/>
  </w:num>
  <w:num w:numId="12">
    <w:abstractNumId w:val="7"/>
  </w:num>
  <w:num w:numId="13">
    <w:abstractNumId w:val="3"/>
  </w:num>
  <w:num w:numId="14">
    <w:abstractNumId w:val="12"/>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049AB"/>
    <w:rsid w:val="00004A53"/>
    <w:rsid w:val="00004F15"/>
    <w:rsid w:val="0001377D"/>
    <w:rsid w:val="00013AF3"/>
    <w:rsid w:val="000142E6"/>
    <w:rsid w:val="000144C5"/>
    <w:rsid w:val="000222C7"/>
    <w:rsid w:val="00032EB3"/>
    <w:rsid w:val="0003302C"/>
    <w:rsid w:val="000359B9"/>
    <w:rsid w:val="00050E24"/>
    <w:rsid w:val="00051E95"/>
    <w:rsid w:val="000524F6"/>
    <w:rsid w:val="0005700B"/>
    <w:rsid w:val="000621A1"/>
    <w:rsid w:val="00064FF3"/>
    <w:rsid w:val="000675F9"/>
    <w:rsid w:val="000761C9"/>
    <w:rsid w:val="00080F0A"/>
    <w:rsid w:val="00082A07"/>
    <w:rsid w:val="00097DF8"/>
    <w:rsid w:val="000A194E"/>
    <w:rsid w:val="000A458C"/>
    <w:rsid w:val="000B5375"/>
    <w:rsid w:val="000B5F84"/>
    <w:rsid w:val="000C1C4C"/>
    <w:rsid w:val="000D38A0"/>
    <w:rsid w:val="000D5C97"/>
    <w:rsid w:val="000D6104"/>
    <w:rsid w:val="000E57AF"/>
    <w:rsid w:val="000F28A5"/>
    <w:rsid w:val="00103E82"/>
    <w:rsid w:val="0010493D"/>
    <w:rsid w:val="001121B5"/>
    <w:rsid w:val="00112526"/>
    <w:rsid w:val="001158B7"/>
    <w:rsid w:val="00116279"/>
    <w:rsid w:val="00127A3B"/>
    <w:rsid w:val="00142410"/>
    <w:rsid w:val="001430FE"/>
    <w:rsid w:val="001431A6"/>
    <w:rsid w:val="001449F2"/>
    <w:rsid w:val="00144D7B"/>
    <w:rsid w:val="0014559A"/>
    <w:rsid w:val="00146077"/>
    <w:rsid w:val="00147E70"/>
    <w:rsid w:val="001514D7"/>
    <w:rsid w:val="00154AD6"/>
    <w:rsid w:val="0015500F"/>
    <w:rsid w:val="001554E9"/>
    <w:rsid w:val="001626B1"/>
    <w:rsid w:val="0016312F"/>
    <w:rsid w:val="0017295F"/>
    <w:rsid w:val="001730E6"/>
    <w:rsid w:val="00180286"/>
    <w:rsid w:val="00180977"/>
    <w:rsid w:val="001858DC"/>
    <w:rsid w:val="00190B5E"/>
    <w:rsid w:val="00192A27"/>
    <w:rsid w:val="00194F2D"/>
    <w:rsid w:val="001A1423"/>
    <w:rsid w:val="001A312D"/>
    <w:rsid w:val="001A5103"/>
    <w:rsid w:val="001A540D"/>
    <w:rsid w:val="001A5B6A"/>
    <w:rsid w:val="001B0D91"/>
    <w:rsid w:val="001B5280"/>
    <w:rsid w:val="001B793C"/>
    <w:rsid w:val="001C06B0"/>
    <w:rsid w:val="001C179E"/>
    <w:rsid w:val="001C23F7"/>
    <w:rsid w:val="001C25AB"/>
    <w:rsid w:val="001C377E"/>
    <w:rsid w:val="001C6373"/>
    <w:rsid w:val="001D4E33"/>
    <w:rsid w:val="001D690D"/>
    <w:rsid w:val="001D7EAF"/>
    <w:rsid w:val="001E00BB"/>
    <w:rsid w:val="001E097A"/>
    <w:rsid w:val="001E1EB6"/>
    <w:rsid w:val="001E296B"/>
    <w:rsid w:val="001E4BD8"/>
    <w:rsid w:val="001F2AE6"/>
    <w:rsid w:val="001F4390"/>
    <w:rsid w:val="001F730F"/>
    <w:rsid w:val="0020496A"/>
    <w:rsid w:val="00205B4E"/>
    <w:rsid w:val="00212EF1"/>
    <w:rsid w:val="002167AA"/>
    <w:rsid w:val="00220C9C"/>
    <w:rsid w:val="00223BEA"/>
    <w:rsid w:val="00226810"/>
    <w:rsid w:val="0024131C"/>
    <w:rsid w:val="00244916"/>
    <w:rsid w:val="00245592"/>
    <w:rsid w:val="002456BD"/>
    <w:rsid w:val="00247456"/>
    <w:rsid w:val="00250907"/>
    <w:rsid w:val="002512A1"/>
    <w:rsid w:val="00252A02"/>
    <w:rsid w:val="00257923"/>
    <w:rsid w:val="0026307B"/>
    <w:rsid w:val="002640E9"/>
    <w:rsid w:val="002676B4"/>
    <w:rsid w:val="00267784"/>
    <w:rsid w:val="00272C29"/>
    <w:rsid w:val="00276DAE"/>
    <w:rsid w:val="00280E88"/>
    <w:rsid w:val="00282629"/>
    <w:rsid w:val="002A3717"/>
    <w:rsid w:val="002A4036"/>
    <w:rsid w:val="002A49C8"/>
    <w:rsid w:val="002A6778"/>
    <w:rsid w:val="002B0579"/>
    <w:rsid w:val="002B121A"/>
    <w:rsid w:val="002B3337"/>
    <w:rsid w:val="002B63A1"/>
    <w:rsid w:val="002C5D92"/>
    <w:rsid w:val="002D2C31"/>
    <w:rsid w:val="002D68AE"/>
    <w:rsid w:val="002E004D"/>
    <w:rsid w:val="002E32E2"/>
    <w:rsid w:val="002E43D5"/>
    <w:rsid w:val="002E62BE"/>
    <w:rsid w:val="002F0FDE"/>
    <w:rsid w:val="002F3E9C"/>
    <w:rsid w:val="002F70C4"/>
    <w:rsid w:val="002F7B1D"/>
    <w:rsid w:val="003054D4"/>
    <w:rsid w:val="00305B09"/>
    <w:rsid w:val="00310114"/>
    <w:rsid w:val="0031587E"/>
    <w:rsid w:val="00317E53"/>
    <w:rsid w:val="003221BF"/>
    <w:rsid w:val="00322286"/>
    <w:rsid w:val="003272A5"/>
    <w:rsid w:val="00330881"/>
    <w:rsid w:val="00330DDF"/>
    <w:rsid w:val="00331BB2"/>
    <w:rsid w:val="00333842"/>
    <w:rsid w:val="003347B0"/>
    <w:rsid w:val="00337F37"/>
    <w:rsid w:val="00343B0C"/>
    <w:rsid w:val="00345B67"/>
    <w:rsid w:val="003506A9"/>
    <w:rsid w:val="003513DE"/>
    <w:rsid w:val="00351B2E"/>
    <w:rsid w:val="003525F2"/>
    <w:rsid w:val="00354130"/>
    <w:rsid w:val="0035624E"/>
    <w:rsid w:val="00362774"/>
    <w:rsid w:val="00364C14"/>
    <w:rsid w:val="0036583B"/>
    <w:rsid w:val="00365873"/>
    <w:rsid w:val="00376915"/>
    <w:rsid w:val="00382AFF"/>
    <w:rsid w:val="00385D6B"/>
    <w:rsid w:val="00395405"/>
    <w:rsid w:val="003A5F11"/>
    <w:rsid w:val="003B1C8D"/>
    <w:rsid w:val="003C3B04"/>
    <w:rsid w:val="003C3DCF"/>
    <w:rsid w:val="003C6661"/>
    <w:rsid w:val="003D3307"/>
    <w:rsid w:val="003D3CE2"/>
    <w:rsid w:val="003D6598"/>
    <w:rsid w:val="003D7C6C"/>
    <w:rsid w:val="003E0126"/>
    <w:rsid w:val="003E0A48"/>
    <w:rsid w:val="003E271F"/>
    <w:rsid w:val="003F402D"/>
    <w:rsid w:val="003F71C0"/>
    <w:rsid w:val="00400AFC"/>
    <w:rsid w:val="00400C7D"/>
    <w:rsid w:val="00406D3E"/>
    <w:rsid w:val="0040745A"/>
    <w:rsid w:val="00407AAA"/>
    <w:rsid w:val="0041338A"/>
    <w:rsid w:val="00414407"/>
    <w:rsid w:val="00416CBB"/>
    <w:rsid w:val="00420132"/>
    <w:rsid w:val="00420BC6"/>
    <w:rsid w:val="0042454D"/>
    <w:rsid w:val="00425460"/>
    <w:rsid w:val="004261FA"/>
    <w:rsid w:val="00426B98"/>
    <w:rsid w:val="00431C80"/>
    <w:rsid w:val="00434328"/>
    <w:rsid w:val="00434771"/>
    <w:rsid w:val="00437C8F"/>
    <w:rsid w:val="0044202C"/>
    <w:rsid w:val="004463E9"/>
    <w:rsid w:val="0045028C"/>
    <w:rsid w:val="0045516A"/>
    <w:rsid w:val="004629FB"/>
    <w:rsid w:val="00464AAA"/>
    <w:rsid w:val="00466BCD"/>
    <w:rsid w:val="00470480"/>
    <w:rsid w:val="00470FC9"/>
    <w:rsid w:val="00481BDD"/>
    <w:rsid w:val="004827F3"/>
    <w:rsid w:val="004849B9"/>
    <w:rsid w:val="00486306"/>
    <w:rsid w:val="004871D8"/>
    <w:rsid w:val="004906AE"/>
    <w:rsid w:val="00490D27"/>
    <w:rsid w:val="004A0742"/>
    <w:rsid w:val="004A35D3"/>
    <w:rsid w:val="004A43FB"/>
    <w:rsid w:val="004A4530"/>
    <w:rsid w:val="004B6A7E"/>
    <w:rsid w:val="004B7D39"/>
    <w:rsid w:val="004C7199"/>
    <w:rsid w:val="004D3F23"/>
    <w:rsid w:val="004D52FA"/>
    <w:rsid w:val="004E65CD"/>
    <w:rsid w:val="004E7F4F"/>
    <w:rsid w:val="004F2602"/>
    <w:rsid w:val="004F38CF"/>
    <w:rsid w:val="004F4134"/>
    <w:rsid w:val="004F41D6"/>
    <w:rsid w:val="004F7AD1"/>
    <w:rsid w:val="00502657"/>
    <w:rsid w:val="0050448F"/>
    <w:rsid w:val="005054FB"/>
    <w:rsid w:val="00514D8E"/>
    <w:rsid w:val="00520373"/>
    <w:rsid w:val="00523770"/>
    <w:rsid w:val="00525335"/>
    <w:rsid w:val="00533215"/>
    <w:rsid w:val="00535D26"/>
    <w:rsid w:val="00536AF8"/>
    <w:rsid w:val="00536BB7"/>
    <w:rsid w:val="005429FD"/>
    <w:rsid w:val="005437B7"/>
    <w:rsid w:val="00543C62"/>
    <w:rsid w:val="00552175"/>
    <w:rsid w:val="00553710"/>
    <w:rsid w:val="0055599F"/>
    <w:rsid w:val="00555D23"/>
    <w:rsid w:val="005600C6"/>
    <w:rsid w:val="005615F3"/>
    <w:rsid w:val="00564E82"/>
    <w:rsid w:val="005677E9"/>
    <w:rsid w:val="00567A1D"/>
    <w:rsid w:val="00570FCD"/>
    <w:rsid w:val="00571B0D"/>
    <w:rsid w:val="005724A4"/>
    <w:rsid w:val="00573297"/>
    <w:rsid w:val="005748C3"/>
    <w:rsid w:val="005767AA"/>
    <w:rsid w:val="0057769F"/>
    <w:rsid w:val="005802FA"/>
    <w:rsid w:val="00582050"/>
    <w:rsid w:val="0058228A"/>
    <w:rsid w:val="00586936"/>
    <w:rsid w:val="00587A25"/>
    <w:rsid w:val="00592E04"/>
    <w:rsid w:val="0059486A"/>
    <w:rsid w:val="005A74DE"/>
    <w:rsid w:val="005B7286"/>
    <w:rsid w:val="005C0349"/>
    <w:rsid w:val="005C322F"/>
    <w:rsid w:val="005C4956"/>
    <w:rsid w:val="005C5554"/>
    <w:rsid w:val="005D6BD5"/>
    <w:rsid w:val="005D7A2F"/>
    <w:rsid w:val="005D7F06"/>
    <w:rsid w:val="005E18AF"/>
    <w:rsid w:val="005E1B53"/>
    <w:rsid w:val="005E1B5A"/>
    <w:rsid w:val="005E2F96"/>
    <w:rsid w:val="005F1875"/>
    <w:rsid w:val="005F7655"/>
    <w:rsid w:val="006022AF"/>
    <w:rsid w:val="00603E91"/>
    <w:rsid w:val="0060433B"/>
    <w:rsid w:val="00611E7C"/>
    <w:rsid w:val="006160C6"/>
    <w:rsid w:val="006200AE"/>
    <w:rsid w:val="00627B6A"/>
    <w:rsid w:val="00627E4C"/>
    <w:rsid w:val="00632699"/>
    <w:rsid w:val="006330B3"/>
    <w:rsid w:val="006362E3"/>
    <w:rsid w:val="00640740"/>
    <w:rsid w:val="00645E2B"/>
    <w:rsid w:val="00651A8B"/>
    <w:rsid w:val="00652721"/>
    <w:rsid w:val="00654A0F"/>
    <w:rsid w:val="00654A78"/>
    <w:rsid w:val="006556E4"/>
    <w:rsid w:val="00660080"/>
    <w:rsid w:val="006605C6"/>
    <w:rsid w:val="00660B93"/>
    <w:rsid w:val="006623A9"/>
    <w:rsid w:val="00676514"/>
    <w:rsid w:val="00680983"/>
    <w:rsid w:val="0068331D"/>
    <w:rsid w:val="006835C4"/>
    <w:rsid w:val="00685DCA"/>
    <w:rsid w:val="0068793B"/>
    <w:rsid w:val="00690532"/>
    <w:rsid w:val="00691E2D"/>
    <w:rsid w:val="00692FAB"/>
    <w:rsid w:val="00695858"/>
    <w:rsid w:val="00696466"/>
    <w:rsid w:val="00697A83"/>
    <w:rsid w:val="006A0879"/>
    <w:rsid w:val="006A34EE"/>
    <w:rsid w:val="006B23D5"/>
    <w:rsid w:val="006B5B0B"/>
    <w:rsid w:val="006C3CB7"/>
    <w:rsid w:val="006C4F04"/>
    <w:rsid w:val="006C5E18"/>
    <w:rsid w:val="006C6F9B"/>
    <w:rsid w:val="006D0EB1"/>
    <w:rsid w:val="006D1D6F"/>
    <w:rsid w:val="006D21E9"/>
    <w:rsid w:val="006D2415"/>
    <w:rsid w:val="006D2593"/>
    <w:rsid w:val="006D3E36"/>
    <w:rsid w:val="006D465A"/>
    <w:rsid w:val="006D504E"/>
    <w:rsid w:val="006D54D7"/>
    <w:rsid w:val="006E0945"/>
    <w:rsid w:val="006E1400"/>
    <w:rsid w:val="006E156B"/>
    <w:rsid w:val="006E18F9"/>
    <w:rsid w:val="006E1AA7"/>
    <w:rsid w:val="006E6957"/>
    <w:rsid w:val="006E69DC"/>
    <w:rsid w:val="006E7B6D"/>
    <w:rsid w:val="006F0A17"/>
    <w:rsid w:val="006F249B"/>
    <w:rsid w:val="006F3B44"/>
    <w:rsid w:val="00702615"/>
    <w:rsid w:val="007055E4"/>
    <w:rsid w:val="00712AB0"/>
    <w:rsid w:val="00715750"/>
    <w:rsid w:val="00717482"/>
    <w:rsid w:val="00717836"/>
    <w:rsid w:val="00721D14"/>
    <w:rsid w:val="007235C5"/>
    <w:rsid w:val="00732373"/>
    <w:rsid w:val="00732AAC"/>
    <w:rsid w:val="007342B7"/>
    <w:rsid w:val="00742E4E"/>
    <w:rsid w:val="007441C5"/>
    <w:rsid w:val="00744A2A"/>
    <w:rsid w:val="00746445"/>
    <w:rsid w:val="00752141"/>
    <w:rsid w:val="007525B9"/>
    <w:rsid w:val="00752B25"/>
    <w:rsid w:val="0075640F"/>
    <w:rsid w:val="00762E01"/>
    <w:rsid w:val="007674D9"/>
    <w:rsid w:val="00776287"/>
    <w:rsid w:val="007778F8"/>
    <w:rsid w:val="007832B2"/>
    <w:rsid w:val="007924C9"/>
    <w:rsid w:val="00794AB7"/>
    <w:rsid w:val="007A0B81"/>
    <w:rsid w:val="007A1740"/>
    <w:rsid w:val="007B6951"/>
    <w:rsid w:val="007C496F"/>
    <w:rsid w:val="007C4D5D"/>
    <w:rsid w:val="007C6A0F"/>
    <w:rsid w:val="007C6DC1"/>
    <w:rsid w:val="007D0D49"/>
    <w:rsid w:val="007D1C05"/>
    <w:rsid w:val="007D2148"/>
    <w:rsid w:val="007D22CD"/>
    <w:rsid w:val="007D34BD"/>
    <w:rsid w:val="007D55B7"/>
    <w:rsid w:val="007D6312"/>
    <w:rsid w:val="007E1711"/>
    <w:rsid w:val="007E7C5D"/>
    <w:rsid w:val="007F13F5"/>
    <w:rsid w:val="007F1CAF"/>
    <w:rsid w:val="007F32C7"/>
    <w:rsid w:val="007F45DE"/>
    <w:rsid w:val="007F6413"/>
    <w:rsid w:val="007F6D3C"/>
    <w:rsid w:val="0080229A"/>
    <w:rsid w:val="0081161A"/>
    <w:rsid w:val="008132CB"/>
    <w:rsid w:val="00823E44"/>
    <w:rsid w:val="008240C8"/>
    <w:rsid w:val="00824C49"/>
    <w:rsid w:val="00825035"/>
    <w:rsid w:val="0083005B"/>
    <w:rsid w:val="00832CF0"/>
    <w:rsid w:val="008345EE"/>
    <w:rsid w:val="008346BA"/>
    <w:rsid w:val="00843BE1"/>
    <w:rsid w:val="00844B9D"/>
    <w:rsid w:val="00854332"/>
    <w:rsid w:val="0085474C"/>
    <w:rsid w:val="00854752"/>
    <w:rsid w:val="00854B94"/>
    <w:rsid w:val="00854BC5"/>
    <w:rsid w:val="00855E4B"/>
    <w:rsid w:val="00872DFB"/>
    <w:rsid w:val="008774E7"/>
    <w:rsid w:val="008809FD"/>
    <w:rsid w:val="0088183B"/>
    <w:rsid w:val="00881D17"/>
    <w:rsid w:val="00883948"/>
    <w:rsid w:val="00885EDE"/>
    <w:rsid w:val="00890022"/>
    <w:rsid w:val="00891182"/>
    <w:rsid w:val="00893C6E"/>
    <w:rsid w:val="00893CD4"/>
    <w:rsid w:val="008946D6"/>
    <w:rsid w:val="00895354"/>
    <w:rsid w:val="008A3814"/>
    <w:rsid w:val="008A5B66"/>
    <w:rsid w:val="008A6B10"/>
    <w:rsid w:val="008B066D"/>
    <w:rsid w:val="008B1172"/>
    <w:rsid w:val="008B4FB5"/>
    <w:rsid w:val="008B7EF5"/>
    <w:rsid w:val="008C29E9"/>
    <w:rsid w:val="008C40CB"/>
    <w:rsid w:val="008C48D3"/>
    <w:rsid w:val="008C7A3E"/>
    <w:rsid w:val="008D2144"/>
    <w:rsid w:val="008D4BC5"/>
    <w:rsid w:val="008E04C7"/>
    <w:rsid w:val="008E5045"/>
    <w:rsid w:val="008E5A95"/>
    <w:rsid w:val="008F150F"/>
    <w:rsid w:val="008F26A5"/>
    <w:rsid w:val="008F3BE7"/>
    <w:rsid w:val="008F4E92"/>
    <w:rsid w:val="008F5CCF"/>
    <w:rsid w:val="008F5F71"/>
    <w:rsid w:val="00901CF7"/>
    <w:rsid w:val="00904378"/>
    <w:rsid w:val="00905622"/>
    <w:rsid w:val="00910A88"/>
    <w:rsid w:val="00912DA7"/>
    <w:rsid w:val="009151F4"/>
    <w:rsid w:val="00921744"/>
    <w:rsid w:val="00921CBB"/>
    <w:rsid w:val="00922393"/>
    <w:rsid w:val="0092318B"/>
    <w:rsid w:val="0092394C"/>
    <w:rsid w:val="00924BB6"/>
    <w:rsid w:val="00924F6C"/>
    <w:rsid w:val="009269E9"/>
    <w:rsid w:val="009334E8"/>
    <w:rsid w:val="00935F37"/>
    <w:rsid w:val="00942D0E"/>
    <w:rsid w:val="009435FA"/>
    <w:rsid w:val="00943CA2"/>
    <w:rsid w:val="009455C3"/>
    <w:rsid w:val="00947B94"/>
    <w:rsid w:val="00947E1F"/>
    <w:rsid w:val="00947FB7"/>
    <w:rsid w:val="00950644"/>
    <w:rsid w:val="009517B0"/>
    <w:rsid w:val="00953E96"/>
    <w:rsid w:val="00960F5B"/>
    <w:rsid w:val="009618AA"/>
    <w:rsid w:val="0096550C"/>
    <w:rsid w:val="00975DCF"/>
    <w:rsid w:val="00987BA3"/>
    <w:rsid w:val="009952C1"/>
    <w:rsid w:val="0099550F"/>
    <w:rsid w:val="009A1558"/>
    <w:rsid w:val="009A42F3"/>
    <w:rsid w:val="009A5910"/>
    <w:rsid w:val="009A6C46"/>
    <w:rsid w:val="009B4C1C"/>
    <w:rsid w:val="009B5CFB"/>
    <w:rsid w:val="009B6472"/>
    <w:rsid w:val="009C2218"/>
    <w:rsid w:val="009C2B65"/>
    <w:rsid w:val="009D3185"/>
    <w:rsid w:val="009D33E6"/>
    <w:rsid w:val="009D4095"/>
    <w:rsid w:val="009D40D9"/>
    <w:rsid w:val="009D41C5"/>
    <w:rsid w:val="009D77E2"/>
    <w:rsid w:val="009E209E"/>
    <w:rsid w:val="009E2BC1"/>
    <w:rsid w:val="009E3073"/>
    <w:rsid w:val="009E7DD7"/>
    <w:rsid w:val="009F77FB"/>
    <w:rsid w:val="00A02690"/>
    <w:rsid w:val="00A03D79"/>
    <w:rsid w:val="00A061F2"/>
    <w:rsid w:val="00A06D95"/>
    <w:rsid w:val="00A07882"/>
    <w:rsid w:val="00A10CDD"/>
    <w:rsid w:val="00A1155E"/>
    <w:rsid w:val="00A15384"/>
    <w:rsid w:val="00A1557C"/>
    <w:rsid w:val="00A22CFD"/>
    <w:rsid w:val="00A22EE5"/>
    <w:rsid w:val="00A25A4C"/>
    <w:rsid w:val="00A274C9"/>
    <w:rsid w:val="00A33143"/>
    <w:rsid w:val="00A34AC5"/>
    <w:rsid w:val="00A41AB1"/>
    <w:rsid w:val="00A4564E"/>
    <w:rsid w:val="00A45952"/>
    <w:rsid w:val="00A462B6"/>
    <w:rsid w:val="00A630FE"/>
    <w:rsid w:val="00A643E9"/>
    <w:rsid w:val="00A65CC8"/>
    <w:rsid w:val="00A73633"/>
    <w:rsid w:val="00A7394C"/>
    <w:rsid w:val="00A820C0"/>
    <w:rsid w:val="00A8643C"/>
    <w:rsid w:val="00A86A98"/>
    <w:rsid w:val="00A923C8"/>
    <w:rsid w:val="00AA47BA"/>
    <w:rsid w:val="00AB72B5"/>
    <w:rsid w:val="00AC1738"/>
    <w:rsid w:val="00AC5738"/>
    <w:rsid w:val="00AC5B70"/>
    <w:rsid w:val="00AD7BF8"/>
    <w:rsid w:val="00AE2C27"/>
    <w:rsid w:val="00AE69D9"/>
    <w:rsid w:val="00AF236D"/>
    <w:rsid w:val="00AF31F5"/>
    <w:rsid w:val="00AF7B6F"/>
    <w:rsid w:val="00B00391"/>
    <w:rsid w:val="00B00C9C"/>
    <w:rsid w:val="00B01DB5"/>
    <w:rsid w:val="00B02398"/>
    <w:rsid w:val="00B05158"/>
    <w:rsid w:val="00B05772"/>
    <w:rsid w:val="00B111F5"/>
    <w:rsid w:val="00B17F27"/>
    <w:rsid w:val="00B2257C"/>
    <w:rsid w:val="00B2372D"/>
    <w:rsid w:val="00B25E2E"/>
    <w:rsid w:val="00B30DEB"/>
    <w:rsid w:val="00B31B66"/>
    <w:rsid w:val="00B33166"/>
    <w:rsid w:val="00B3581C"/>
    <w:rsid w:val="00B368EF"/>
    <w:rsid w:val="00B36BB8"/>
    <w:rsid w:val="00B42966"/>
    <w:rsid w:val="00B43246"/>
    <w:rsid w:val="00B474E6"/>
    <w:rsid w:val="00B51CA3"/>
    <w:rsid w:val="00B70174"/>
    <w:rsid w:val="00B7536B"/>
    <w:rsid w:val="00B75987"/>
    <w:rsid w:val="00B75B4B"/>
    <w:rsid w:val="00B81F9F"/>
    <w:rsid w:val="00B850C8"/>
    <w:rsid w:val="00B855CF"/>
    <w:rsid w:val="00B93AF9"/>
    <w:rsid w:val="00B9431D"/>
    <w:rsid w:val="00B946BB"/>
    <w:rsid w:val="00B977B2"/>
    <w:rsid w:val="00B977FA"/>
    <w:rsid w:val="00B97F61"/>
    <w:rsid w:val="00BA57EE"/>
    <w:rsid w:val="00BA7F69"/>
    <w:rsid w:val="00BB4E3B"/>
    <w:rsid w:val="00BB550D"/>
    <w:rsid w:val="00BB6B8A"/>
    <w:rsid w:val="00BC07EE"/>
    <w:rsid w:val="00BC3FB0"/>
    <w:rsid w:val="00BC4728"/>
    <w:rsid w:val="00BC60F2"/>
    <w:rsid w:val="00BC6231"/>
    <w:rsid w:val="00BC6275"/>
    <w:rsid w:val="00BC71C4"/>
    <w:rsid w:val="00BC7AB4"/>
    <w:rsid w:val="00BD1C93"/>
    <w:rsid w:val="00BD573C"/>
    <w:rsid w:val="00BE184F"/>
    <w:rsid w:val="00BE4BC8"/>
    <w:rsid w:val="00BE6BC4"/>
    <w:rsid w:val="00BE6DBA"/>
    <w:rsid w:val="00BF0F0D"/>
    <w:rsid w:val="00BF0F92"/>
    <w:rsid w:val="00BF3435"/>
    <w:rsid w:val="00C00229"/>
    <w:rsid w:val="00C00F97"/>
    <w:rsid w:val="00C03B04"/>
    <w:rsid w:val="00C1222C"/>
    <w:rsid w:val="00C15C4F"/>
    <w:rsid w:val="00C17AE2"/>
    <w:rsid w:val="00C239B5"/>
    <w:rsid w:val="00C23A17"/>
    <w:rsid w:val="00C24307"/>
    <w:rsid w:val="00C25ED7"/>
    <w:rsid w:val="00C32CB0"/>
    <w:rsid w:val="00C3449A"/>
    <w:rsid w:val="00C35947"/>
    <w:rsid w:val="00C417F4"/>
    <w:rsid w:val="00C47CEC"/>
    <w:rsid w:val="00C529F0"/>
    <w:rsid w:val="00C665FC"/>
    <w:rsid w:val="00C705B3"/>
    <w:rsid w:val="00C70D79"/>
    <w:rsid w:val="00C7196B"/>
    <w:rsid w:val="00C72BD1"/>
    <w:rsid w:val="00C76960"/>
    <w:rsid w:val="00C83C3D"/>
    <w:rsid w:val="00C85254"/>
    <w:rsid w:val="00C9036C"/>
    <w:rsid w:val="00C93886"/>
    <w:rsid w:val="00C9427E"/>
    <w:rsid w:val="00C94FB6"/>
    <w:rsid w:val="00C957F1"/>
    <w:rsid w:val="00CA05DD"/>
    <w:rsid w:val="00CA3C0E"/>
    <w:rsid w:val="00CA473F"/>
    <w:rsid w:val="00CA5472"/>
    <w:rsid w:val="00CC2DAE"/>
    <w:rsid w:val="00CC3372"/>
    <w:rsid w:val="00CC541A"/>
    <w:rsid w:val="00CC7D2B"/>
    <w:rsid w:val="00CD01BE"/>
    <w:rsid w:val="00CD6F5A"/>
    <w:rsid w:val="00CE1BC2"/>
    <w:rsid w:val="00CE41C4"/>
    <w:rsid w:val="00CE6D49"/>
    <w:rsid w:val="00CF5A08"/>
    <w:rsid w:val="00D0012A"/>
    <w:rsid w:val="00D00EDF"/>
    <w:rsid w:val="00D01A60"/>
    <w:rsid w:val="00D01DBE"/>
    <w:rsid w:val="00D01F5A"/>
    <w:rsid w:val="00D0435A"/>
    <w:rsid w:val="00D04F6A"/>
    <w:rsid w:val="00D11462"/>
    <w:rsid w:val="00D12FD2"/>
    <w:rsid w:val="00D140F8"/>
    <w:rsid w:val="00D15329"/>
    <w:rsid w:val="00D15636"/>
    <w:rsid w:val="00D17C5E"/>
    <w:rsid w:val="00D20008"/>
    <w:rsid w:val="00D22990"/>
    <w:rsid w:val="00D2336D"/>
    <w:rsid w:val="00D26A6E"/>
    <w:rsid w:val="00D3092B"/>
    <w:rsid w:val="00D319DA"/>
    <w:rsid w:val="00D35CBD"/>
    <w:rsid w:val="00D37811"/>
    <w:rsid w:val="00D45AD7"/>
    <w:rsid w:val="00D46173"/>
    <w:rsid w:val="00D51F45"/>
    <w:rsid w:val="00D62B24"/>
    <w:rsid w:val="00D6589C"/>
    <w:rsid w:val="00D6680E"/>
    <w:rsid w:val="00D73428"/>
    <w:rsid w:val="00D839C1"/>
    <w:rsid w:val="00D86CC7"/>
    <w:rsid w:val="00D900DE"/>
    <w:rsid w:val="00D92C5D"/>
    <w:rsid w:val="00D936A5"/>
    <w:rsid w:val="00D945C2"/>
    <w:rsid w:val="00DA0671"/>
    <w:rsid w:val="00DA43B8"/>
    <w:rsid w:val="00DA603E"/>
    <w:rsid w:val="00DA6EB9"/>
    <w:rsid w:val="00DB13DD"/>
    <w:rsid w:val="00DB3F80"/>
    <w:rsid w:val="00DB5264"/>
    <w:rsid w:val="00DB7B0D"/>
    <w:rsid w:val="00DC30D1"/>
    <w:rsid w:val="00DC4588"/>
    <w:rsid w:val="00DC4AFC"/>
    <w:rsid w:val="00DD10D1"/>
    <w:rsid w:val="00DD46D4"/>
    <w:rsid w:val="00DD764A"/>
    <w:rsid w:val="00DF01CF"/>
    <w:rsid w:val="00DF3B86"/>
    <w:rsid w:val="00DF7E0E"/>
    <w:rsid w:val="00E06A8D"/>
    <w:rsid w:val="00E07A82"/>
    <w:rsid w:val="00E1133E"/>
    <w:rsid w:val="00E11B3D"/>
    <w:rsid w:val="00E12850"/>
    <w:rsid w:val="00E173E1"/>
    <w:rsid w:val="00E17BC4"/>
    <w:rsid w:val="00E20AC8"/>
    <w:rsid w:val="00E22478"/>
    <w:rsid w:val="00E22666"/>
    <w:rsid w:val="00E23A23"/>
    <w:rsid w:val="00E40508"/>
    <w:rsid w:val="00E42B8C"/>
    <w:rsid w:val="00E42EEC"/>
    <w:rsid w:val="00E4362C"/>
    <w:rsid w:val="00E67840"/>
    <w:rsid w:val="00E6788B"/>
    <w:rsid w:val="00E70946"/>
    <w:rsid w:val="00E72149"/>
    <w:rsid w:val="00E728A6"/>
    <w:rsid w:val="00E757D0"/>
    <w:rsid w:val="00E75868"/>
    <w:rsid w:val="00E804A7"/>
    <w:rsid w:val="00E80DAE"/>
    <w:rsid w:val="00E845A0"/>
    <w:rsid w:val="00E86AF2"/>
    <w:rsid w:val="00EA1522"/>
    <w:rsid w:val="00EA6CF4"/>
    <w:rsid w:val="00EA766E"/>
    <w:rsid w:val="00EB039A"/>
    <w:rsid w:val="00EB5E9F"/>
    <w:rsid w:val="00EB60C4"/>
    <w:rsid w:val="00EB786F"/>
    <w:rsid w:val="00EC30DE"/>
    <w:rsid w:val="00EC3908"/>
    <w:rsid w:val="00EC5A1D"/>
    <w:rsid w:val="00ED33E5"/>
    <w:rsid w:val="00ED3740"/>
    <w:rsid w:val="00ED6C97"/>
    <w:rsid w:val="00ED6D3C"/>
    <w:rsid w:val="00EE2BE2"/>
    <w:rsid w:val="00EE5E43"/>
    <w:rsid w:val="00EF2082"/>
    <w:rsid w:val="00F02216"/>
    <w:rsid w:val="00F07D08"/>
    <w:rsid w:val="00F11332"/>
    <w:rsid w:val="00F11D38"/>
    <w:rsid w:val="00F11F30"/>
    <w:rsid w:val="00F1531B"/>
    <w:rsid w:val="00F20899"/>
    <w:rsid w:val="00F212A1"/>
    <w:rsid w:val="00F3055F"/>
    <w:rsid w:val="00F31CB4"/>
    <w:rsid w:val="00F3208D"/>
    <w:rsid w:val="00F32F8F"/>
    <w:rsid w:val="00F36888"/>
    <w:rsid w:val="00F369F0"/>
    <w:rsid w:val="00F56934"/>
    <w:rsid w:val="00F57493"/>
    <w:rsid w:val="00F607B6"/>
    <w:rsid w:val="00F627FE"/>
    <w:rsid w:val="00F70BE7"/>
    <w:rsid w:val="00F75C3C"/>
    <w:rsid w:val="00F75D8B"/>
    <w:rsid w:val="00F84F6F"/>
    <w:rsid w:val="00F85ABA"/>
    <w:rsid w:val="00F8654B"/>
    <w:rsid w:val="00F8726F"/>
    <w:rsid w:val="00F904AA"/>
    <w:rsid w:val="00F917A4"/>
    <w:rsid w:val="00F93069"/>
    <w:rsid w:val="00F9775E"/>
    <w:rsid w:val="00FA1F8C"/>
    <w:rsid w:val="00FA5C07"/>
    <w:rsid w:val="00FA6947"/>
    <w:rsid w:val="00FB5D35"/>
    <w:rsid w:val="00FB5E18"/>
    <w:rsid w:val="00FB79D8"/>
    <w:rsid w:val="00FC1A37"/>
    <w:rsid w:val="00FC376A"/>
    <w:rsid w:val="00FC5717"/>
    <w:rsid w:val="00FC618D"/>
    <w:rsid w:val="00FD035D"/>
    <w:rsid w:val="00FD5D6B"/>
    <w:rsid w:val="00FD72B8"/>
    <w:rsid w:val="00FE09D5"/>
    <w:rsid w:val="00FE30D7"/>
    <w:rsid w:val="00FE449C"/>
    <w:rsid w:val="00FE6BB1"/>
    <w:rsid w:val="00FF03C6"/>
    <w:rsid w:val="00FF0EBF"/>
    <w:rsid w:val="00FF142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PageNumber">
    <w:name w:val="page number"/>
    <w:basedOn w:val="DefaultParagraphFont"/>
    <w:uiPriority w:val="99"/>
    <w:semiHidden/>
    <w:unhideWhenUsed/>
    <w:rsid w:val="009E20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PageNumber">
    <w:name w:val="page number"/>
    <w:basedOn w:val="DefaultParagraphFont"/>
    <w:uiPriority w:val="99"/>
    <w:semiHidden/>
    <w:unhideWhenUsed/>
    <w:rsid w:val="009E2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3563">
      <w:bodyDiv w:val="1"/>
      <w:marLeft w:val="0"/>
      <w:marRight w:val="0"/>
      <w:marTop w:val="0"/>
      <w:marBottom w:val="0"/>
      <w:divBdr>
        <w:top w:val="none" w:sz="0" w:space="0" w:color="auto"/>
        <w:left w:val="none" w:sz="0" w:space="0" w:color="auto"/>
        <w:bottom w:val="none" w:sz="0" w:space="0" w:color="auto"/>
        <w:right w:val="none" w:sz="0" w:space="0" w:color="auto"/>
      </w:divBdr>
      <w:divsChild>
        <w:div w:id="560218796">
          <w:marLeft w:val="547"/>
          <w:marRight w:val="0"/>
          <w:marTop w:val="86"/>
          <w:marBottom w:val="0"/>
          <w:divBdr>
            <w:top w:val="none" w:sz="0" w:space="0" w:color="auto"/>
            <w:left w:val="none" w:sz="0" w:space="0" w:color="auto"/>
            <w:bottom w:val="none" w:sz="0" w:space="0" w:color="auto"/>
            <w:right w:val="none" w:sz="0" w:space="0" w:color="auto"/>
          </w:divBdr>
        </w:div>
        <w:div w:id="1340231393">
          <w:marLeft w:val="1166"/>
          <w:marRight w:val="0"/>
          <w:marTop w:val="67"/>
          <w:marBottom w:val="0"/>
          <w:divBdr>
            <w:top w:val="none" w:sz="0" w:space="0" w:color="auto"/>
            <w:left w:val="none" w:sz="0" w:space="0" w:color="auto"/>
            <w:bottom w:val="none" w:sz="0" w:space="0" w:color="auto"/>
            <w:right w:val="none" w:sz="0" w:space="0" w:color="auto"/>
          </w:divBdr>
        </w:div>
        <w:div w:id="2102725088">
          <w:marLeft w:val="1166"/>
          <w:marRight w:val="0"/>
          <w:marTop w:val="67"/>
          <w:marBottom w:val="0"/>
          <w:divBdr>
            <w:top w:val="none" w:sz="0" w:space="0" w:color="auto"/>
            <w:left w:val="none" w:sz="0" w:space="0" w:color="auto"/>
            <w:bottom w:val="none" w:sz="0" w:space="0" w:color="auto"/>
            <w:right w:val="none" w:sz="0" w:space="0" w:color="auto"/>
          </w:divBdr>
        </w:div>
        <w:div w:id="522330538">
          <w:marLeft w:val="1166"/>
          <w:marRight w:val="0"/>
          <w:marTop w:val="67"/>
          <w:marBottom w:val="0"/>
          <w:divBdr>
            <w:top w:val="none" w:sz="0" w:space="0" w:color="auto"/>
            <w:left w:val="none" w:sz="0" w:space="0" w:color="auto"/>
            <w:bottom w:val="none" w:sz="0" w:space="0" w:color="auto"/>
            <w:right w:val="none" w:sz="0" w:space="0" w:color="auto"/>
          </w:divBdr>
        </w:div>
      </w:divsChild>
    </w:div>
    <w:div w:id="19555794">
      <w:bodyDiv w:val="1"/>
      <w:marLeft w:val="0"/>
      <w:marRight w:val="0"/>
      <w:marTop w:val="0"/>
      <w:marBottom w:val="0"/>
      <w:divBdr>
        <w:top w:val="none" w:sz="0" w:space="0" w:color="auto"/>
        <w:left w:val="none" w:sz="0" w:space="0" w:color="auto"/>
        <w:bottom w:val="none" w:sz="0" w:space="0" w:color="auto"/>
        <w:right w:val="none" w:sz="0" w:space="0" w:color="auto"/>
      </w:divBdr>
    </w:div>
    <w:div w:id="56320533">
      <w:bodyDiv w:val="1"/>
      <w:marLeft w:val="0"/>
      <w:marRight w:val="0"/>
      <w:marTop w:val="0"/>
      <w:marBottom w:val="0"/>
      <w:divBdr>
        <w:top w:val="none" w:sz="0" w:space="0" w:color="auto"/>
        <w:left w:val="none" w:sz="0" w:space="0" w:color="auto"/>
        <w:bottom w:val="none" w:sz="0" w:space="0" w:color="auto"/>
        <w:right w:val="none" w:sz="0" w:space="0" w:color="auto"/>
      </w:divBdr>
      <w:divsChild>
        <w:div w:id="1119421320">
          <w:marLeft w:val="0"/>
          <w:marRight w:val="0"/>
          <w:marTop w:val="0"/>
          <w:marBottom w:val="0"/>
          <w:divBdr>
            <w:top w:val="none" w:sz="0" w:space="0" w:color="auto"/>
            <w:left w:val="none" w:sz="0" w:space="0" w:color="auto"/>
            <w:bottom w:val="none" w:sz="0" w:space="0" w:color="auto"/>
            <w:right w:val="none" w:sz="0" w:space="0" w:color="auto"/>
          </w:divBdr>
          <w:divsChild>
            <w:div w:id="148786650">
              <w:marLeft w:val="0"/>
              <w:marRight w:val="0"/>
              <w:marTop w:val="0"/>
              <w:marBottom w:val="0"/>
              <w:divBdr>
                <w:top w:val="none" w:sz="0" w:space="0" w:color="auto"/>
                <w:left w:val="none" w:sz="0" w:space="0" w:color="auto"/>
                <w:bottom w:val="none" w:sz="0" w:space="0" w:color="auto"/>
                <w:right w:val="none" w:sz="0" w:space="0" w:color="auto"/>
              </w:divBdr>
              <w:divsChild>
                <w:div w:id="159496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07429">
      <w:bodyDiv w:val="1"/>
      <w:marLeft w:val="0"/>
      <w:marRight w:val="0"/>
      <w:marTop w:val="0"/>
      <w:marBottom w:val="0"/>
      <w:divBdr>
        <w:top w:val="none" w:sz="0" w:space="0" w:color="auto"/>
        <w:left w:val="none" w:sz="0" w:space="0" w:color="auto"/>
        <w:bottom w:val="none" w:sz="0" w:space="0" w:color="auto"/>
        <w:right w:val="none" w:sz="0" w:space="0" w:color="auto"/>
      </w:divBdr>
      <w:divsChild>
        <w:div w:id="1710300145">
          <w:marLeft w:val="0"/>
          <w:marRight w:val="0"/>
          <w:marTop w:val="0"/>
          <w:marBottom w:val="0"/>
          <w:divBdr>
            <w:top w:val="none" w:sz="0" w:space="0" w:color="auto"/>
            <w:left w:val="none" w:sz="0" w:space="0" w:color="auto"/>
            <w:bottom w:val="none" w:sz="0" w:space="0" w:color="auto"/>
            <w:right w:val="none" w:sz="0" w:space="0" w:color="auto"/>
          </w:divBdr>
          <w:divsChild>
            <w:div w:id="1688363508">
              <w:marLeft w:val="0"/>
              <w:marRight w:val="0"/>
              <w:marTop w:val="0"/>
              <w:marBottom w:val="0"/>
              <w:divBdr>
                <w:top w:val="none" w:sz="0" w:space="0" w:color="auto"/>
                <w:left w:val="none" w:sz="0" w:space="0" w:color="auto"/>
                <w:bottom w:val="none" w:sz="0" w:space="0" w:color="auto"/>
                <w:right w:val="none" w:sz="0" w:space="0" w:color="auto"/>
              </w:divBdr>
              <w:divsChild>
                <w:div w:id="2006012596">
                  <w:marLeft w:val="0"/>
                  <w:marRight w:val="0"/>
                  <w:marTop w:val="0"/>
                  <w:marBottom w:val="0"/>
                  <w:divBdr>
                    <w:top w:val="none" w:sz="0" w:space="0" w:color="auto"/>
                    <w:left w:val="none" w:sz="0" w:space="0" w:color="auto"/>
                    <w:bottom w:val="none" w:sz="0" w:space="0" w:color="auto"/>
                    <w:right w:val="none" w:sz="0" w:space="0" w:color="auto"/>
                  </w:divBdr>
                  <w:divsChild>
                    <w:div w:id="85237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4532692">
      <w:bodyDiv w:val="1"/>
      <w:marLeft w:val="0"/>
      <w:marRight w:val="0"/>
      <w:marTop w:val="0"/>
      <w:marBottom w:val="0"/>
      <w:divBdr>
        <w:top w:val="none" w:sz="0" w:space="0" w:color="auto"/>
        <w:left w:val="none" w:sz="0" w:space="0" w:color="auto"/>
        <w:bottom w:val="none" w:sz="0" w:space="0" w:color="auto"/>
        <w:right w:val="none" w:sz="0" w:space="0" w:color="auto"/>
      </w:divBdr>
      <w:divsChild>
        <w:div w:id="649867064">
          <w:marLeft w:val="0"/>
          <w:marRight w:val="0"/>
          <w:marTop w:val="0"/>
          <w:marBottom w:val="0"/>
          <w:divBdr>
            <w:top w:val="none" w:sz="0" w:space="0" w:color="auto"/>
            <w:left w:val="none" w:sz="0" w:space="0" w:color="auto"/>
            <w:bottom w:val="none" w:sz="0" w:space="0" w:color="auto"/>
            <w:right w:val="none" w:sz="0" w:space="0" w:color="auto"/>
          </w:divBdr>
          <w:divsChild>
            <w:div w:id="1864391801">
              <w:marLeft w:val="0"/>
              <w:marRight w:val="0"/>
              <w:marTop w:val="0"/>
              <w:marBottom w:val="0"/>
              <w:divBdr>
                <w:top w:val="none" w:sz="0" w:space="0" w:color="auto"/>
                <w:left w:val="none" w:sz="0" w:space="0" w:color="auto"/>
                <w:bottom w:val="none" w:sz="0" w:space="0" w:color="auto"/>
                <w:right w:val="none" w:sz="0" w:space="0" w:color="auto"/>
              </w:divBdr>
              <w:divsChild>
                <w:div w:id="183665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385947">
      <w:bodyDiv w:val="1"/>
      <w:marLeft w:val="0"/>
      <w:marRight w:val="0"/>
      <w:marTop w:val="0"/>
      <w:marBottom w:val="0"/>
      <w:divBdr>
        <w:top w:val="none" w:sz="0" w:space="0" w:color="auto"/>
        <w:left w:val="none" w:sz="0" w:space="0" w:color="auto"/>
        <w:bottom w:val="none" w:sz="0" w:space="0" w:color="auto"/>
        <w:right w:val="none" w:sz="0" w:space="0" w:color="auto"/>
      </w:divBdr>
      <w:divsChild>
        <w:div w:id="1637103999">
          <w:marLeft w:val="1166"/>
          <w:marRight w:val="0"/>
          <w:marTop w:val="77"/>
          <w:marBottom w:val="0"/>
          <w:divBdr>
            <w:top w:val="none" w:sz="0" w:space="0" w:color="auto"/>
            <w:left w:val="none" w:sz="0" w:space="0" w:color="auto"/>
            <w:bottom w:val="none" w:sz="0" w:space="0" w:color="auto"/>
            <w:right w:val="none" w:sz="0" w:space="0" w:color="auto"/>
          </w:divBdr>
        </w:div>
        <w:div w:id="1184976175">
          <w:marLeft w:val="1166"/>
          <w:marRight w:val="0"/>
          <w:marTop w:val="77"/>
          <w:marBottom w:val="0"/>
          <w:divBdr>
            <w:top w:val="none" w:sz="0" w:space="0" w:color="auto"/>
            <w:left w:val="none" w:sz="0" w:space="0" w:color="auto"/>
            <w:bottom w:val="none" w:sz="0" w:space="0" w:color="auto"/>
            <w:right w:val="none" w:sz="0" w:space="0" w:color="auto"/>
          </w:divBdr>
        </w:div>
      </w:divsChild>
    </w:div>
    <w:div w:id="366569220">
      <w:bodyDiv w:val="1"/>
      <w:marLeft w:val="0"/>
      <w:marRight w:val="0"/>
      <w:marTop w:val="0"/>
      <w:marBottom w:val="0"/>
      <w:divBdr>
        <w:top w:val="none" w:sz="0" w:space="0" w:color="auto"/>
        <w:left w:val="none" w:sz="0" w:space="0" w:color="auto"/>
        <w:bottom w:val="none" w:sz="0" w:space="0" w:color="auto"/>
        <w:right w:val="none" w:sz="0" w:space="0" w:color="auto"/>
      </w:divBdr>
      <w:divsChild>
        <w:div w:id="1442070303">
          <w:marLeft w:val="0"/>
          <w:marRight w:val="0"/>
          <w:marTop w:val="0"/>
          <w:marBottom w:val="0"/>
          <w:divBdr>
            <w:top w:val="none" w:sz="0" w:space="0" w:color="auto"/>
            <w:left w:val="none" w:sz="0" w:space="0" w:color="auto"/>
            <w:bottom w:val="none" w:sz="0" w:space="0" w:color="auto"/>
            <w:right w:val="none" w:sz="0" w:space="0" w:color="auto"/>
          </w:divBdr>
          <w:divsChild>
            <w:div w:id="2069111409">
              <w:marLeft w:val="0"/>
              <w:marRight w:val="0"/>
              <w:marTop w:val="0"/>
              <w:marBottom w:val="0"/>
              <w:divBdr>
                <w:top w:val="none" w:sz="0" w:space="0" w:color="auto"/>
                <w:left w:val="none" w:sz="0" w:space="0" w:color="auto"/>
                <w:bottom w:val="none" w:sz="0" w:space="0" w:color="auto"/>
                <w:right w:val="none" w:sz="0" w:space="0" w:color="auto"/>
              </w:divBdr>
              <w:divsChild>
                <w:div w:id="115710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011834">
      <w:bodyDiv w:val="1"/>
      <w:marLeft w:val="0"/>
      <w:marRight w:val="0"/>
      <w:marTop w:val="0"/>
      <w:marBottom w:val="0"/>
      <w:divBdr>
        <w:top w:val="none" w:sz="0" w:space="0" w:color="auto"/>
        <w:left w:val="none" w:sz="0" w:space="0" w:color="auto"/>
        <w:bottom w:val="none" w:sz="0" w:space="0" w:color="auto"/>
        <w:right w:val="none" w:sz="0" w:space="0" w:color="auto"/>
      </w:divBdr>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622176">
      <w:bodyDiv w:val="1"/>
      <w:marLeft w:val="0"/>
      <w:marRight w:val="0"/>
      <w:marTop w:val="0"/>
      <w:marBottom w:val="0"/>
      <w:divBdr>
        <w:top w:val="none" w:sz="0" w:space="0" w:color="auto"/>
        <w:left w:val="none" w:sz="0" w:space="0" w:color="auto"/>
        <w:bottom w:val="none" w:sz="0" w:space="0" w:color="auto"/>
        <w:right w:val="none" w:sz="0" w:space="0" w:color="auto"/>
      </w:divBdr>
      <w:divsChild>
        <w:div w:id="754323074">
          <w:marLeft w:val="547"/>
          <w:marRight w:val="0"/>
          <w:marTop w:val="115"/>
          <w:marBottom w:val="0"/>
          <w:divBdr>
            <w:top w:val="none" w:sz="0" w:space="0" w:color="auto"/>
            <w:left w:val="none" w:sz="0" w:space="0" w:color="auto"/>
            <w:bottom w:val="none" w:sz="0" w:space="0" w:color="auto"/>
            <w:right w:val="none" w:sz="0" w:space="0" w:color="auto"/>
          </w:divBdr>
        </w:div>
      </w:divsChild>
    </w:div>
    <w:div w:id="615060058">
      <w:bodyDiv w:val="1"/>
      <w:marLeft w:val="0"/>
      <w:marRight w:val="0"/>
      <w:marTop w:val="0"/>
      <w:marBottom w:val="0"/>
      <w:divBdr>
        <w:top w:val="none" w:sz="0" w:space="0" w:color="auto"/>
        <w:left w:val="none" w:sz="0" w:space="0" w:color="auto"/>
        <w:bottom w:val="none" w:sz="0" w:space="0" w:color="auto"/>
        <w:right w:val="none" w:sz="0" w:space="0" w:color="auto"/>
      </w:divBdr>
      <w:divsChild>
        <w:div w:id="1608927231">
          <w:marLeft w:val="0"/>
          <w:marRight w:val="0"/>
          <w:marTop w:val="0"/>
          <w:marBottom w:val="0"/>
          <w:divBdr>
            <w:top w:val="none" w:sz="0" w:space="0" w:color="auto"/>
            <w:left w:val="none" w:sz="0" w:space="0" w:color="auto"/>
            <w:bottom w:val="none" w:sz="0" w:space="0" w:color="auto"/>
            <w:right w:val="none" w:sz="0" w:space="0" w:color="auto"/>
          </w:divBdr>
          <w:divsChild>
            <w:div w:id="1373456715">
              <w:marLeft w:val="0"/>
              <w:marRight w:val="0"/>
              <w:marTop w:val="0"/>
              <w:marBottom w:val="0"/>
              <w:divBdr>
                <w:top w:val="none" w:sz="0" w:space="0" w:color="auto"/>
                <w:left w:val="none" w:sz="0" w:space="0" w:color="auto"/>
                <w:bottom w:val="none" w:sz="0" w:space="0" w:color="auto"/>
                <w:right w:val="none" w:sz="0" w:space="0" w:color="auto"/>
              </w:divBdr>
              <w:divsChild>
                <w:div w:id="26681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878691">
      <w:bodyDiv w:val="1"/>
      <w:marLeft w:val="0"/>
      <w:marRight w:val="0"/>
      <w:marTop w:val="0"/>
      <w:marBottom w:val="0"/>
      <w:divBdr>
        <w:top w:val="none" w:sz="0" w:space="0" w:color="auto"/>
        <w:left w:val="none" w:sz="0" w:space="0" w:color="auto"/>
        <w:bottom w:val="none" w:sz="0" w:space="0" w:color="auto"/>
        <w:right w:val="none" w:sz="0" w:space="0" w:color="auto"/>
      </w:divBdr>
      <w:divsChild>
        <w:div w:id="2022927178">
          <w:marLeft w:val="0"/>
          <w:marRight w:val="0"/>
          <w:marTop w:val="0"/>
          <w:marBottom w:val="0"/>
          <w:divBdr>
            <w:top w:val="none" w:sz="0" w:space="0" w:color="auto"/>
            <w:left w:val="none" w:sz="0" w:space="0" w:color="auto"/>
            <w:bottom w:val="none" w:sz="0" w:space="0" w:color="auto"/>
            <w:right w:val="none" w:sz="0" w:space="0" w:color="auto"/>
          </w:divBdr>
          <w:divsChild>
            <w:div w:id="935941503">
              <w:marLeft w:val="0"/>
              <w:marRight w:val="0"/>
              <w:marTop w:val="0"/>
              <w:marBottom w:val="0"/>
              <w:divBdr>
                <w:top w:val="none" w:sz="0" w:space="0" w:color="auto"/>
                <w:left w:val="none" w:sz="0" w:space="0" w:color="auto"/>
                <w:bottom w:val="none" w:sz="0" w:space="0" w:color="auto"/>
                <w:right w:val="none" w:sz="0" w:space="0" w:color="auto"/>
              </w:divBdr>
              <w:divsChild>
                <w:div w:id="200273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319311">
      <w:bodyDiv w:val="1"/>
      <w:marLeft w:val="0"/>
      <w:marRight w:val="0"/>
      <w:marTop w:val="0"/>
      <w:marBottom w:val="0"/>
      <w:divBdr>
        <w:top w:val="none" w:sz="0" w:space="0" w:color="auto"/>
        <w:left w:val="none" w:sz="0" w:space="0" w:color="auto"/>
        <w:bottom w:val="none" w:sz="0" w:space="0" w:color="auto"/>
        <w:right w:val="none" w:sz="0" w:space="0" w:color="auto"/>
      </w:divBdr>
      <w:divsChild>
        <w:div w:id="1412311811">
          <w:marLeft w:val="0"/>
          <w:marRight w:val="0"/>
          <w:marTop w:val="0"/>
          <w:marBottom w:val="0"/>
          <w:divBdr>
            <w:top w:val="none" w:sz="0" w:space="0" w:color="auto"/>
            <w:left w:val="none" w:sz="0" w:space="0" w:color="auto"/>
            <w:bottom w:val="none" w:sz="0" w:space="0" w:color="auto"/>
            <w:right w:val="none" w:sz="0" w:space="0" w:color="auto"/>
          </w:divBdr>
          <w:divsChild>
            <w:div w:id="454174248">
              <w:marLeft w:val="0"/>
              <w:marRight w:val="0"/>
              <w:marTop w:val="0"/>
              <w:marBottom w:val="0"/>
              <w:divBdr>
                <w:top w:val="none" w:sz="0" w:space="0" w:color="auto"/>
                <w:left w:val="none" w:sz="0" w:space="0" w:color="auto"/>
                <w:bottom w:val="none" w:sz="0" w:space="0" w:color="auto"/>
                <w:right w:val="none" w:sz="0" w:space="0" w:color="auto"/>
              </w:divBdr>
              <w:divsChild>
                <w:div w:id="11876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313310">
      <w:bodyDiv w:val="1"/>
      <w:marLeft w:val="0"/>
      <w:marRight w:val="0"/>
      <w:marTop w:val="0"/>
      <w:marBottom w:val="0"/>
      <w:divBdr>
        <w:top w:val="none" w:sz="0" w:space="0" w:color="auto"/>
        <w:left w:val="none" w:sz="0" w:space="0" w:color="auto"/>
        <w:bottom w:val="none" w:sz="0" w:space="0" w:color="auto"/>
        <w:right w:val="none" w:sz="0" w:space="0" w:color="auto"/>
      </w:divBdr>
      <w:divsChild>
        <w:div w:id="121967973">
          <w:marLeft w:val="547"/>
          <w:marRight w:val="0"/>
          <w:marTop w:val="154"/>
          <w:marBottom w:val="0"/>
          <w:divBdr>
            <w:top w:val="none" w:sz="0" w:space="0" w:color="auto"/>
            <w:left w:val="none" w:sz="0" w:space="0" w:color="auto"/>
            <w:bottom w:val="none" w:sz="0" w:space="0" w:color="auto"/>
            <w:right w:val="none" w:sz="0" w:space="0" w:color="auto"/>
          </w:divBdr>
        </w:div>
        <w:div w:id="1638145347">
          <w:marLeft w:val="547"/>
          <w:marRight w:val="0"/>
          <w:marTop w:val="154"/>
          <w:marBottom w:val="0"/>
          <w:divBdr>
            <w:top w:val="none" w:sz="0" w:space="0" w:color="auto"/>
            <w:left w:val="none" w:sz="0" w:space="0" w:color="auto"/>
            <w:bottom w:val="none" w:sz="0" w:space="0" w:color="auto"/>
            <w:right w:val="none" w:sz="0" w:space="0" w:color="auto"/>
          </w:divBdr>
        </w:div>
      </w:divsChild>
    </w:div>
    <w:div w:id="824005219">
      <w:bodyDiv w:val="1"/>
      <w:marLeft w:val="0"/>
      <w:marRight w:val="0"/>
      <w:marTop w:val="0"/>
      <w:marBottom w:val="0"/>
      <w:divBdr>
        <w:top w:val="none" w:sz="0" w:space="0" w:color="auto"/>
        <w:left w:val="none" w:sz="0" w:space="0" w:color="auto"/>
        <w:bottom w:val="none" w:sz="0" w:space="0" w:color="auto"/>
        <w:right w:val="none" w:sz="0" w:space="0" w:color="auto"/>
      </w:divBdr>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793654">
      <w:bodyDiv w:val="1"/>
      <w:marLeft w:val="0"/>
      <w:marRight w:val="0"/>
      <w:marTop w:val="0"/>
      <w:marBottom w:val="0"/>
      <w:divBdr>
        <w:top w:val="none" w:sz="0" w:space="0" w:color="auto"/>
        <w:left w:val="none" w:sz="0" w:space="0" w:color="auto"/>
        <w:bottom w:val="none" w:sz="0" w:space="0" w:color="auto"/>
        <w:right w:val="none" w:sz="0" w:space="0" w:color="auto"/>
      </w:divBdr>
    </w:div>
    <w:div w:id="1035427597">
      <w:bodyDiv w:val="1"/>
      <w:marLeft w:val="0"/>
      <w:marRight w:val="0"/>
      <w:marTop w:val="0"/>
      <w:marBottom w:val="0"/>
      <w:divBdr>
        <w:top w:val="none" w:sz="0" w:space="0" w:color="auto"/>
        <w:left w:val="none" w:sz="0" w:space="0" w:color="auto"/>
        <w:bottom w:val="none" w:sz="0" w:space="0" w:color="auto"/>
        <w:right w:val="none" w:sz="0" w:space="0" w:color="auto"/>
      </w:divBdr>
      <w:divsChild>
        <w:div w:id="1601721014">
          <w:marLeft w:val="1166"/>
          <w:marRight w:val="0"/>
          <w:marTop w:val="58"/>
          <w:marBottom w:val="0"/>
          <w:divBdr>
            <w:top w:val="none" w:sz="0" w:space="0" w:color="auto"/>
            <w:left w:val="none" w:sz="0" w:space="0" w:color="auto"/>
            <w:bottom w:val="none" w:sz="0" w:space="0" w:color="auto"/>
            <w:right w:val="none" w:sz="0" w:space="0" w:color="auto"/>
          </w:divBdr>
        </w:div>
      </w:divsChild>
    </w:div>
    <w:div w:id="1072697729">
      <w:bodyDiv w:val="1"/>
      <w:marLeft w:val="0"/>
      <w:marRight w:val="0"/>
      <w:marTop w:val="0"/>
      <w:marBottom w:val="0"/>
      <w:divBdr>
        <w:top w:val="none" w:sz="0" w:space="0" w:color="auto"/>
        <w:left w:val="none" w:sz="0" w:space="0" w:color="auto"/>
        <w:bottom w:val="none" w:sz="0" w:space="0" w:color="auto"/>
        <w:right w:val="none" w:sz="0" w:space="0" w:color="auto"/>
      </w:divBdr>
      <w:divsChild>
        <w:div w:id="1109858260">
          <w:marLeft w:val="0"/>
          <w:marRight w:val="0"/>
          <w:marTop w:val="0"/>
          <w:marBottom w:val="0"/>
          <w:divBdr>
            <w:top w:val="none" w:sz="0" w:space="0" w:color="auto"/>
            <w:left w:val="none" w:sz="0" w:space="0" w:color="auto"/>
            <w:bottom w:val="none" w:sz="0" w:space="0" w:color="auto"/>
            <w:right w:val="none" w:sz="0" w:space="0" w:color="auto"/>
          </w:divBdr>
          <w:divsChild>
            <w:div w:id="452946913">
              <w:marLeft w:val="0"/>
              <w:marRight w:val="0"/>
              <w:marTop w:val="0"/>
              <w:marBottom w:val="0"/>
              <w:divBdr>
                <w:top w:val="none" w:sz="0" w:space="0" w:color="auto"/>
                <w:left w:val="none" w:sz="0" w:space="0" w:color="auto"/>
                <w:bottom w:val="none" w:sz="0" w:space="0" w:color="auto"/>
                <w:right w:val="none" w:sz="0" w:space="0" w:color="auto"/>
              </w:divBdr>
              <w:divsChild>
                <w:div w:id="102066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052118">
      <w:bodyDiv w:val="1"/>
      <w:marLeft w:val="0"/>
      <w:marRight w:val="0"/>
      <w:marTop w:val="0"/>
      <w:marBottom w:val="0"/>
      <w:divBdr>
        <w:top w:val="none" w:sz="0" w:space="0" w:color="auto"/>
        <w:left w:val="none" w:sz="0" w:space="0" w:color="auto"/>
        <w:bottom w:val="none" w:sz="0" w:space="0" w:color="auto"/>
        <w:right w:val="none" w:sz="0" w:space="0" w:color="auto"/>
      </w:divBdr>
      <w:divsChild>
        <w:div w:id="1150681216">
          <w:marLeft w:val="0"/>
          <w:marRight w:val="0"/>
          <w:marTop w:val="0"/>
          <w:marBottom w:val="0"/>
          <w:divBdr>
            <w:top w:val="none" w:sz="0" w:space="0" w:color="auto"/>
            <w:left w:val="none" w:sz="0" w:space="0" w:color="auto"/>
            <w:bottom w:val="none" w:sz="0" w:space="0" w:color="auto"/>
            <w:right w:val="none" w:sz="0" w:space="0" w:color="auto"/>
          </w:divBdr>
          <w:divsChild>
            <w:div w:id="935865068">
              <w:marLeft w:val="0"/>
              <w:marRight w:val="0"/>
              <w:marTop w:val="0"/>
              <w:marBottom w:val="0"/>
              <w:divBdr>
                <w:top w:val="none" w:sz="0" w:space="0" w:color="auto"/>
                <w:left w:val="none" w:sz="0" w:space="0" w:color="auto"/>
                <w:bottom w:val="none" w:sz="0" w:space="0" w:color="auto"/>
                <w:right w:val="none" w:sz="0" w:space="0" w:color="auto"/>
              </w:divBdr>
              <w:divsChild>
                <w:div w:id="167202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0067">
      <w:bodyDiv w:val="1"/>
      <w:marLeft w:val="0"/>
      <w:marRight w:val="0"/>
      <w:marTop w:val="0"/>
      <w:marBottom w:val="0"/>
      <w:divBdr>
        <w:top w:val="none" w:sz="0" w:space="0" w:color="auto"/>
        <w:left w:val="none" w:sz="0" w:space="0" w:color="auto"/>
        <w:bottom w:val="none" w:sz="0" w:space="0" w:color="auto"/>
        <w:right w:val="none" w:sz="0" w:space="0" w:color="auto"/>
      </w:divBdr>
      <w:divsChild>
        <w:div w:id="353573955">
          <w:marLeft w:val="0"/>
          <w:marRight w:val="0"/>
          <w:marTop w:val="0"/>
          <w:marBottom w:val="0"/>
          <w:divBdr>
            <w:top w:val="none" w:sz="0" w:space="0" w:color="auto"/>
            <w:left w:val="none" w:sz="0" w:space="0" w:color="auto"/>
            <w:bottom w:val="none" w:sz="0" w:space="0" w:color="auto"/>
            <w:right w:val="none" w:sz="0" w:space="0" w:color="auto"/>
          </w:divBdr>
          <w:divsChild>
            <w:div w:id="1877234851">
              <w:marLeft w:val="0"/>
              <w:marRight w:val="0"/>
              <w:marTop w:val="0"/>
              <w:marBottom w:val="0"/>
              <w:divBdr>
                <w:top w:val="none" w:sz="0" w:space="0" w:color="auto"/>
                <w:left w:val="none" w:sz="0" w:space="0" w:color="auto"/>
                <w:bottom w:val="none" w:sz="0" w:space="0" w:color="auto"/>
                <w:right w:val="none" w:sz="0" w:space="0" w:color="auto"/>
              </w:divBdr>
              <w:divsChild>
                <w:div w:id="8122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367989">
      <w:bodyDiv w:val="1"/>
      <w:marLeft w:val="0"/>
      <w:marRight w:val="0"/>
      <w:marTop w:val="0"/>
      <w:marBottom w:val="0"/>
      <w:divBdr>
        <w:top w:val="none" w:sz="0" w:space="0" w:color="auto"/>
        <w:left w:val="none" w:sz="0" w:space="0" w:color="auto"/>
        <w:bottom w:val="none" w:sz="0" w:space="0" w:color="auto"/>
        <w:right w:val="none" w:sz="0" w:space="0" w:color="auto"/>
      </w:divBdr>
      <w:divsChild>
        <w:div w:id="1579173278">
          <w:marLeft w:val="1166"/>
          <w:marRight w:val="0"/>
          <w:marTop w:val="58"/>
          <w:marBottom w:val="0"/>
          <w:divBdr>
            <w:top w:val="none" w:sz="0" w:space="0" w:color="auto"/>
            <w:left w:val="none" w:sz="0" w:space="0" w:color="auto"/>
            <w:bottom w:val="none" w:sz="0" w:space="0" w:color="auto"/>
            <w:right w:val="none" w:sz="0" w:space="0" w:color="auto"/>
          </w:divBdr>
        </w:div>
      </w:divsChild>
    </w:div>
    <w:div w:id="1412464102">
      <w:bodyDiv w:val="1"/>
      <w:marLeft w:val="0"/>
      <w:marRight w:val="0"/>
      <w:marTop w:val="0"/>
      <w:marBottom w:val="0"/>
      <w:divBdr>
        <w:top w:val="none" w:sz="0" w:space="0" w:color="auto"/>
        <w:left w:val="none" w:sz="0" w:space="0" w:color="auto"/>
        <w:bottom w:val="none" w:sz="0" w:space="0" w:color="auto"/>
        <w:right w:val="none" w:sz="0" w:space="0" w:color="auto"/>
      </w:divBdr>
      <w:divsChild>
        <w:div w:id="1711106524">
          <w:marLeft w:val="547"/>
          <w:marRight w:val="0"/>
          <w:marTop w:val="77"/>
          <w:marBottom w:val="0"/>
          <w:divBdr>
            <w:top w:val="none" w:sz="0" w:space="0" w:color="auto"/>
            <w:left w:val="none" w:sz="0" w:space="0" w:color="auto"/>
            <w:bottom w:val="none" w:sz="0" w:space="0" w:color="auto"/>
            <w:right w:val="none" w:sz="0" w:space="0" w:color="auto"/>
          </w:divBdr>
        </w:div>
        <w:div w:id="2074616708">
          <w:marLeft w:val="1166"/>
          <w:marRight w:val="0"/>
          <w:marTop w:val="58"/>
          <w:marBottom w:val="0"/>
          <w:divBdr>
            <w:top w:val="none" w:sz="0" w:space="0" w:color="auto"/>
            <w:left w:val="none" w:sz="0" w:space="0" w:color="auto"/>
            <w:bottom w:val="none" w:sz="0" w:space="0" w:color="auto"/>
            <w:right w:val="none" w:sz="0" w:space="0" w:color="auto"/>
          </w:divBdr>
        </w:div>
        <w:div w:id="1643844744">
          <w:marLeft w:val="1166"/>
          <w:marRight w:val="0"/>
          <w:marTop w:val="58"/>
          <w:marBottom w:val="0"/>
          <w:divBdr>
            <w:top w:val="none" w:sz="0" w:space="0" w:color="auto"/>
            <w:left w:val="none" w:sz="0" w:space="0" w:color="auto"/>
            <w:bottom w:val="none" w:sz="0" w:space="0" w:color="auto"/>
            <w:right w:val="none" w:sz="0" w:space="0" w:color="auto"/>
          </w:divBdr>
        </w:div>
        <w:div w:id="449327569">
          <w:marLeft w:val="547"/>
          <w:marRight w:val="0"/>
          <w:marTop w:val="77"/>
          <w:marBottom w:val="0"/>
          <w:divBdr>
            <w:top w:val="none" w:sz="0" w:space="0" w:color="auto"/>
            <w:left w:val="none" w:sz="0" w:space="0" w:color="auto"/>
            <w:bottom w:val="none" w:sz="0" w:space="0" w:color="auto"/>
            <w:right w:val="none" w:sz="0" w:space="0" w:color="auto"/>
          </w:divBdr>
        </w:div>
        <w:div w:id="1483542114">
          <w:marLeft w:val="547"/>
          <w:marRight w:val="0"/>
          <w:marTop w:val="77"/>
          <w:marBottom w:val="0"/>
          <w:divBdr>
            <w:top w:val="none" w:sz="0" w:space="0" w:color="auto"/>
            <w:left w:val="none" w:sz="0" w:space="0" w:color="auto"/>
            <w:bottom w:val="none" w:sz="0" w:space="0" w:color="auto"/>
            <w:right w:val="none" w:sz="0" w:space="0" w:color="auto"/>
          </w:divBdr>
        </w:div>
      </w:divsChild>
    </w:div>
    <w:div w:id="1546021868">
      <w:bodyDiv w:val="1"/>
      <w:marLeft w:val="0"/>
      <w:marRight w:val="0"/>
      <w:marTop w:val="0"/>
      <w:marBottom w:val="0"/>
      <w:divBdr>
        <w:top w:val="none" w:sz="0" w:space="0" w:color="auto"/>
        <w:left w:val="none" w:sz="0" w:space="0" w:color="auto"/>
        <w:bottom w:val="none" w:sz="0" w:space="0" w:color="auto"/>
        <w:right w:val="none" w:sz="0" w:space="0" w:color="auto"/>
      </w:divBdr>
      <w:divsChild>
        <w:div w:id="1472290074">
          <w:marLeft w:val="0"/>
          <w:marRight w:val="0"/>
          <w:marTop w:val="0"/>
          <w:marBottom w:val="0"/>
          <w:divBdr>
            <w:top w:val="none" w:sz="0" w:space="0" w:color="auto"/>
            <w:left w:val="none" w:sz="0" w:space="0" w:color="auto"/>
            <w:bottom w:val="none" w:sz="0" w:space="0" w:color="auto"/>
            <w:right w:val="none" w:sz="0" w:space="0" w:color="auto"/>
          </w:divBdr>
          <w:divsChild>
            <w:div w:id="1525174763">
              <w:marLeft w:val="0"/>
              <w:marRight w:val="0"/>
              <w:marTop w:val="0"/>
              <w:marBottom w:val="0"/>
              <w:divBdr>
                <w:top w:val="none" w:sz="0" w:space="0" w:color="auto"/>
                <w:left w:val="none" w:sz="0" w:space="0" w:color="auto"/>
                <w:bottom w:val="none" w:sz="0" w:space="0" w:color="auto"/>
                <w:right w:val="none" w:sz="0" w:space="0" w:color="auto"/>
              </w:divBdr>
              <w:divsChild>
                <w:div w:id="470095205">
                  <w:marLeft w:val="0"/>
                  <w:marRight w:val="0"/>
                  <w:marTop w:val="0"/>
                  <w:marBottom w:val="0"/>
                  <w:divBdr>
                    <w:top w:val="none" w:sz="0" w:space="0" w:color="auto"/>
                    <w:left w:val="none" w:sz="0" w:space="0" w:color="auto"/>
                    <w:bottom w:val="none" w:sz="0" w:space="0" w:color="auto"/>
                    <w:right w:val="none" w:sz="0" w:space="0" w:color="auto"/>
                  </w:divBdr>
                  <w:divsChild>
                    <w:div w:id="153912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31098">
      <w:bodyDiv w:val="1"/>
      <w:marLeft w:val="0"/>
      <w:marRight w:val="0"/>
      <w:marTop w:val="0"/>
      <w:marBottom w:val="0"/>
      <w:divBdr>
        <w:top w:val="none" w:sz="0" w:space="0" w:color="auto"/>
        <w:left w:val="none" w:sz="0" w:space="0" w:color="auto"/>
        <w:bottom w:val="none" w:sz="0" w:space="0" w:color="auto"/>
        <w:right w:val="none" w:sz="0" w:space="0" w:color="auto"/>
      </w:divBdr>
      <w:divsChild>
        <w:div w:id="31001763">
          <w:marLeft w:val="547"/>
          <w:marRight w:val="0"/>
          <w:marTop w:val="154"/>
          <w:marBottom w:val="0"/>
          <w:divBdr>
            <w:top w:val="none" w:sz="0" w:space="0" w:color="auto"/>
            <w:left w:val="none" w:sz="0" w:space="0" w:color="auto"/>
            <w:bottom w:val="none" w:sz="0" w:space="0" w:color="auto"/>
            <w:right w:val="none" w:sz="0" w:space="0" w:color="auto"/>
          </w:divBdr>
        </w:div>
        <w:div w:id="1412239213">
          <w:marLeft w:val="547"/>
          <w:marRight w:val="0"/>
          <w:marTop w:val="154"/>
          <w:marBottom w:val="0"/>
          <w:divBdr>
            <w:top w:val="none" w:sz="0" w:space="0" w:color="auto"/>
            <w:left w:val="none" w:sz="0" w:space="0" w:color="auto"/>
            <w:bottom w:val="none" w:sz="0" w:space="0" w:color="auto"/>
            <w:right w:val="none" w:sz="0" w:space="0" w:color="auto"/>
          </w:divBdr>
        </w:div>
        <w:div w:id="270553546">
          <w:marLeft w:val="547"/>
          <w:marRight w:val="0"/>
          <w:marTop w:val="154"/>
          <w:marBottom w:val="0"/>
          <w:divBdr>
            <w:top w:val="none" w:sz="0" w:space="0" w:color="auto"/>
            <w:left w:val="none" w:sz="0" w:space="0" w:color="auto"/>
            <w:bottom w:val="none" w:sz="0" w:space="0" w:color="auto"/>
            <w:right w:val="none" w:sz="0" w:space="0" w:color="auto"/>
          </w:divBdr>
        </w:div>
      </w:divsChild>
    </w:div>
    <w:div w:id="1596204363">
      <w:bodyDiv w:val="1"/>
      <w:marLeft w:val="0"/>
      <w:marRight w:val="0"/>
      <w:marTop w:val="0"/>
      <w:marBottom w:val="0"/>
      <w:divBdr>
        <w:top w:val="none" w:sz="0" w:space="0" w:color="auto"/>
        <w:left w:val="none" w:sz="0" w:space="0" w:color="auto"/>
        <w:bottom w:val="none" w:sz="0" w:space="0" w:color="auto"/>
        <w:right w:val="none" w:sz="0" w:space="0" w:color="auto"/>
      </w:divBdr>
      <w:divsChild>
        <w:div w:id="249310714">
          <w:marLeft w:val="0"/>
          <w:marRight w:val="0"/>
          <w:marTop w:val="0"/>
          <w:marBottom w:val="0"/>
          <w:divBdr>
            <w:top w:val="none" w:sz="0" w:space="0" w:color="auto"/>
            <w:left w:val="none" w:sz="0" w:space="0" w:color="auto"/>
            <w:bottom w:val="none" w:sz="0" w:space="0" w:color="auto"/>
            <w:right w:val="none" w:sz="0" w:space="0" w:color="auto"/>
          </w:divBdr>
          <w:divsChild>
            <w:div w:id="1364751025">
              <w:marLeft w:val="0"/>
              <w:marRight w:val="0"/>
              <w:marTop w:val="0"/>
              <w:marBottom w:val="0"/>
              <w:divBdr>
                <w:top w:val="none" w:sz="0" w:space="0" w:color="auto"/>
                <w:left w:val="none" w:sz="0" w:space="0" w:color="auto"/>
                <w:bottom w:val="none" w:sz="0" w:space="0" w:color="auto"/>
                <w:right w:val="none" w:sz="0" w:space="0" w:color="auto"/>
              </w:divBdr>
              <w:divsChild>
                <w:div w:id="10605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618849">
      <w:bodyDiv w:val="1"/>
      <w:marLeft w:val="0"/>
      <w:marRight w:val="0"/>
      <w:marTop w:val="0"/>
      <w:marBottom w:val="0"/>
      <w:divBdr>
        <w:top w:val="none" w:sz="0" w:space="0" w:color="auto"/>
        <w:left w:val="none" w:sz="0" w:space="0" w:color="auto"/>
        <w:bottom w:val="none" w:sz="0" w:space="0" w:color="auto"/>
        <w:right w:val="none" w:sz="0" w:space="0" w:color="auto"/>
      </w:divBdr>
      <w:divsChild>
        <w:div w:id="1153643860">
          <w:marLeft w:val="0"/>
          <w:marRight w:val="0"/>
          <w:marTop w:val="0"/>
          <w:marBottom w:val="0"/>
          <w:divBdr>
            <w:top w:val="none" w:sz="0" w:space="0" w:color="auto"/>
            <w:left w:val="none" w:sz="0" w:space="0" w:color="auto"/>
            <w:bottom w:val="none" w:sz="0" w:space="0" w:color="auto"/>
            <w:right w:val="none" w:sz="0" w:space="0" w:color="auto"/>
          </w:divBdr>
          <w:divsChild>
            <w:div w:id="423116145">
              <w:marLeft w:val="0"/>
              <w:marRight w:val="0"/>
              <w:marTop w:val="0"/>
              <w:marBottom w:val="0"/>
              <w:divBdr>
                <w:top w:val="none" w:sz="0" w:space="0" w:color="auto"/>
                <w:left w:val="none" w:sz="0" w:space="0" w:color="auto"/>
                <w:bottom w:val="none" w:sz="0" w:space="0" w:color="auto"/>
                <w:right w:val="none" w:sz="0" w:space="0" w:color="auto"/>
              </w:divBdr>
              <w:divsChild>
                <w:div w:id="57856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75492">
      <w:bodyDiv w:val="1"/>
      <w:marLeft w:val="0"/>
      <w:marRight w:val="0"/>
      <w:marTop w:val="0"/>
      <w:marBottom w:val="0"/>
      <w:divBdr>
        <w:top w:val="none" w:sz="0" w:space="0" w:color="auto"/>
        <w:left w:val="none" w:sz="0" w:space="0" w:color="auto"/>
        <w:bottom w:val="none" w:sz="0" w:space="0" w:color="auto"/>
        <w:right w:val="none" w:sz="0" w:space="0" w:color="auto"/>
      </w:divBdr>
      <w:divsChild>
        <w:div w:id="2056615466">
          <w:marLeft w:val="0"/>
          <w:marRight w:val="0"/>
          <w:marTop w:val="0"/>
          <w:marBottom w:val="0"/>
          <w:divBdr>
            <w:top w:val="none" w:sz="0" w:space="0" w:color="auto"/>
            <w:left w:val="none" w:sz="0" w:space="0" w:color="auto"/>
            <w:bottom w:val="none" w:sz="0" w:space="0" w:color="auto"/>
            <w:right w:val="none" w:sz="0" w:space="0" w:color="auto"/>
          </w:divBdr>
          <w:divsChild>
            <w:div w:id="351540789">
              <w:marLeft w:val="0"/>
              <w:marRight w:val="0"/>
              <w:marTop w:val="0"/>
              <w:marBottom w:val="0"/>
              <w:divBdr>
                <w:top w:val="none" w:sz="0" w:space="0" w:color="auto"/>
                <w:left w:val="none" w:sz="0" w:space="0" w:color="auto"/>
                <w:bottom w:val="none" w:sz="0" w:space="0" w:color="auto"/>
                <w:right w:val="none" w:sz="0" w:space="0" w:color="auto"/>
              </w:divBdr>
              <w:divsChild>
                <w:div w:id="48020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103076">
      <w:bodyDiv w:val="1"/>
      <w:marLeft w:val="0"/>
      <w:marRight w:val="0"/>
      <w:marTop w:val="0"/>
      <w:marBottom w:val="0"/>
      <w:divBdr>
        <w:top w:val="none" w:sz="0" w:space="0" w:color="auto"/>
        <w:left w:val="none" w:sz="0" w:space="0" w:color="auto"/>
        <w:bottom w:val="none" w:sz="0" w:space="0" w:color="auto"/>
        <w:right w:val="none" w:sz="0" w:space="0" w:color="auto"/>
      </w:divBdr>
      <w:divsChild>
        <w:div w:id="516503752">
          <w:marLeft w:val="547"/>
          <w:marRight w:val="0"/>
          <w:marTop w:val="86"/>
          <w:marBottom w:val="0"/>
          <w:divBdr>
            <w:top w:val="none" w:sz="0" w:space="0" w:color="auto"/>
            <w:left w:val="none" w:sz="0" w:space="0" w:color="auto"/>
            <w:bottom w:val="none" w:sz="0" w:space="0" w:color="auto"/>
            <w:right w:val="none" w:sz="0" w:space="0" w:color="auto"/>
          </w:divBdr>
        </w:div>
      </w:divsChild>
    </w:div>
    <w:div w:id="1766002222">
      <w:bodyDiv w:val="1"/>
      <w:marLeft w:val="0"/>
      <w:marRight w:val="0"/>
      <w:marTop w:val="0"/>
      <w:marBottom w:val="0"/>
      <w:divBdr>
        <w:top w:val="none" w:sz="0" w:space="0" w:color="auto"/>
        <w:left w:val="none" w:sz="0" w:space="0" w:color="auto"/>
        <w:bottom w:val="none" w:sz="0" w:space="0" w:color="auto"/>
        <w:right w:val="none" w:sz="0" w:space="0" w:color="auto"/>
      </w:divBdr>
      <w:divsChild>
        <w:div w:id="1668095660">
          <w:marLeft w:val="547"/>
          <w:marRight w:val="0"/>
          <w:marTop w:val="86"/>
          <w:marBottom w:val="0"/>
          <w:divBdr>
            <w:top w:val="none" w:sz="0" w:space="0" w:color="auto"/>
            <w:left w:val="none" w:sz="0" w:space="0" w:color="auto"/>
            <w:bottom w:val="none" w:sz="0" w:space="0" w:color="auto"/>
            <w:right w:val="none" w:sz="0" w:space="0" w:color="auto"/>
          </w:divBdr>
        </w:div>
        <w:div w:id="2065567158">
          <w:marLeft w:val="547"/>
          <w:marRight w:val="0"/>
          <w:marTop w:val="86"/>
          <w:marBottom w:val="0"/>
          <w:divBdr>
            <w:top w:val="none" w:sz="0" w:space="0" w:color="auto"/>
            <w:left w:val="none" w:sz="0" w:space="0" w:color="auto"/>
            <w:bottom w:val="none" w:sz="0" w:space="0" w:color="auto"/>
            <w:right w:val="none" w:sz="0" w:space="0" w:color="auto"/>
          </w:divBdr>
        </w:div>
        <w:div w:id="2073699770">
          <w:marLeft w:val="547"/>
          <w:marRight w:val="0"/>
          <w:marTop w:val="86"/>
          <w:marBottom w:val="0"/>
          <w:divBdr>
            <w:top w:val="none" w:sz="0" w:space="0" w:color="auto"/>
            <w:left w:val="none" w:sz="0" w:space="0" w:color="auto"/>
            <w:bottom w:val="none" w:sz="0" w:space="0" w:color="auto"/>
            <w:right w:val="none" w:sz="0" w:space="0" w:color="auto"/>
          </w:divBdr>
        </w:div>
      </w:divsChild>
    </w:div>
    <w:div w:id="1811821793">
      <w:bodyDiv w:val="1"/>
      <w:marLeft w:val="0"/>
      <w:marRight w:val="0"/>
      <w:marTop w:val="0"/>
      <w:marBottom w:val="0"/>
      <w:divBdr>
        <w:top w:val="none" w:sz="0" w:space="0" w:color="auto"/>
        <w:left w:val="none" w:sz="0" w:space="0" w:color="auto"/>
        <w:bottom w:val="none" w:sz="0" w:space="0" w:color="auto"/>
        <w:right w:val="none" w:sz="0" w:space="0" w:color="auto"/>
      </w:divBdr>
      <w:divsChild>
        <w:div w:id="1679504053">
          <w:marLeft w:val="0"/>
          <w:marRight w:val="0"/>
          <w:marTop w:val="0"/>
          <w:marBottom w:val="0"/>
          <w:divBdr>
            <w:top w:val="none" w:sz="0" w:space="0" w:color="auto"/>
            <w:left w:val="none" w:sz="0" w:space="0" w:color="auto"/>
            <w:bottom w:val="none" w:sz="0" w:space="0" w:color="auto"/>
            <w:right w:val="none" w:sz="0" w:space="0" w:color="auto"/>
          </w:divBdr>
          <w:divsChild>
            <w:div w:id="1400595479">
              <w:marLeft w:val="0"/>
              <w:marRight w:val="0"/>
              <w:marTop w:val="0"/>
              <w:marBottom w:val="0"/>
              <w:divBdr>
                <w:top w:val="none" w:sz="0" w:space="0" w:color="auto"/>
                <w:left w:val="none" w:sz="0" w:space="0" w:color="auto"/>
                <w:bottom w:val="none" w:sz="0" w:space="0" w:color="auto"/>
                <w:right w:val="none" w:sz="0" w:space="0" w:color="auto"/>
              </w:divBdr>
              <w:divsChild>
                <w:div w:id="77929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173198">
      <w:bodyDiv w:val="1"/>
      <w:marLeft w:val="0"/>
      <w:marRight w:val="0"/>
      <w:marTop w:val="0"/>
      <w:marBottom w:val="0"/>
      <w:divBdr>
        <w:top w:val="none" w:sz="0" w:space="0" w:color="auto"/>
        <w:left w:val="none" w:sz="0" w:space="0" w:color="auto"/>
        <w:bottom w:val="none" w:sz="0" w:space="0" w:color="auto"/>
        <w:right w:val="none" w:sz="0" w:space="0" w:color="auto"/>
      </w:divBdr>
      <w:divsChild>
        <w:div w:id="16515518">
          <w:marLeft w:val="0"/>
          <w:marRight w:val="0"/>
          <w:marTop w:val="0"/>
          <w:marBottom w:val="0"/>
          <w:divBdr>
            <w:top w:val="none" w:sz="0" w:space="0" w:color="auto"/>
            <w:left w:val="none" w:sz="0" w:space="0" w:color="auto"/>
            <w:bottom w:val="none" w:sz="0" w:space="0" w:color="auto"/>
            <w:right w:val="none" w:sz="0" w:space="0" w:color="auto"/>
          </w:divBdr>
          <w:divsChild>
            <w:div w:id="1409112210">
              <w:marLeft w:val="0"/>
              <w:marRight w:val="0"/>
              <w:marTop w:val="0"/>
              <w:marBottom w:val="0"/>
              <w:divBdr>
                <w:top w:val="none" w:sz="0" w:space="0" w:color="auto"/>
                <w:left w:val="none" w:sz="0" w:space="0" w:color="auto"/>
                <w:bottom w:val="none" w:sz="0" w:space="0" w:color="auto"/>
                <w:right w:val="none" w:sz="0" w:space="0" w:color="auto"/>
              </w:divBdr>
              <w:divsChild>
                <w:div w:id="78211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086059">
      <w:bodyDiv w:val="1"/>
      <w:marLeft w:val="0"/>
      <w:marRight w:val="0"/>
      <w:marTop w:val="0"/>
      <w:marBottom w:val="0"/>
      <w:divBdr>
        <w:top w:val="none" w:sz="0" w:space="0" w:color="auto"/>
        <w:left w:val="none" w:sz="0" w:space="0" w:color="auto"/>
        <w:bottom w:val="none" w:sz="0" w:space="0" w:color="auto"/>
        <w:right w:val="none" w:sz="0" w:space="0" w:color="auto"/>
      </w:divBdr>
      <w:divsChild>
        <w:div w:id="873999052">
          <w:marLeft w:val="0"/>
          <w:marRight w:val="0"/>
          <w:marTop w:val="0"/>
          <w:marBottom w:val="0"/>
          <w:divBdr>
            <w:top w:val="none" w:sz="0" w:space="0" w:color="auto"/>
            <w:left w:val="none" w:sz="0" w:space="0" w:color="auto"/>
            <w:bottom w:val="none" w:sz="0" w:space="0" w:color="auto"/>
            <w:right w:val="none" w:sz="0" w:space="0" w:color="auto"/>
          </w:divBdr>
          <w:divsChild>
            <w:div w:id="1464233389">
              <w:marLeft w:val="0"/>
              <w:marRight w:val="0"/>
              <w:marTop w:val="0"/>
              <w:marBottom w:val="0"/>
              <w:divBdr>
                <w:top w:val="none" w:sz="0" w:space="0" w:color="auto"/>
                <w:left w:val="none" w:sz="0" w:space="0" w:color="auto"/>
                <w:bottom w:val="none" w:sz="0" w:space="0" w:color="auto"/>
                <w:right w:val="none" w:sz="0" w:space="0" w:color="auto"/>
              </w:divBdr>
              <w:divsChild>
                <w:div w:id="10396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758832">
      <w:bodyDiv w:val="1"/>
      <w:marLeft w:val="0"/>
      <w:marRight w:val="0"/>
      <w:marTop w:val="0"/>
      <w:marBottom w:val="0"/>
      <w:divBdr>
        <w:top w:val="none" w:sz="0" w:space="0" w:color="auto"/>
        <w:left w:val="none" w:sz="0" w:space="0" w:color="auto"/>
        <w:bottom w:val="none" w:sz="0" w:space="0" w:color="auto"/>
        <w:right w:val="none" w:sz="0" w:space="0" w:color="auto"/>
      </w:divBdr>
      <w:divsChild>
        <w:div w:id="1017854449">
          <w:marLeft w:val="0"/>
          <w:marRight w:val="0"/>
          <w:marTop w:val="0"/>
          <w:marBottom w:val="0"/>
          <w:divBdr>
            <w:top w:val="none" w:sz="0" w:space="0" w:color="auto"/>
            <w:left w:val="none" w:sz="0" w:space="0" w:color="auto"/>
            <w:bottom w:val="none" w:sz="0" w:space="0" w:color="auto"/>
            <w:right w:val="none" w:sz="0" w:space="0" w:color="auto"/>
          </w:divBdr>
          <w:divsChild>
            <w:div w:id="1505777458">
              <w:marLeft w:val="0"/>
              <w:marRight w:val="0"/>
              <w:marTop w:val="0"/>
              <w:marBottom w:val="0"/>
              <w:divBdr>
                <w:top w:val="none" w:sz="0" w:space="0" w:color="auto"/>
                <w:left w:val="none" w:sz="0" w:space="0" w:color="auto"/>
                <w:bottom w:val="none" w:sz="0" w:space="0" w:color="auto"/>
                <w:right w:val="none" w:sz="0" w:space="0" w:color="auto"/>
              </w:divBdr>
              <w:divsChild>
                <w:div w:id="179878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110315">
      <w:bodyDiv w:val="1"/>
      <w:marLeft w:val="0"/>
      <w:marRight w:val="0"/>
      <w:marTop w:val="0"/>
      <w:marBottom w:val="0"/>
      <w:divBdr>
        <w:top w:val="none" w:sz="0" w:space="0" w:color="auto"/>
        <w:left w:val="none" w:sz="0" w:space="0" w:color="auto"/>
        <w:bottom w:val="none" w:sz="0" w:space="0" w:color="auto"/>
        <w:right w:val="none" w:sz="0" w:space="0" w:color="auto"/>
      </w:divBdr>
      <w:divsChild>
        <w:div w:id="2137748121">
          <w:marLeft w:val="0"/>
          <w:marRight w:val="0"/>
          <w:marTop w:val="0"/>
          <w:marBottom w:val="0"/>
          <w:divBdr>
            <w:top w:val="none" w:sz="0" w:space="0" w:color="auto"/>
            <w:left w:val="none" w:sz="0" w:space="0" w:color="auto"/>
            <w:bottom w:val="none" w:sz="0" w:space="0" w:color="auto"/>
            <w:right w:val="none" w:sz="0" w:space="0" w:color="auto"/>
          </w:divBdr>
          <w:divsChild>
            <w:div w:id="1158418867">
              <w:marLeft w:val="0"/>
              <w:marRight w:val="0"/>
              <w:marTop w:val="0"/>
              <w:marBottom w:val="0"/>
              <w:divBdr>
                <w:top w:val="none" w:sz="0" w:space="0" w:color="auto"/>
                <w:left w:val="none" w:sz="0" w:space="0" w:color="auto"/>
                <w:bottom w:val="none" w:sz="0" w:space="0" w:color="auto"/>
                <w:right w:val="none" w:sz="0" w:space="0" w:color="auto"/>
              </w:divBdr>
              <w:divsChild>
                <w:div w:id="122992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286333">
      <w:bodyDiv w:val="1"/>
      <w:marLeft w:val="0"/>
      <w:marRight w:val="0"/>
      <w:marTop w:val="0"/>
      <w:marBottom w:val="0"/>
      <w:divBdr>
        <w:top w:val="none" w:sz="0" w:space="0" w:color="auto"/>
        <w:left w:val="none" w:sz="0" w:space="0" w:color="auto"/>
        <w:bottom w:val="none" w:sz="0" w:space="0" w:color="auto"/>
        <w:right w:val="none" w:sz="0" w:space="0" w:color="auto"/>
      </w:divBdr>
      <w:divsChild>
        <w:div w:id="581987542">
          <w:marLeft w:val="0"/>
          <w:marRight w:val="0"/>
          <w:marTop w:val="0"/>
          <w:marBottom w:val="0"/>
          <w:divBdr>
            <w:top w:val="none" w:sz="0" w:space="0" w:color="auto"/>
            <w:left w:val="none" w:sz="0" w:space="0" w:color="auto"/>
            <w:bottom w:val="none" w:sz="0" w:space="0" w:color="auto"/>
            <w:right w:val="none" w:sz="0" w:space="0" w:color="auto"/>
          </w:divBdr>
          <w:divsChild>
            <w:div w:id="378937207">
              <w:marLeft w:val="0"/>
              <w:marRight w:val="0"/>
              <w:marTop w:val="0"/>
              <w:marBottom w:val="0"/>
              <w:divBdr>
                <w:top w:val="none" w:sz="0" w:space="0" w:color="auto"/>
                <w:left w:val="none" w:sz="0" w:space="0" w:color="auto"/>
                <w:bottom w:val="none" w:sz="0" w:space="0" w:color="auto"/>
                <w:right w:val="none" w:sz="0" w:space="0" w:color="auto"/>
              </w:divBdr>
              <w:divsChild>
                <w:div w:id="30496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333284">
      <w:bodyDiv w:val="1"/>
      <w:marLeft w:val="0"/>
      <w:marRight w:val="0"/>
      <w:marTop w:val="0"/>
      <w:marBottom w:val="0"/>
      <w:divBdr>
        <w:top w:val="none" w:sz="0" w:space="0" w:color="auto"/>
        <w:left w:val="none" w:sz="0" w:space="0" w:color="auto"/>
        <w:bottom w:val="none" w:sz="0" w:space="0" w:color="auto"/>
        <w:right w:val="none" w:sz="0" w:space="0" w:color="auto"/>
      </w:divBdr>
      <w:divsChild>
        <w:div w:id="183903371">
          <w:marLeft w:val="547"/>
          <w:marRight w:val="0"/>
          <w:marTop w:val="77"/>
          <w:marBottom w:val="0"/>
          <w:divBdr>
            <w:top w:val="none" w:sz="0" w:space="0" w:color="auto"/>
            <w:left w:val="none" w:sz="0" w:space="0" w:color="auto"/>
            <w:bottom w:val="none" w:sz="0" w:space="0" w:color="auto"/>
            <w:right w:val="none" w:sz="0" w:space="0" w:color="auto"/>
          </w:divBdr>
        </w:div>
      </w:divsChild>
    </w:div>
    <w:div w:id="1977300410">
      <w:bodyDiv w:val="1"/>
      <w:marLeft w:val="0"/>
      <w:marRight w:val="0"/>
      <w:marTop w:val="0"/>
      <w:marBottom w:val="0"/>
      <w:divBdr>
        <w:top w:val="none" w:sz="0" w:space="0" w:color="auto"/>
        <w:left w:val="none" w:sz="0" w:space="0" w:color="auto"/>
        <w:bottom w:val="none" w:sz="0" w:space="0" w:color="auto"/>
        <w:right w:val="none" w:sz="0" w:space="0" w:color="auto"/>
      </w:divBdr>
      <w:divsChild>
        <w:div w:id="1990742098">
          <w:marLeft w:val="0"/>
          <w:marRight w:val="0"/>
          <w:marTop w:val="0"/>
          <w:marBottom w:val="0"/>
          <w:divBdr>
            <w:top w:val="none" w:sz="0" w:space="0" w:color="auto"/>
            <w:left w:val="none" w:sz="0" w:space="0" w:color="auto"/>
            <w:bottom w:val="none" w:sz="0" w:space="0" w:color="auto"/>
            <w:right w:val="none" w:sz="0" w:space="0" w:color="auto"/>
          </w:divBdr>
          <w:divsChild>
            <w:div w:id="100036569">
              <w:marLeft w:val="0"/>
              <w:marRight w:val="0"/>
              <w:marTop w:val="0"/>
              <w:marBottom w:val="0"/>
              <w:divBdr>
                <w:top w:val="none" w:sz="0" w:space="0" w:color="auto"/>
                <w:left w:val="none" w:sz="0" w:space="0" w:color="auto"/>
                <w:bottom w:val="none" w:sz="0" w:space="0" w:color="auto"/>
                <w:right w:val="none" w:sz="0" w:space="0" w:color="auto"/>
              </w:divBdr>
              <w:divsChild>
                <w:div w:id="153839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51074">
      <w:bodyDiv w:val="1"/>
      <w:marLeft w:val="0"/>
      <w:marRight w:val="0"/>
      <w:marTop w:val="0"/>
      <w:marBottom w:val="0"/>
      <w:divBdr>
        <w:top w:val="none" w:sz="0" w:space="0" w:color="auto"/>
        <w:left w:val="none" w:sz="0" w:space="0" w:color="auto"/>
        <w:bottom w:val="none" w:sz="0" w:space="0" w:color="auto"/>
        <w:right w:val="none" w:sz="0" w:space="0" w:color="auto"/>
      </w:divBdr>
      <w:divsChild>
        <w:div w:id="459998462">
          <w:marLeft w:val="0"/>
          <w:marRight w:val="0"/>
          <w:marTop w:val="0"/>
          <w:marBottom w:val="0"/>
          <w:divBdr>
            <w:top w:val="none" w:sz="0" w:space="0" w:color="auto"/>
            <w:left w:val="none" w:sz="0" w:space="0" w:color="auto"/>
            <w:bottom w:val="none" w:sz="0" w:space="0" w:color="auto"/>
            <w:right w:val="none" w:sz="0" w:space="0" w:color="auto"/>
          </w:divBdr>
          <w:divsChild>
            <w:div w:id="1348217496">
              <w:marLeft w:val="0"/>
              <w:marRight w:val="0"/>
              <w:marTop w:val="0"/>
              <w:marBottom w:val="0"/>
              <w:divBdr>
                <w:top w:val="none" w:sz="0" w:space="0" w:color="auto"/>
                <w:left w:val="none" w:sz="0" w:space="0" w:color="auto"/>
                <w:bottom w:val="none" w:sz="0" w:space="0" w:color="auto"/>
                <w:right w:val="none" w:sz="0" w:space="0" w:color="auto"/>
              </w:divBdr>
              <w:divsChild>
                <w:div w:id="195489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439</TotalTime>
  <Pages>7</Pages>
  <Words>2066</Words>
  <Characters>11780</Characters>
  <Application>Microsoft Macintosh Word</Application>
  <DocSecurity>0</DocSecurity>
  <Lines>98</Lines>
  <Paragraphs>27</Paragraphs>
  <ScaleCrop>false</ScaleCrop>
  <Company/>
  <LinksUpToDate>false</LinksUpToDate>
  <CharactersWithSpaces>13819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1016</cp:revision>
  <dcterms:created xsi:type="dcterms:W3CDTF">2016-11-03T14:11:00Z</dcterms:created>
  <dcterms:modified xsi:type="dcterms:W3CDTF">2017-01-28T14:53:00Z</dcterms:modified>
</cp:coreProperties>
</file>