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CA4" w:rsidRDefault="00E70CA4" w:rsidP="00E70CA4">
      <w:pPr>
        <w:rPr>
          <w:rFonts w:ascii="Baskerville" w:hAnsi="Baskerville"/>
        </w:rPr>
      </w:pPr>
      <w:r>
        <w:rPr>
          <w:rFonts w:ascii="Baskerville" w:hAnsi="Baskerville"/>
        </w:rPr>
        <w:t xml:space="preserve">The question we should ask ourselves is whether </w:t>
      </w:r>
      <w:r w:rsidRPr="00BA5239">
        <w:rPr>
          <w:rFonts w:ascii="Baskerville" w:hAnsi="Baskerville"/>
        </w:rPr>
        <w:t xml:space="preserve">the precautionary principle is already accepted as a general principle of international law </w:t>
      </w:r>
      <w:r w:rsidRPr="003A51C6">
        <w:rPr>
          <w:rFonts w:ascii="Baskerville" w:hAnsi="Baskerville"/>
        </w:rPr>
        <w:t xml:space="preserve">(as described by Article 38 of the Statute of the International Court of Justice) </w:t>
      </w:r>
      <w:r>
        <w:rPr>
          <w:rFonts w:ascii="Baskerville" w:hAnsi="Baskerville"/>
        </w:rPr>
        <w:t>‘</w:t>
      </w:r>
      <w:r w:rsidRPr="00BA5239">
        <w:rPr>
          <w:rFonts w:ascii="Baskerville" w:hAnsi="Baskerville"/>
        </w:rPr>
        <w:t>or as customary international law</w:t>
      </w:r>
      <w:r>
        <w:rPr>
          <w:rFonts w:ascii="Baskerville" w:hAnsi="Baskerville"/>
        </w:rPr>
        <w:t>’.</w:t>
      </w:r>
      <w:r>
        <w:rPr>
          <w:rStyle w:val="FootnoteReference"/>
          <w:rFonts w:ascii="Baskerville" w:hAnsi="Baskerville"/>
        </w:rPr>
        <w:footnoteReference w:id="1"/>
      </w:r>
    </w:p>
    <w:p w:rsidR="00E70CA4" w:rsidRDefault="00E70CA4" w:rsidP="00E70CA4">
      <w:pPr>
        <w:rPr>
          <w:rFonts w:ascii="Baskerville" w:hAnsi="Baskerville"/>
          <w:color w:val="FF0000"/>
          <w:lang w:val="en-US"/>
        </w:rPr>
      </w:pPr>
      <w:r w:rsidRPr="00E62339">
        <w:rPr>
          <w:rFonts w:ascii="Baskerville" w:hAnsi="Baskerville"/>
          <w:color w:val="FF0000"/>
          <w:lang w:val="en-US"/>
        </w:rPr>
        <w:t xml:space="preserve">Customary law </w:t>
      </w:r>
      <w:r>
        <w:rPr>
          <w:rFonts w:ascii="Baskerville" w:hAnsi="Baskerville"/>
          <w:color w:val="FF0000"/>
          <w:lang w:val="en-US"/>
        </w:rPr>
        <w:t xml:space="preserve">is, </w:t>
      </w:r>
      <w:r w:rsidRPr="00E62339">
        <w:rPr>
          <w:rFonts w:ascii="Baskerville" w:hAnsi="Baskerville"/>
          <w:color w:val="FF0000"/>
          <w:lang w:val="en-US"/>
        </w:rPr>
        <w:t xml:space="preserve">by </w:t>
      </w:r>
      <w:r>
        <w:rPr>
          <w:rFonts w:ascii="Baskerville" w:hAnsi="Baskerville"/>
          <w:color w:val="FF0000"/>
          <w:lang w:val="en-US"/>
        </w:rPr>
        <w:t xml:space="preserve">nature, dynamic, because </w:t>
      </w:r>
      <w:r w:rsidRPr="00E62339">
        <w:rPr>
          <w:rFonts w:ascii="Baskerville" w:hAnsi="Baskerville"/>
          <w:color w:val="FF0000"/>
          <w:lang w:val="en-US"/>
        </w:rPr>
        <w:t xml:space="preserve">it evolves slowly or rapidly, becomes inducted and eventually, perhaps, codified. In new areas of law, state practice as evidence of </w:t>
      </w:r>
      <w:r w:rsidRPr="00E62339">
        <w:rPr>
          <w:rFonts w:ascii="Baskerville" w:hAnsi="Baskerville"/>
          <w:i/>
          <w:iCs/>
          <w:color w:val="FF0000"/>
          <w:lang w:val="en-US"/>
        </w:rPr>
        <w:t xml:space="preserve">opinio juris </w:t>
      </w:r>
      <w:r w:rsidRPr="00E62339">
        <w:rPr>
          <w:rFonts w:ascii="Baskerville" w:hAnsi="Baskerville"/>
          <w:color w:val="FF0000"/>
          <w:lang w:val="en-US"/>
        </w:rPr>
        <w:t>can quickly establish customary law.</w:t>
      </w:r>
      <w:r w:rsidRPr="00E62339">
        <w:rPr>
          <w:rFonts w:ascii="Baskerville" w:hAnsi="Baskerville"/>
          <w:lang w:val="en-US"/>
        </w:rPr>
        <w:t xml:space="preserve"> </w:t>
      </w:r>
      <w:r w:rsidRPr="005469C7">
        <w:rPr>
          <w:rFonts w:ascii="Baskerville" w:hAnsi="Baskerville"/>
          <w:color w:val="FF0000"/>
          <w:lang w:val="en-US"/>
        </w:rPr>
        <w:t>In such cases, customary law may develop instantaneously because of the lack of pre-existing customary law to be displaced, and the necessity to preserve a sense of order in the unchartered face of progress.</w:t>
      </w:r>
      <w:r>
        <w:rPr>
          <w:rStyle w:val="FootnoteReference"/>
          <w:rFonts w:ascii="Baskerville" w:hAnsi="Baskerville"/>
          <w:color w:val="FF0000"/>
          <w:lang w:val="en-US"/>
        </w:rPr>
        <w:footnoteReference w:id="2"/>
      </w:r>
    </w:p>
    <w:p w:rsidR="00E70CA4" w:rsidRDefault="00E70CA4" w:rsidP="00E70CA4">
      <w:pPr>
        <w:rPr>
          <w:rFonts w:ascii="Baskerville" w:hAnsi="Baskerville"/>
          <w:color w:val="FF0000"/>
          <w:lang w:val="en-US"/>
        </w:rPr>
      </w:pPr>
    </w:p>
    <w:p w:rsidR="00E70CA4" w:rsidRPr="00342BF6" w:rsidRDefault="00E70CA4" w:rsidP="00E70CA4">
      <w:pPr>
        <w:rPr>
          <w:rFonts w:ascii="Baskerville" w:hAnsi="Baskerville"/>
          <w:color w:val="FF0000"/>
          <w:lang w:val="en-US"/>
        </w:rPr>
      </w:pPr>
      <w:r w:rsidRPr="00486960">
        <w:rPr>
          <w:rFonts w:ascii="Baskerville" w:hAnsi="Baskerville"/>
          <w:color w:val="FF0000"/>
          <w:lang w:val="en-US"/>
        </w:rPr>
        <w:t>Parallels can be drawn between the emergence of rules on space sovereignty and the present status of the precautionary principle. Nation states again face an urgent challenge, external to nations and to the international state system, yet affecting all and caused in some measure by all. In the case of space sovereignty, the mutual recognition of some sixty-six states resulted in the acceptance of a customary rule. In another case, the twelve-mile territorial sea rule was recognized as customary international law when accepted by 102 nations.</w:t>
      </w:r>
      <w:r w:rsidRPr="00486960">
        <w:rPr>
          <w:rStyle w:val="FootnoteReference"/>
          <w:rFonts w:ascii="Baskerville" w:hAnsi="Baskerville"/>
          <w:color w:val="FF0000"/>
          <w:lang w:val="en-US"/>
        </w:rPr>
        <w:footnoteReference w:id="3"/>
      </w:r>
      <w:r w:rsidRPr="00127491">
        <w:rPr>
          <w:rFonts w:ascii="Baskerville" w:hAnsi="Baskerville"/>
          <w:lang w:val="en-US"/>
        </w:rPr>
        <w:t xml:space="preserve"> </w:t>
      </w:r>
      <w:r>
        <w:rPr>
          <w:rFonts w:ascii="Baskerville" w:hAnsi="Baskerville"/>
          <w:lang w:val="en-US"/>
        </w:rPr>
        <w:t>Here,</w:t>
      </w:r>
      <w:r w:rsidRPr="00127491">
        <w:rPr>
          <w:rFonts w:ascii="Baskerville" w:hAnsi="Baskerville"/>
          <w:lang w:val="en-US"/>
        </w:rPr>
        <w:t xml:space="preserve"> </w:t>
      </w:r>
      <w:r>
        <w:rPr>
          <w:rFonts w:ascii="Baskerville" w:hAnsi="Baskerville"/>
          <w:lang w:val="en-US"/>
        </w:rPr>
        <w:t xml:space="preserve">the </w:t>
      </w:r>
      <w:r w:rsidRPr="00127491">
        <w:rPr>
          <w:rFonts w:ascii="Baskerville" w:hAnsi="Baskerville"/>
          <w:lang w:val="en-US"/>
        </w:rPr>
        <w:t xml:space="preserve">numbers </w:t>
      </w:r>
      <w:r>
        <w:rPr>
          <w:rFonts w:ascii="Baskerville" w:hAnsi="Baskerville"/>
          <w:lang w:val="en-US"/>
        </w:rPr>
        <w:t>reflected</w:t>
      </w:r>
      <w:r w:rsidRPr="00127491">
        <w:rPr>
          <w:rFonts w:ascii="Baskerville" w:hAnsi="Baskerville"/>
          <w:lang w:val="en-US"/>
        </w:rPr>
        <w:t xml:space="preserve"> the development of customary international law. </w:t>
      </w:r>
      <w:r>
        <w:rPr>
          <w:rFonts w:ascii="Baskerville" w:hAnsi="Baskerville"/>
          <w:lang w:val="en-US"/>
        </w:rPr>
        <w:t xml:space="preserve">Today, the precautionary principle is recognised by </w:t>
      </w:r>
      <w:r>
        <w:rPr>
          <w:rFonts w:ascii="Baskerville" w:hAnsi="Baskerville"/>
          <w:color w:val="FF0000"/>
          <w:lang w:val="en-US"/>
        </w:rPr>
        <w:t>34 countries, posing a clear indication of its status as an emerging principle in customary international law.</w:t>
      </w:r>
      <w:r>
        <w:rPr>
          <w:rStyle w:val="FootnoteReference"/>
          <w:rFonts w:ascii="Baskerville" w:hAnsi="Baskerville"/>
          <w:color w:val="FF0000"/>
          <w:lang w:val="en-US"/>
        </w:rPr>
        <w:footnoteReference w:id="4"/>
      </w:r>
    </w:p>
    <w:p w:rsidR="00E70CA4" w:rsidRDefault="00E70CA4" w:rsidP="00E70CA4">
      <w:pPr>
        <w:rPr>
          <w:rFonts w:ascii="Baskerville" w:hAnsi="Baskerville"/>
          <w:lang w:val="en-US"/>
        </w:rPr>
      </w:pPr>
    </w:p>
    <w:p w:rsidR="00B308B5" w:rsidRDefault="00E70CA4" w:rsidP="00E70CA4">
      <w:r>
        <w:rPr>
          <w:rFonts w:ascii="Baskerville" w:hAnsi="Baskerville"/>
          <w:lang w:val="en-US"/>
        </w:rPr>
        <w:t>Nevertheless</w:t>
      </w:r>
      <w:r w:rsidRPr="002F12D9">
        <w:rPr>
          <w:rFonts w:ascii="Baskerville" w:hAnsi="Baskerville"/>
          <w:lang w:val="en-US"/>
        </w:rPr>
        <w:t xml:space="preserve">, the precautionary principle has received no </w:t>
      </w:r>
      <w:r>
        <w:rPr>
          <w:rFonts w:ascii="Baskerville" w:hAnsi="Baskerville"/>
          <w:lang w:val="en-US"/>
        </w:rPr>
        <w:t xml:space="preserve">authoritative, workable </w:t>
      </w:r>
      <w:r w:rsidRPr="002F12D9">
        <w:rPr>
          <w:rFonts w:ascii="Baskerville" w:hAnsi="Baskerville"/>
          <w:lang w:val="en-US"/>
        </w:rPr>
        <w:t>definition</w:t>
      </w:r>
      <w:r>
        <w:rPr>
          <w:rFonts w:ascii="Baskerville" w:hAnsi="Baskerville"/>
          <w:lang w:val="en-US"/>
        </w:rPr>
        <w:t xml:space="preserve"> in international law</w:t>
      </w:r>
      <w:r w:rsidRPr="002F12D9">
        <w:rPr>
          <w:rFonts w:ascii="Baskerville" w:hAnsi="Baskerville"/>
          <w:lang w:val="en-US"/>
        </w:rPr>
        <w:t>.</w:t>
      </w:r>
      <w:r>
        <w:rPr>
          <w:rFonts w:ascii="Baskerville" w:hAnsi="Baskerville"/>
          <w:lang w:val="en-US"/>
        </w:rPr>
        <w:t xml:space="preserve"> In international discourse, ‘Canada defends the precautionary principle’.</w:t>
      </w:r>
      <w:r>
        <w:rPr>
          <w:rStyle w:val="FootnoteReference"/>
          <w:rFonts w:ascii="Baskerville" w:hAnsi="Baskerville"/>
          <w:lang w:val="en-US"/>
        </w:rPr>
        <w:footnoteReference w:id="5"/>
      </w:r>
      <w:r>
        <w:rPr>
          <w:rFonts w:ascii="Baskerville" w:hAnsi="Baskerville"/>
          <w:lang w:val="en-US"/>
        </w:rPr>
        <w:t xml:space="preserve"> </w:t>
      </w:r>
      <w:r w:rsidRPr="00FB3F26">
        <w:rPr>
          <w:rFonts w:ascii="Baskerville" w:hAnsi="Baskerville"/>
          <w:lang w:val="en-US"/>
        </w:rPr>
        <w:t xml:space="preserve">Although the Canadian Environmental Protection Act (CEPA) 1999 and the Rio Declaration 1992 </w:t>
      </w:r>
      <w:r>
        <w:rPr>
          <w:rFonts w:ascii="Baskerville" w:hAnsi="Baskerville"/>
          <w:lang w:val="en-US"/>
        </w:rPr>
        <w:t>feature</w:t>
      </w:r>
      <w:r w:rsidRPr="00FB3F26">
        <w:rPr>
          <w:rFonts w:ascii="Baskerville" w:hAnsi="Baskerville"/>
          <w:lang w:val="en-US"/>
        </w:rPr>
        <w:t xml:space="preserve"> definitions of the </w:t>
      </w:r>
      <w:r>
        <w:rPr>
          <w:rFonts w:ascii="Baskerville" w:hAnsi="Baskerville"/>
          <w:lang w:val="en-US"/>
        </w:rPr>
        <w:t>term</w:t>
      </w:r>
      <w:r>
        <w:rPr>
          <w:rFonts w:ascii="Baskerville" w:hAnsi="Baskerville"/>
          <w:lang w:val="en-US"/>
        </w:rPr>
        <w:t xml:space="preserve"> </w:t>
      </w:r>
      <w:bookmarkStart w:id="0" w:name="_GoBack"/>
      <w:bookmarkEnd w:id="0"/>
    </w:p>
    <w:sectPr w:rsidR="00B308B5" w:rsidSect="00013AF3">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0CA4" w:rsidRDefault="00E70CA4" w:rsidP="00E70CA4">
      <w:r>
        <w:separator/>
      </w:r>
    </w:p>
  </w:endnote>
  <w:endnote w:type="continuationSeparator" w:id="0">
    <w:p w:rsidR="00E70CA4" w:rsidRDefault="00E70CA4" w:rsidP="00E70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Baskerville">
    <w:panose1 w:val="02020502070401020303"/>
    <w:charset w:val="00"/>
    <w:family w:val="auto"/>
    <w:pitch w:val="variable"/>
    <w:sig w:usb0="80000067" w:usb1="0200000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0CA4" w:rsidRDefault="00E70CA4" w:rsidP="00E70CA4">
      <w:r>
        <w:separator/>
      </w:r>
    </w:p>
  </w:footnote>
  <w:footnote w:type="continuationSeparator" w:id="0">
    <w:p w:rsidR="00E70CA4" w:rsidRDefault="00E70CA4" w:rsidP="00E70CA4">
      <w:r>
        <w:continuationSeparator/>
      </w:r>
    </w:p>
  </w:footnote>
  <w:footnote w:id="1">
    <w:p w:rsidR="00E70CA4" w:rsidRPr="005E3F8C" w:rsidRDefault="00E70CA4" w:rsidP="00E70CA4">
      <w:pPr>
        <w:pStyle w:val="FootnoteText"/>
        <w:rPr>
          <w:rFonts w:ascii="Baskerville" w:hAnsi="Baskerville"/>
          <w:color w:val="FF0000"/>
          <w:sz w:val="20"/>
          <w:szCs w:val="20"/>
          <w:lang w:val="en-US"/>
        </w:rPr>
      </w:pPr>
      <w:r w:rsidRPr="005E3F8C">
        <w:rPr>
          <w:rStyle w:val="FootnoteReference"/>
          <w:rFonts w:ascii="Baskerville" w:hAnsi="Baskerville"/>
          <w:color w:val="FF0000"/>
          <w:sz w:val="20"/>
          <w:szCs w:val="20"/>
        </w:rPr>
        <w:footnoteRef/>
      </w:r>
      <w:r w:rsidRPr="005E3F8C">
        <w:rPr>
          <w:rFonts w:ascii="Baskerville" w:hAnsi="Baskerville"/>
          <w:color w:val="FF0000"/>
          <w:sz w:val="20"/>
          <w:szCs w:val="20"/>
        </w:rPr>
        <w:t xml:space="preserve"> European Commission, ‘Workshop on EU Legislation: Principles of EU Environmental Law’, </w:t>
      </w:r>
      <w:r w:rsidRPr="005E3F8C">
        <w:rPr>
          <w:rFonts w:ascii="Baskerville" w:hAnsi="Baskerville"/>
          <w:i/>
          <w:color w:val="FF0000"/>
          <w:sz w:val="20"/>
          <w:szCs w:val="20"/>
        </w:rPr>
        <w:t xml:space="preserve">European Commission &amp; European Environment Agency </w:t>
      </w:r>
      <w:r w:rsidRPr="005E3F8C">
        <w:rPr>
          <w:rFonts w:ascii="Baskerville" w:hAnsi="Baskerville"/>
          <w:color w:val="FF0000"/>
          <w:sz w:val="20"/>
          <w:szCs w:val="20"/>
        </w:rPr>
        <w:t>(2012), p 19.</w:t>
      </w:r>
    </w:p>
  </w:footnote>
  <w:footnote w:id="2">
    <w:p w:rsidR="00E70CA4" w:rsidRPr="00DD4A71" w:rsidRDefault="00E70CA4" w:rsidP="00E70CA4">
      <w:pPr>
        <w:pStyle w:val="FootnoteText"/>
        <w:rPr>
          <w:rFonts w:ascii="Baskerville" w:hAnsi="Baskerville"/>
          <w:color w:val="FF0000"/>
          <w:sz w:val="20"/>
          <w:szCs w:val="20"/>
          <w:lang w:val="en-US"/>
        </w:rPr>
      </w:pPr>
      <w:r w:rsidRPr="00DD4A71">
        <w:rPr>
          <w:rStyle w:val="FootnoteReference"/>
          <w:rFonts w:ascii="Baskerville" w:hAnsi="Baskerville"/>
          <w:color w:val="FF0000"/>
          <w:sz w:val="20"/>
          <w:szCs w:val="20"/>
        </w:rPr>
        <w:footnoteRef/>
      </w:r>
      <w:r w:rsidRPr="00DD4A71">
        <w:rPr>
          <w:rFonts w:ascii="Baskerville" w:hAnsi="Baskerville"/>
          <w:color w:val="FF0000"/>
          <w:sz w:val="20"/>
          <w:szCs w:val="20"/>
        </w:rPr>
        <w:t xml:space="preserve"> </w:t>
      </w:r>
      <w:r w:rsidRPr="00DD4A71">
        <w:rPr>
          <w:rFonts w:ascii="Baskerville" w:hAnsi="Baskerville"/>
          <w:color w:val="FF0000"/>
          <w:sz w:val="20"/>
          <w:szCs w:val="20"/>
          <w:lang w:val="en-US"/>
        </w:rPr>
        <w:t xml:space="preserve">Cheng, </w:t>
      </w:r>
      <w:r w:rsidRPr="00DD4A71">
        <w:rPr>
          <w:rFonts w:ascii="Baskerville" w:hAnsi="Baskerville"/>
          <w:i/>
          <w:iCs/>
          <w:color w:val="FF0000"/>
          <w:sz w:val="20"/>
          <w:szCs w:val="20"/>
          <w:lang w:val="en-US"/>
        </w:rPr>
        <w:t>United Nations Resolutions on Outer S</w:t>
      </w:r>
      <w:r>
        <w:rPr>
          <w:rFonts w:ascii="Baskerville" w:hAnsi="Baskerville"/>
          <w:i/>
          <w:iCs/>
          <w:color w:val="FF0000"/>
          <w:sz w:val="20"/>
          <w:szCs w:val="20"/>
          <w:lang w:val="en-US"/>
        </w:rPr>
        <w:t>p</w:t>
      </w:r>
      <w:r w:rsidRPr="00DD4A71">
        <w:rPr>
          <w:rFonts w:ascii="Baskerville" w:hAnsi="Baskerville"/>
          <w:i/>
          <w:iCs/>
          <w:color w:val="FF0000"/>
          <w:sz w:val="20"/>
          <w:szCs w:val="20"/>
          <w:lang w:val="en-US"/>
        </w:rPr>
        <w:t xml:space="preserve">ace: Instant International Customary Law, </w:t>
      </w:r>
      <w:r w:rsidRPr="00DD4A71">
        <w:rPr>
          <w:rFonts w:ascii="Baskerville" w:hAnsi="Baskerville"/>
          <w:color w:val="FF0000"/>
          <w:sz w:val="20"/>
          <w:szCs w:val="20"/>
          <w:lang w:val="en-US"/>
        </w:rPr>
        <w:t xml:space="preserve">5 INDIAN]. INT'L L. 23 (1965). Instant custom arises because international law is a horizontal legal system in which states are both the lawmakers and the subjects of the legal system. In such a system, there are no centralized legislative and judicial authorities creating and interpreting narrow rules. The system is voluntarily entered and law is voluntarily assumed by states, rather than imposed from above. </w:t>
      </w:r>
      <w:r w:rsidRPr="00DD4A71">
        <w:rPr>
          <w:rFonts w:ascii="Baskerville" w:hAnsi="Baskerville"/>
          <w:i/>
          <w:iCs/>
          <w:color w:val="FF0000"/>
          <w:sz w:val="20"/>
          <w:szCs w:val="20"/>
          <w:lang w:val="en-US"/>
        </w:rPr>
        <w:t xml:space="preserve">Opinio juris </w:t>
      </w:r>
      <w:proofErr w:type="spellStart"/>
      <w:r w:rsidRPr="00DD4A71">
        <w:rPr>
          <w:rFonts w:ascii="Baskerville" w:hAnsi="Baskerville"/>
          <w:i/>
          <w:iCs/>
          <w:color w:val="FF0000"/>
          <w:sz w:val="20"/>
          <w:szCs w:val="20"/>
          <w:lang w:val="en-US"/>
        </w:rPr>
        <w:t>generalis</w:t>
      </w:r>
      <w:proofErr w:type="spellEnd"/>
      <w:r w:rsidRPr="00DD4A71">
        <w:rPr>
          <w:rFonts w:ascii="Baskerville" w:hAnsi="Baskerville"/>
          <w:i/>
          <w:iCs/>
          <w:color w:val="FF0000"/>
          <w:sz w:val="20"/>
          <w:szCs w:val="20"/>
          <w:lang w:val="en-US"/>
        </w:rPr>
        <w:t xml:space="preserve"> </w:t>
      </w:r>
      <w:r w:rsidRPr="00DD4A71">
        <w:rPr>
          <w:rFonts w:ascii="Baskerville" w:hAnsi="Baskerville"/>
          <w:color w:val="FF0000"/>
          <w:sz w:val="20"/>
          <w:szCs w:val="20"/>
          <w:lang w:val="en-US"/>
        </w:rPr>
        <w:t xml:space="preserve">arises instantly when a sufficient number of states believe </w:t>
      </w:r>
      <w:proofErr w:type="gramStart"/>
      <w:r w:rsidRPr="00DD4A71">
        <w:rPr>
          <w:rFonts w:ascii="Baskerville" w:hAnsi="Baskerville"/>
          <w:color w:val="FF0000"/>
          <w:sz w:val="20"/>
          <w:szCs w:val="20"/>
          <w:lang w:val="en-US"/>
        </w:rPr>
        <w:t>they are bound by a law</w:t>
      </w:r>
      <w:proofErr w:type="gramEnd"/>
      <w:r w:rsidRPr="00DD4A71">
        <w:rPr>
          <w:rFonts w:ascii="Baskerville" w:hAnsi="Baskerville"/>
          <w:color w:val="FF0000"/>
          <w:sz w:val="20"/>
          <w:szCs w:val="20"/>
          <w:lang w:val="en-US"/>
        </w:rPr>
        <w:t xml:space="preserve">. Cheng, </w:t>
      </w:r>
      <w:r w:rsidRPr="00DD4A71">
        <w:rPr>
          <w:rFonts w:ascii="Baskerville" w:hAnsi="Baskerville"/>
          <w:i/>
          <w:iCs/>
          <w:color w:val="FF0000"/>
          <w:sz w:val="20"/>
          <w:szCs w:val="20"/>
          <w:lang w:val="en-US"/>
        </w:rPr>
        <w:t xml:space="preserve">Custom: The Future of General State Practice in a Divided World, </w:t>
      </w:r>
      <w:r w:rsidRPr="00DD4A71">
        <w:rPr>
          <w:rFonts w:ascii="Baskerville" w:hAnsi="Baskerville"/>
          <w:color w:val="FF0000"/>
          <w:sz w:val="20"/>
          <w:szCs w:val="20"/>
          <w:lang w:val="en-US"/>
        </w:rPr>
        <w:t xml:space="preserve">in JOHNSTON &amp; MACDONALD, THE STRUCTURE AND PROCESS OF INTERNATIONAL LAW 513 (1983). </w:t>
      </w:r>
      <w:r w:rsidRPr="00DD4A71">
        <w:rPr>
          <w:rFonts w:ascii="Baskerville" w:hAnsi="Baskerville"/>
          <w:i/>
          <w:iCs/>
          <w:color w:val="FF0000"/>
          <w:sz w:val="20"/>
          <w:szCs w:val="20"/>
          <w:lang w:val="en-US"/>
        </w:rPr>
        <w:t xml:space="preserve">See also </w:t>
      </w:r>
      <w:r w:rsidRPr="00DD4A71">
        <w:rPr>
          <w:rFonts w:ascii="Baskerville" w:hAnsi="Baskerville"/>
          <w:color w:val="FF0000"/>
          <w:sz w:val="20"/>
          <w:szCs w:val="20"/>
          <w:lang w:val="en-US"/>
        </w:rPr>
        <w:t xml:space="preserve">Kunz, </w:t>
      </w:r>
      <w:r w:rsidRPr="00DD4A71">
        <w:rPr>
          <w:rFonts w:ascii="Baskerville" w:hAnsi="Baskerville"/>
          <w:i/>
          <w:iCs/>
          <w:color w:val="FF0000"/>
          <w:sz w:val="20"/>
          <w:szCs w:val="20"/>
          <w:lang w:val="en-US"/>
        </w:rPr>
        <w:t xml:space="preserve">The Nature of Customary International Law, </w:t>
      </w:r>
      <w:r w:rsidRPr="00DD4A71">
        <w:rPr>
          <w:rFonts w:ascii="Baskerville" w:hAnsi="Baskerville"/>
          <w:color w:val="FF0000"/>
          <w:sz w:val="20"/>
          <w:szCs w:val="20"/>
          <w:lang w:val="en-US"/>
        </w:rPr>
        <w:t xml:space="preserve">47 AMERICAN]' INT'L L. 662, 666 (1953); </w:t>
      </w:r>
      <w:proofErr w:type="spellStart"/>
      <w:r w:rsidRPr="00DD4A71">
        <w:rPr>
          <w:rFonts w:ascii="Baskerville" w:hAnsi="Baskerville"/>
          <w:color w:val="FF0000"/>
          <w:sz w:val="20"/>
          <w:szCs w:val="20"/>
          <w:lang w:val="en-US"/>
        </w:rPr>
        <w:t>Tunkin</w:t>
      </w:r>
      <w:proofErr w:type="spellEnd"/>
      <w:r w:rsidRPr="00DD4A71">
        <w:rPr>
          <w:rFonts w:ascii="Baskerville" w:hAnsi="Baskerville"/>
          <w:color w:val="FF0000"/>
          <w:sz w:val="20"/>
          <w:szCs w:val="20"/>
          <w:lang w:val="en-US"/>
        </w:rPr>
        <w:t xml:space="preserve">, </w:t>
      </w:r>
      <w:r w:rsidRPr="00DD4A71">
        <w:rPr>
          <w:rFonts w:ascii="Baskerville" w:hAnsi="Baskerville"/>
          <w:i/>
          <w:iCs/>
          <w:color w:val="FF0000"/>
          <w:sz w:val="20"/>
          <w:szCs w:val="20"/>
          <w:lang w:val="en-US"/>
        </w:rPr>
        <w:t xml:space="preserve">Remarks on the Juridical Nature of Customary Norms of International Law, </w:t>
      </w:r>
      <w:r w:rsidRPr="00DD4A71">
        <w:rPr>
          <w:rFonts w:ascii="Baskerville" w:hAnsi="Baskerville"/>
          <w:color w:val="FF0000"/>
          <w:sz w:val="20"/>
          <w:szCs w:val="20"/>
          <w:lang w:val="en-US"/>
        </w:rPr>
        <w:t xml:space="preserve">49 CALIF. L. REV. 419 (1961) (length of time of state practice is not determinative of whether a rule exists). </w:t>
      </w:r>
    </w:p>
  </w:footnote>
  <w:footnote w:id="3">
    <w:p w:rsidR="00E70CA4" w:rsidRPr="0078602F" w:rsidRDefault="00E70CA4" w:rsidP="00E70CA4">
      <w:pPr>
        <w:pStyle w:val="FootnoteText"/>
        <w:rPr>
          <w:rFonts w:ascii="Baskerville" w:hAnsi="Baskerville"/>
          <w:sz w:val="20"/>
          <w:szCs w:val="20"/>
          <w:lang w:val="en-US"/>
        </w:rPr>
      </w:pPr>
      <w:r w:rsidRPr="0078602F">
        <w:rPr>
          <w:rStyle w:val="FootnoteReference"/>
          <w:rFonts w:ascii="Baskerville" w:hAnsi="Baskerville"/>
          <w:sz w:val="20"/>
          <w:szCs w:val="20"/>
        </w:rPr>
        <w:footnoteRef/>
      </w:r>
      <w:r w:rsidRPr="0078602F">
        <w:rPr>
          <w:rFonts w:ascii="Baskerville" w:hAnsi="Baskerville"/>
          <w:sz w:val="20"/>
          <w:szCs w:val="20"/>
        </w:rPr>
        <w:t xml:space="preserve"> </w:t>
      </w:r>
      <w:proofErr w:type="gramStart"/>
      <w:r w:rsidRPr="0078602F">
        <w:rPr>
          <w:rFonts w:ascii="Baskerville" w:hAnsi="Baskerville"/>
          <w:sz w:val="20"/>
          <w:szCs w:val="20"/>
          <w:lang w:val="en-US"/>
        </w:rPr>
        <w:t>United Nations Convention on the Law of the Sea, U.N. Doc. AlCONF.</w:t>
      </w:r>
      <w:proofErr w:type="gramEnd"/>
      <w:r w:rsidRPr="0078602F">
        <w:rPr>
          <w:rFonts w:ascii="Baskerville" w:hAnsi="Baskerville"/>
          <w:sz w:val="20"/>
          <w:szCs w:val="20"/>
          <w:lang w:val="en-US"/>
        </w:rPr>
        <w:t xml:space="preserve"> </w:t>
      </w:r>
      <w:proofErr w:type="gramStart"/>
      <w:r w:rsidRPr="0078602F">
        <w:rPr>
          <w:rFonts w:ascii="Baskerville" w:hAnsi="Baskerville"/>
          <w:i/>
          <w:iCs/>
          <w:sz w:val="20"/>
          <w:szCs w:val="20"/>
          <w:lang w:val="en-US"/>
        </w:rPr>
        <w:t xml:space="preserve">62/122 </w:t>
      </w:r>
      <w:r w:rsidRPr="0078602F">
        <w:rPr>
          <w:rFonts w:ascii="Baskerville" w:hAnsi="Baskerville"/>
          <w:sz w:val="20"/>
          <w:szCs w:val="20"/>
          <w:lang w:val="en-US"/>
        </w:rPr>
        <w:t xml:space="preserve">(1982), 21 </w:t>
      </w:r>
      <w:r>
        <w:rPr>
          <w:rFonts w:ascii="Baskerville" w:hAnsi="Baskerville"/>
          <w:sz w:val="20"/>
          <w:szCs w:val="20"/>
          <w:lang w:val="en-US"/>
        </w:rPr>
        <w:t xml:space="preserve">ILM </w:t>
      </w:r>
      <w:r w:rsidRPr="0078602F">
        <w:rPr>
          <w:rFonts w:ascii="Baskerville" w:hAnsi="Baskerville"/>
          <w:sz w:val="20"/>
          <w:szCs w:val="20"/>
          <w:lang w:val="en-US"/>
        </w:rPr>
        <w:t>1261 (1982).</w:t>
      </w:r>
      <w:proofErr w:type="gramEnd"/>
      <w:r w:rsidRPr="0078602F">
        <w:rPr>
          <w:rFonts w:ascii="Baskerville" w:hAnsi="Baskerville"/>
          <w:sz w:val="20"/>
          <w:szCs w:val="20"/>
          <w:lang w:val="en-US"/>
        </w:rPr>
        <w:t xml:space="preserve"> </w:t>
      </w:r>
    </w:p>
  </w:footnote>
  <w:footnote w:id="4">
    <w:p w:rsidR="00E70CA4" w:rsidRPr="00FC67B7" w:rsidRDefault="00E70CA4" w:rsidP="00E70CA4">
      <w:pPr>
        <w:pStyle w:val="FootnoteText"/>
        <w:rPr>
          <w:rFonts w:ascii="Baskerville" w:hAnsi="Baskerville"/>
          <w:color w:val="FF0000"/>
          <w:sz w:val="20"/>
          <w:szCs w:val="20"/>
          <w:lang w:val="en-US"/>
        </w:rPr>
      </w:pPr>
      <w:r w:rsidRPr="00FC67B7">
        <w:rPr>
          <w:rStyle w:val="FootnoteReference"/>
          <w:rFonts w:ascii="Baskerville" w:hAnsi="Baskerville"/>
          <w:color w:val="FF0000"/>
          <w:sz w:val="20"/>
          <w:szCs w:val="20"/>
        </w:rPr>
        <w:footnoteRef/>
      </w:r>
      <w:r w:rsidRPr="00FC67B7">
        <w:rPr>
          <w:rFonts w:ascii="Baskerville" w:hAnsi="Baskerville"/>
          <w:color w:val="FF0000"/>
          <w:sz w:val="20"/>
          <w:szCs w:val="20"/>
        </w:rPr>
        <w:t xml:space="preserve"> </w:t>
      </w:r>
      <w:r w:rsidRPr="00FC67B7">
        <w:rPr>
          <w:rFonts w:ascii="Baskerville" w:hAnsi="Baskerville"/>
          <w:color w:val="FF0000"/>
          <w:sz w:val="20"/>
          <w:szCs w:val="20"/>
          <w:lang w:val="en-US"/>
        </w:rPr>
        <w:t xml:space="preserve">Conference on “Action for a Common Future” Bergen, Norway, May 8-16, 1990. The Government of Norway, in cooperation with the United Nations Economic Commission for Europe (ECE), organised the Bergen Conference as part of the follow-up to the report of the World Commission on Environment and Development, and as part of the preparations for the 1992 United Nations Conference on Environment and Development. </w:t>
      </w:r>
      <w:proofErr w:type="gramStart"/>
      <w:r w:rsidRPr="00FC67B7">
        <w:rPr>
          <w:rFonts w:ascii="Baskerville" w:hAnsi="Baskerville"/>
          <w:i/>
          <w:iCs/>
          <w:color w:val="FF0000"/>
          <w:sz w:val="20"/>
          <w:szCs w:val="20"/>
          <w:lang w:val="en-US"/>
        </w:rPr>
        <w:t>Bergen Conference, Bergen Ministerial Declaration on Sustainable Development in the ECE Region</w:t>
      </w:r>
      <w:r>
        <w:rPr>
          <w:rFonts w:ascii="Baskerville" w:hAnsi="Baskerville"/>
          <w:i/>
          <w:iCs/>
          <w:color w:val="FF0000"/>
          <w:sz w:val="20"/>
          <w:szCs w:val="20"/>
          <w:lang w:val="en-US"/>
        </w:rPr>
        <w:t xml:space="preserve"> </w:t>
      </w:r>
      <w:r w:rsidRPr="00FC67B7">
        <w:rPr>
          <w:rFonts w:ascii="Baskerville" w:hAnsi="Baskerville"/>
          <w:color w:val="FF0000"/>
          <w:sz w:val="20"/>
          <w:szCs w:val="20"/>
          <w:lang w:val="en-US"/>
        </w:rPr>
        <w:t>(</w:t>
      </w:r>
      <w:r>
        <w:rPr>
          <w:rFonts w:ascii="Baskerville" w:hAnsi="Baskerville"/>
          <w:color w:val="FF0000"/>
          <w:sz w:val="20"/>
          <w:szCs w:val="20"/>
          <w:lang w:val="en-US"/>
        </w:rPr>
        <w:t>16</w:t>
      </w:r>
      <w:r>
        <w:rPr>
          <w:rFonts w:ascii="Baskerville" w:hAnsi="Baskerville"/>
          <w:color w:val="FF0000"/>
          <w:sz w:val="20"/>
          <w:szCs w:val="20"/>
          <w:vertAlign w:val="superscript"/>
          <w:lang w:val="en-US"/>
        </w:rPr>
        <w:t xml:space="preserve"> </w:t>
      </w:r>
      <w:r>
        <w:rPr>
          <w:rFonts w:ascii="Baskerville" w:hAnsi="Baskerville"/>
          <w:color w:val="FF0000"/>
          <w:sz w:val="20"/>
          <w:szCs w:val="20"/>
          <w:lang w:val="en-US"/>
        </w:rPr>
        <w:t xml:space="preserve">May </w:t>
      </w:r>
      <w:r w:rsidRPr="00FC67B7">
        <w:rPr>
          <w:rFonts w:ascii="Baskerville" w:hAnsi="Baskerville"/>
          <w:color w:val="FF0000"/>
          <w:sz w:val="20"/>
          <w:szCs w:val="20"/>
          <w:lang w:val="en-US"/>
        </w:rPr>
        <w:t>1990)</w:t>
      </w:r>
      <w:r w:rsidRPr="00FC67B7">
        <w:rPr>
          <w:rFonts w:ascii="Baskerville" w:hAnsi="Baskerville"/>
          <w:i/>
          <w:iCs/>
          <w:color w:val="FF0000"/>
          <w:sz w:val="20"/>
          <w:szCs w:val="20"/>
          <w:lang w:val="en-US"/>
        </w:rPr>
        <w:t xml:space="preserve">, </w:t>
      </w:r>
      <w:r w:rsidRPr="00FC67B7">
        <w:rPr>
          <w:rFonts w:ascii="Baskerville" w:hAnsi="Baskerville"/>
          <w:color w:val="FF0000"/>
          <w:sz w:val="20"/>
          <w:szCs w:val="20"/>
          <w:lang w:val="en-US"/>
        </w:rPr>
        <w:t>at Art.</w:t>
      </w:r>
      <w:proofErr w:type="gramEnd"/>
      <w:r w:rsidRPr="00FC67B7">
        <w:rPr>
          <w:rFonts w:ascii="Baskerville" w:hAnsi="Baskerville"/>
          <w:color w:val="FF0000"/>
          <w:sz w:val="20"/>
          <w:szCs w:val="20"/>
          <w:lang w:val="en-US"/>
        </w:rPr>
        <w:t xml:space="preserve"> 7. Environment ministers and officials from thirty-four ECE countries attended the Bergen Conference. </w:t>
      </w:r>
    </w:p>
  </w:footnote>
  <w:footnote w:id="5">
    <w:p w:rsidR="00E70CA4" w:rsidRPr="00863BA0" w:rsidRDefault="00E70CA4" w:rsidP="00E70CA4">
      <w:pPr>
        <w:pStyle w:val="FootnoteText"/>
        <w:rPr>
          <w:rFonts w:ascii="Baskerville" w:hAnsi="Baskerville"/>
          <w:sz w:val="20"/>
          <w:szCs w:val="20"/>
          <w:lang w:val="en-US"/>
        </w:rPr>
      </w:pPr>
      <w:r w:rsidRPr="00863BA0">
        <w:rPr>
          <w:rStyle w:val="FootnoteReference"/>
          <w:rFonts w:ascii="Baskerville" w:hAnsi="Baskerville"/>
          <w:sz w:val="20"/>
          <w:szCs w:val="20"/>
        </w:rPr>
        <w:footnoteRef/>
      </w:r>
      <w:r w:rsidRPr="00863BA0">
        <w:rPr>
          <w:rFonts w:ascii="Baskerville" w:hAnsi="Baskerville"/>
          <w:sz w:val="20"/>
          <w:szCs w:val="20"/>
        </w:rPr>
        <w:t xml:space="preserve"> </w:t>
      </w:r>
      <w:r>
        <w:rPr>
          <w:rFonts w:ascii="Baskerville" w:hAnsi="Baskerville"/>
          <w:sz w:val="20"/>
          <w:szCs w:val="20"/>
        </w:rPr>
        <w:t xml:space="preserve">J. </w:t>
      </w:r>
      <w:proofErr w:type="spellStart"/>
      <w:r>
        <w:rPr>
          <w:rFonts w:ascii="Baskerville" w:hAnsi="Baskerville"/>
          <w:sz w:val="20"/>
          <w:szCs w:val="20"/>
        </w:rPr>
        <w:t>Abouchar</w:t>
      </w:r>
      <w:proofErr w:type="spellEnd"/>
      <w:r>
        <w:rPr>
          <w:rFonts w:ascii="Baskerville" w:hAnsi="Baskerville"/>
          <w:sz w:val="20"/>
          <w:szCs w:val="20"/>
        </w:rPr>
        <w:t xml:space="preserve"> &amp; J. Cameron, ‘</w:t>
      </w:r>
      <w:r w:rsidRPr="00277796">
        <w:rPr>
          <w:rFonts w:ascii="Baskerville" w:hAnsi="Baskerville"/>
          <w:sz w:val="20"/>
          <w:szCs w:val="20"/>
          <w:lang w:val="en-US"/>
        </w:rPr>
        <w:t>The Precautionary Principle: A Fundamental Principle of Law and Policy for the Protection of the Global Environment</w:t>
      </w:r>
      <w:r>
        <w:rPr>
          <w:rFonts w:ascii="Baskerville" w:hAnsi="Baskerville"/>
          <w:sz w:val="20"/>
          <w:szCs w:val="20"/>
          <w:lang w:val="en-US"/>
        </w:rPr>
        <w:t xml:space="preserve">’, </w:t>
      </w:r>
      <w:r w:rsidRPr="00277796">
        <w:rPr>
          <w:rFonts w:ascii="Baskerville" w:hAnsi="Baskerville"/>
          <w:i/>
          <w:sz w:val="20"/>
          <w:szCs w:val="20"/>
          <w:lang w:val="en-US"/>
        </w:rPr>
        <w:t>Boston College International and Comparative Law Review</w:t>
      </w:r>
      <w:r w:rsidRPr="00277796">
        <w:rPr>
          <w:rFonts w:ascii="Baskerville" w:hAnsi="Baskerville"/>
          <w:sz w:val="20"/>
          <w:szCs w:val="20"/>
          <w:lang w:val="en-US"/>
        </w:rPr>
        <w:t xml:space="preserve"> </w:t>
      </w:r>
      <w:r>
        <w:rPr>
          <w:rFonts w:ascii="Baskerville" w:hAnsi="Baskerville"/>
          <w:sz w:val="20"/>
          <w:szCs w:val="20"/>
          <w:lang w:val="en-US"/>
        </w:rPr>
        <w:t>(1991) 14(1)</w:t>
      </w:r>
      <w:r>
        <w:rPr>
          <w:rFonts w:ascii="Baskerville" w:hAnsi="Baskerville"/>
          <w:sz w:val="20"/>
          <w:szCs w:val="20"/>
        </w:rPr>
        <w:t>, p 10.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CA4"/>
    <w:rsid w:val="00013AF3"/>
    <w:rsid w:val="00B308B5"/>
    <w:rsid w:val="00E70CA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34859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C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70CA4"/>
  </w:style>
  <w:style w:type="character" w:customStyle="1" w:styleId="FootnoteTextChar">
    <w:name w:val="Footnote Text Char"/>
    <w:basedOn w:val="DefaultParagraphFont"/>
    <w:link w:val="FootnoteText"/>
    <w:uiPriority w:val="99"/>
    <w:rsid w:val="00E70CA4"/>
  </w:style>
  <w:style w:type="character" w:styleId="FootnoteReference">
    <w:name w:val="footnote reference"/>
    <w:basedOn w:val="DefaultParagraphFont"/>
    <w:uiPriority w:val="99"/>
    <w:unhideWhenUsed/>
    <w:rsid w:val="00E70CA4"/>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C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70CA4"/>
  </w:style>
  <w:style w:type="character" w:customStyle="1" w:styleId="FootnoteTextChar">
    <w:name w:val="Footnote Text Char"/>
    <w:basedOn w:val="DefaultParagraphFont"/>
    <w:link w:val="FootnoteText"/>
    <w:uiPriority w:val="99"/>
    <w:rsid w:val="00E70CA4"/>
  </w:style>
  <w:style w:type="character" w:styleId="FootnoteReference">
    <w:name w:val="footnote reference"/>
    <w:basedOn w:val="DefaultParagraphFont"/>
    <w:uiPriority w:val="99"/>
    <w:unhideWhenUsed/>
    <w:rsid w:val="00E70CA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269</Words>
  <Characters>1535</Characters>
  <Application>Microsoft Macintosh Word</Application>
  <DocSecurity>0</DocSecurity>
  <Lines>12</Lines>
  <Paragraphs>3</Paragraphs>
  <ScaleCrop>false</ScaleCrop>
  <Company/>
  <LinksUpToDate>false</LinksUpToDate>
  <CharactersWithSpaces>1801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1</cp:revision>
  <dcterms:created xsi:type="dcterms:W3CDTF">2017-08-03T08:45:00Z</dcterms:created>
  <dcterms:modified xsi:type="dcterms:W3CDTF">2017-08-03T08:46:00Z</dcterms:modified>
</cp:coreProperties>
</file>