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A63D93D" w14:textId="77777777" w:rsidR="00F604ED" w:rsidRPr="00F604ED" w:rsidRDefault="00F604ED" w:rsidP="00F604ED">
      <w:pPr>
        <w:jc w:val="center"/>
        <w:rPr>
          <w:b/>
          <w:sz w:val="28"/>
        </w:rPr>
      </w:pPr>
      <w:r w:rsidRPr="00F604ED">
        <w:rPr>
          <w:b/>
          <w:sz w:val="28"/>
        </w:rPr>
        <w:t>Environmental Law</w:t>
      </w:r>
    </w:p>
    <w:p w14:paraId="3391B627" w14:textId="77777777" w:rsidR="00DD1C0D" w:rsidRPr="00F604ED" w:rsidRDefault="00F604ED" w:rsidP="00F604ED">
      <w:pPr>
        <w:jc w:val="center"/>
        <w:rPr>
          <w:b/>
        </w:rPr>
      </w:pPr>
      <w:r w:rsidRPr="00F604ED">
        <w:rPr>
          <w:b/>
        </w:rPr>
        <w:t>Seminar 2</w:t>
      </w:r>
      <w:r>
        <w:rPr>
          <w:b/>
        </w:rPr>
        <w:t xml:space="preserve"> </w:t>
      </w:r>
      <w:r w:rsidRPr="00F604ED">
        <w:rPr>
          <w:b/>
        </w:rPr>
        <w:t>notes</w:t>
      </w:r>
    </w:p>
    <w:p w14:paraId="7805CA76" w14:textId="77777777" w:rsidR="00F604ED" w:rsidRDefault="00F604ED" w:rsidP="00F604ED"/>
    <w:p w14:paraId="1134F7F9" w14:textId="77777777" w:rsidR="00F604ED" w:rsidRDefault="00F604ED" w:rsidP="00F604ED"/>
    <w:p w14:paraId="3819BC89" w14:textId="77777777" w:rsidR="00F604ED" w:rsidRPr="00F604ED" w:rsidRDefault="00F604ED" w:rsidP="00F604ED">
      <w:pPr>
        <w:rPr>
          <w:b/>
        </w:rPr>
      </w:pPr>
      <w:proofErr w:type="spellStart"/>
      <w:r w:rsidRPr="00F604ED">
        <w:rPr>
          <w:b/>
        </w:rPr>
        <w:t>Ebbesson</w:t>
      </w:r>
      <w:proofErr w:type="spellEnd"/>
      <w:r w:rsidRPr="00F604ED">
        <w:rPr>
          <w:b/>
        </w:rPr>
        <w:t>. The rule of law in governance of complex socio-ecological changes</w:t>
      </w:r>
    </w:p>
    <w:p w14:paraId="4E62ACA2" w14:textId="77777777" w:rsidR="00F604ED" w:rsidRDefault="00F604ED" w:rsidP="00F604ED"/>
    <w:p w14:paraId="3A85AD07" w14:textId="77777777" w:rsidR="00F604ED" w:rsidRDefault="00F604ED" w:rsidP="00F604ED">
      <w:r>
        <w:tab/>
        <w:t xml:space="preserve">Despite the many different environmental regulations that have been developed they have </w:t>
      </w:r>
      <w:r>
        <w:tab/>
        <w:t xml:space="preserve">failed to provide adequate protection for the environment. </w:t>
      </w:r>
    </w:p>
    <w:p w14:paraId="354BA7C8" w14:textId="77777777" w:rsidR="00F90B11" w:rsidRDefault="00750AB8" w:rsidP="00F604ED">
      <w:r>
        <w:tab/>
      </w:r>
    </w:p>
    <w:p w14:paraId="32706D03" w14:textId="77777777" w:rsidR="00750AB8" w:rsidRDefault="00F90B11" w:rsidP="00F604ED">
      <w:r>
        <w:tab/>
        <w:t>The article identifies some</w:t>
      </w:r>
      <w:r w:rsidR="00750AB8">
        <w:t xml:space="preserve"> factors and conditions </w:t>
      </w:r>
      <w:r>
        <w:t>that are relevant to governing socio-</w:t>
      </w:r>
      <w:r>
        <w:tab/>
        <w:t>ecological systems and common pool resources:</w:t>
      </w:r>
    </w:p>
    <w:p w14:paraId="1E12DF43" w14:textId="77777777" w:rsidR="00F90B11" w:rsidRDefault="00F90B11" w:rsidP="00F90B11">
      <w:pPr>
        <w:pStyle w:val="ListParagraph"/>
        <w:numPr>
          <w:ilvl w:val="0"/>
          <w:numId w:val="1"/>
        </w:numPr>
      </w:pPr>
      <w:r w:rsidRPr="00F90B11">
        <w:rPr>
          <w:i/>
        </w:rPr>
        <w:t>Flexibility</w:t>
      </w:r>
      <w:r>
        <w:t xml:space="preserve"> in social systems and institutions to deal with changes.</w:t>
      </w:r>
    </w:p>
    <w:p w14:paraId="550BD8A4" w14:textId="77777777" w:rsidR="00F90B11" w:rsidRDefault="00F90B11" w:rsidP="00F90B11">
      <w:pPr>
        <w:pStyle w:val="ListParagraph"/>
        <w:numPr>
          <w:ilvl w:val="0"/>
          <w:numId w:val="1"/>
        </w:numPr>
      </w:pPr>
      <w:r w:rsidRPr="00F90B11">
        <w:rPr>
          <w:i/>
        </w:rPr>
        <w:t>Openness</w:t>
      </w:r>
      <w:r>
        <w:t xml:space="preserve"> of institutions so as to provide for </w:t>
      </w:r>
      <w:r w:rsidRPr="00F90B11">
        <w:rPr>
          <w:i/>
        </w:rPr>
        <w:t>broad participation</w:t>
      </w:r>
      <w:r>
        <w:t>, not least in local decision-making and administration</w:t>
      </w:r>
    </w:p>
    <w:p w14:paraId="4282FA79" w14:textId="77777777" w:rsidR="00F90B11" w:rsidRDefault="00F90B11" w:rsidP="00F90B11">
      <w:pPr>
        <w:pStyle w:val="ListParagraph"/>
        <w:numPr>
          <w:ilvl w:val="0"/>
          <w:numId w:val="1"/>
        </w:numPr>
      </w:pPr>
      <w:r>
        <w:t xml:space="preserve">Effectiveness of </w:t>
      </w:r>
      <w:r w:rsidRPr="00F90B11">
        <w:rPr>
          <w:i/>
        </w:rPr>
        <w:t>multilevel governance</w:t>
      </w:r>
      <w:r>
        <w:t>.</w:t>
      </w:r>
    </w:p>
    <w:p w14:paraId="35CFC734" w14:textId="77777777" w:rsidR="00F90B11" w:rsidRDefault="00F90B11" w:rsidP="00F90B11">
      <w:pPr>
        <w:pStyle w:val="ListParagraph"/>
        <w:numPr>
          <w:ilvl w:val="0"/>
          <w:numId w:val="1"/>
        </w:numPr>
      </w:pPr>
      <w:r>
        <w:t xml:space="preserve">Social structures that promote </w:t>
      </w:r>
      <w:r w:rsidRPr="00F90B11">
        <w:rPr>
          <w:i/>
        </w:rPr>
        <w:t>learning and adaptability</w:t>
      </w:r>
      <w:r>
        <w:t xml:space="preserve"> without limiting the options for future development.</w:t>
      </w:r>
    </w:p>
    <w:p w14:paraId="7F19E829" w14:textId="77777777" w:rsidR="00F90B11" w:rsidRDefault="00F90B11" w:rsidP="00F90B11">
      <w:r>
        <w:tab/>
        <w:t xml:space="preserve">These factors raise some very interesting legal questions. Namely whether notions of ‘rule of </w:t>
      </w:r>
      <w:r w:rsidR="002000EB">
        <w:tab/>
      </w:r>
      <w:r>
        <w:t>law’ and legal certainty are at all compatible with the obje</w:t>
      </w:r>
      <w:r w:rsidR="002000EB">
        <w:t xml:space="preserve">ctives of promoting sustainable </w:t>
      </w:r>
      <w:r w:rsidR="002000EB">
        <w:tab/>
      </w:r>
      <w:r>
        <w:t xml:space="preserve">utilisation of natural resources. Further to this does legal certainty imply a too rigid approach </w:t>
      </w:r>
      <w:r w:rsidR="002000EB">
        <w:tab/>
      </w:r>
      <w:r>
        <w:t>to cope with uncertainties and complexities?</w:t>
      </w:r>
    </w:p>
    <w:p w14:paraId="1FEC57AB" w14:textId="77777777" w:rsidR="002000EB" w:rsidRDefault="002000EB" w:rsidP="00F90B11"/>
    <w:p w14:paraId="48EC0ED1" w14:textId="77777777" w:rsidR="002000EB" w:rsidRPr="002000EB" w:rsidRDefault="002000EB" w:rsidP="00F90B11">
      <w:pPr>
        <w:rPr>
          <w:b/>
        </w:rPr>
      </w:pPr>
      <w:r w:rsidRPr="002000EB">
        <w:rPr>
          <w:b/>
        </w:rPr>
        <w:t>The rule of law: legal certainty vs. flexibility</w:t>
      </w:r>
    </w:p>
    <w:p w14:paraId="23013DA5" w14:textId="77777777" w:rsidR="002000EB" w:rsidRDefault="002000EB" w:rsidP="00F90B11"/>
    <w:p w14:paraId="01A6B4FE" w14:textId="77777777" w:rsidR="00D97BAC" w:rsidRDefault="00D97BAC" w:rsidP="00F90B11">
      <w:r>
        <w:tab/>
        <w:t>It doesn’t appear that d</w:t>
      </w:r>
      <w:r w:rsidR="002000EB">
        <w:t>ealing with complex and unexpected changes and</w:t>
      </w:r>
      <w:r>
        <w:t xml:space="preserve"> ensuring flexibility </w:t>
      </w:r>
      <w:r>
        <w:tab/>
        <w:t xml:space="preserve">does not </w:t>
      </w:r>
      <w:r w:rsidR="002000EB">
        <w:t>seem to sit well with the notion of the rule of law and the inflexi</w:t>
      </w:r>
      <w:r>
        <w:t xml:space="preserve">bility implied by </w:t>
      </w:r>
      <w:r>
        <w:tab/>
        <w:t xml:space="preserve">requirements </w:t>
      </w:r>
      <w:r w:rsidR="002000EB">
        <w:t>of legal certainty.</w:t>
      </w:r>
      <w:r w:rsidR="00BB73C7">
        <w:t xml:space="preserve"> </w:t>
      </w:r>
    </w:p>
    <w:p w14:paraId="737A23C6" w14:textId="77777777" w:rsidR="00D97BAC" w:rsidRDefault="00D97BAC" w:rsidP="00F90B11"/>
    <w:p w14:paraId="2FBB6947" w14:textId="77777777" w:rsidR="00D97BAC" w:rsidRDefault="00D97BAC" w:rsidP="00F90B11">
      <w:r>
        <w:tab/>
      </w:r>
      <w:r w:rsidR="00BB73C7">
        <w:t>Despite what would appear to be a contradicti</w:t>
      </w:r>
      <w:r>
        <w:t xml:space="preserve">on between the </w:t>
      </w:r>
      <w:r>
        <w:tab/>
        <w:t xml:space="preserve">rule of law and </w:t>
      </w:r>
      <w:r w:rsidR="00BB73C7">
        <w:t xml:space="preserve">what is seen as </w:t>
      </w:r>
      <w:r>
        <w:tab/>
      </w:r>
      <w:r w:rsidR="00BB73C7">
        <w:t>important whe</w:t>
      </w:r>
      <w:r w:rsidR="000B6DD0">
        <w:t>n</w:t>
      </w:r>
      <w:r w:rsidR="00BB73C7">
        <w:t xml:space="preserve"> dealing with environmental proble</w:t>
      </w:r>
      <w:r w:rsidR="000B6DD0">
        <w:t xml:space="preserve">ms the </w:t>
      </w:r>
      <w:r>
        <w:t xml:space="preserve">article points out </w:t>
      </w:r>
      <w:r w:rsidR="000B6DD0">
        <w:t xml:space="preserve">that </w:t>
      </w:r>
      <w:r w:rsidR="00BB73C7">
        <w:t xml:space="preserve">despite have </w:t>
      </w:r>
      <w:r>
        <w:tab/>
      </w:r>
      <w:r w:rsidR="00BB73C7">
        <w:t>the rule of la</w:t>
      </w:r>
      <w:r w:rsidR="000B6DD0">
        <w:t xml:space="preserve">w there </w:t>
      </w:r>
      <w:r w:rsidR="00BB73C7">
        <w:t xml:space="preserve">a level of compromise between </w:t>
      </w:r>
      <w:r>
        <w:t xml:space="preserve">the desire for legal </w:t>
      </w:r>
      <w:r w:rsidR="000B6DD0">
        <w:t xml:space="preserve">certainty and the need </w:t>
      </w:r>
      <w:r>
        <w:tab/>
      </w:r>
      <w:r w:rsidR="000B6DD0">
        <w:t xml:space="preserve">to leave open for later settlement by an informed, official </w:t>
      </w:r>
      <w:r>
        <w:t xml:space="preserve">choice which </w:t>
      </w:r>
      <w:r w:rsidR="000B6DD0">
        <w:t xml:space="preserve">is always present in the </w:t>
      </w:r>
      <w:r>
        <w:tab/>
      </w:r>
      <w:r w:rsidR="000B6DD0">
        <w:t>application of law.</w:t>
      </w:r>
    </w:p>
    <w:p w14:paraId="43C2A208" w14:textId="77777777" w:rsidR="00D97BAC" w:rsidRDefault="000B6DD0" w:rsidP="00F90B11">
      <w:r>
        <w:t xml:space="preserve"> </w:t>
      </w:r>
    </w:p>
    <w:p w14:paraId="1CCEF38F" w14:textId="77777777" w:rsidR="000B6DD0" w:rsidRDefault="00D97BAC" w:rsidP="00F90B11">
      <w:r>
        <w:tab/>
      </w:r>
      <w:r w:rsidR="000B6DD0">
        <w:t>It goes onto say</w:t>
      </w:r>
      <w:r>
        <w:t xml:space="preserve"> that ambiguities, lacunae and </w:t>
      </w:r>
      <w:r w:rsidR="000B6DD0">
        <w:t xml:space="preserve">inconsistencies and even out-dated rules, are </w:t>
      </w:r>
      <w:r>
        <w:tab/>
      </w:r>
      <w:r w:rsidR="000B6DD0">
        <w:t>well known features o</w:t>
      </w:r>
      <w:r>
        <w:t xml:space="preserve">f law; and it is for the judge </w:t>
      </w:r>
      <w:r w:rsidR="000B6DD0">
        <w:t xml:space="preserve">to aim at the equilibrium where the stability, </w:t>
      </w:r>
      <w:r>
        <w:tab/>
      </w:r>
      <w:r w:rsidR="000B6DD0">
        <w:t>possibly provided by legislation or</w:t>
      </w:r>
      <w:r>
        <w:t xml:space="preserve"> previous case </w:t>
      </w:r>
      <w:r w:rsidR="00A17E0F">
        <w:t>law, is balanced</w:t>
      </w:r>
      <w:r w:rsidR="000B6DD0">
        <w:t xml:space="preserve"> against the need for </w:t>
      </w:r>
      <w:r>
        <w:tab/>
      </w:r>
      <w:r w:rsidR="000B6DD0">
        <w:t>flexibility in the application of rules and principles.</w:t>
      </w:r>
    </w:p>
    <w:p w14:paraId="4A6288F2" w14:textId="77777777" w:rsidR="00A17E0F" w:rsidRDefault="00A17E0F" w:rsidP="00F90B11"/>
    <w:p w14:paraId="412C7724" w14:textId="77777777" w:rsidR="00A17E0F" w:rsidRDefault="00A17E0F" w:rsidP="00F90B11">
      <w:r>
        <w:tab/>
        <w:t xml:space="preserve">When regulating issues </w:t>
      </w:r>
      <w:r w:rsidR="00D97BAC">
        <w:t xml:space="preserve">to social welfare, security and </w:t>
      </w:r>
      <w:r>
        <w:t xml:space="preserve">collective risk, law not only defines </w:t>
      </w:r>
      <w:r>
        <w:tab/>
        <w:t xml:space="preserve">rights and duties, but also obtains an instrumental character with regard to the given </w:t>
      </w:r>
      <w:r>
        <w:tab/>
        <w:t xml:space="preserve">objectives. This means that the division between public and private interests become blurry </w:t>
      </w:r>
      <w:r>
        <w:tab/>
        <w:t xml:space="preserve">and overlapped. Just for the reason of flexibility and broad applicability, so as to cover a large </w:t>
      </w:r>
      <w:r>
        <w:tab/>
        <w:t xml:space="preserve">number of activates and instillations. </w:t>
      </w:r>
    </w:p>
    <w:p w14:paraId="61E38800" w14:textId="77777777" w:rsidR="00A17E0F" w:rsidRDefault="00A17E0F" w:rsidP="00F90B11"/>
    <w:p w14:paraId="70E565BA" w14:textId="77777777" w:rsidR="00F01A16" w:rsidRDefault="00A17E0F" w:rsidP="00F90B11">
      <w:r>
        <w:tab/>
        <w:t>Environmental law is, fo</w:t>
      </w:r>
      <w:r w:rsidR="00F01A16">
        <w:t>r example, often drafted in a ‘</w:t>
      </w:r>
      <w:r>
        <w:t>open-textures</w:t>
      </w:r>
      <w:r w:rsidR="00F01A16">
        <w:t xml:space="preserve">’ manner, while </w:t>
      </w:r>
      <w:r>
        <w:t xml:space="preserve">conferring </w:t>
      </w:r>
      <w:r w:rsidR="00F01A16">
        <w:tab/>
      </w:r>
      <w:r>
        <w:t xml:space="preserve">on different authorities and courts the power to apply the given principles </w:t>
      </w:r>
      <w:r w:rsidR="00F01A16">
        <w:t xml:space="preserve">and consider the </w:t>
      </w:r>
      <w:r w:rsidR="00F01A16">
        <w:tab/>
        <w:t xml:space="preserve">relevant objectives in the decision-making.  </w:t>
      </w:r>
    </w:p>
    <w:p w14:paraId="2B7C88D5" w14:textId="77777777" w:rsidR="00F01A16" w:rsidRDefault="00F01A16" w:rsidP="00F90B11"/>
    <w:p w14:paraId="639A1B62" w14:textId="77777777" w:rsidR="00A17E0F" w:rsidRDefault="00F01A16" w:rsidP="00F90B11">
      <w:r>
        <w:tab/>
        <w:t xml:space="preserve">The concern over access to justice in environmental matters suggests that the rule of law and </w:t>
      </w:r>
      <w:r>
        <w:tab/>
        <w:t xml:space="preserve">legal certainty still matter for the legitimacy of decision-making. </w:t>
      </w:r>
      <w:r w:rsidR="00D669D6">
        <w:t xml:space="preserve">The Aarhus Convention deals </w:t>
      </w:r>
      <w:r w:rsidR="00D669D6">
        <w:tab/>
        <w:t xml:space="preserve">with the issue of access to justice by setting out the minimum standards on the right to access </w:t>
      </w:r>
      <w:r w:rsidR="00D669D6">
        <w:tab/>
        <w:t xml:space="preserve">to review procedures. Increased confidence in public participation in decision-making as well </w:t>
      </w:r>
      <w:r w:rsidR="00D669D6">
        <w:tab/>
        <w:t xml:space="preserve">as broadening access to judicial remedies reflects an expansive notion of democracy, which </w:t>
      </w:r>
      <w:r w:rsidR="00D669D6">
        <w:lastRenderedPageBreak/>
        <w:tab/>
        <w:t xml:space="preserve">diverges from the standard liberal approach and provides for ‘reflexive modernization’ as </w:t>
      </w:r>
      <w:r w:rsidR="00D669D6">
        <w:tab/>
        <w:t>Ulrich Beck puts it, which is apt for environmental decision-making and risk consideration.</w:t>
      </w:r>
    </w:p>
    <w:p w14:paraId="2A196DCC" w14:textId="77777777" w:rsidR="00D669D6" w:rsidRDefault="00D669D6" w:rsidP="00F90B11"/>
    <w:p w14:paraId="2C95F3DE" w14:textId="77777777" w:rsidR="00D669D6" w:rsidRDefault="00D669D6" w:rsidP="00F90B11"/>
    <w:p w14:paraId="0FB94D70" w14:textId="77777777" w:rsidR="00D669D6" w:rsidRPr="00242581" w:rsidRDefault="00D669D6" w:rsidP="00F90B11">
      <w:pPr>
        <w:rPr>
          <w:b/>
        </w:rPr>
      </w:pPr>
      <w:r w:rsidRPr="00242581">
        <w:rPr>
          <w:b/>
        </w:rPr>
        <w:t>Resilience in decision-making?</w:t>
      </w:r>
      <w:r w:rsidRPr="00242581">
        <w:rPr>
          <w:b/>
        </w:rPr>
        <w:tab/>
      </w:r>
    </w:p>
    <w:p w14:paraId="52DC8798" w14:textId="77777777" w:rsidR="00242581" w:rsidRDefault="00242581" w:rsidP="00F90B11"/>
    <w:p w14:paraId="714ABE1D" w14:textId="77777777" w:rsidR="00D97BAC" w:rsidRDefault="00242581" w:rsidP="00F90B11">
      <w:r>
        <w:tab/>
        <w:t xml:space="preserve">Although the rule of law does not preclude flexibility, the challenge remains of finding </w:t>
      </w:r>
      <w:r>
        <w:tab/>
        <w:t xml:space="preserve">appropriate relations between legal certainty and flexibility, in order to cope with changes and </w:t>
      </w:r>
      <w:r>
        <w:tab/>
        <w:t xml:space="preserve">complexities. </w:t>
      </w:r>
    </w:p>
    <w:p w14:paraId="5B6C4DF4" w14:textId="77777777" w:rsidR="00D97BAC" w:rsidRDefault="00D97BAC" w:rsidP="00F90B11"/>
    <w:p w14:paraId="64F76760" w14:textId="77777777" w:rsidR="00242581" w:rsidRDefault="00D97BAC" w:rsidP="00F90B11">
      <w:r>
        <w:tab/>
      </w:r>
      <w:r w:rsidR="00242581">
        <w:t>The tension doesn’t just matter for a</w:t>
      </w:r>
      <w:r>
        <w:t xml:space="preserve">dministrative decision-making, but also for those in </w:t>
      </w:r>
      <w:r w:rsidR="00242581">
        <w:t xml:space="preserve">civil </w:t>
      </w:r>
      <w:r>
        <w:tab/>
      </w:r>
      <w:r w:rsidR="00242581">
        <w:t xml:space="preserve">society </w:t>
      </w:r>
      <w:r>
        <w:t xml:space="preserve">who want </w:t>
      </w:r>
      <w:r w:rsidR="00242581">
        <w:t>to enga</w:t>
      </w:r>
      <w:r>
        <w:t xml:space="preserve">ge in the management of common </w:t>
      </w:r>
      <w:r w:rsidR="00242581">
        <w:t>resources.</w:t>
      </w:r>
    </w:p>
    <w:p w14:paraId="0245B0A2" w14:textId="77777777" w:rsidR="0088168D" w:rsidRDefault="0088168D" w:rsidP="00F90B11">
      <w:r>
        <w:tab/>
      </w:r>
    </w:p>
    <w:p w14:paraId="4695F9C3" w14:textId="77777777" w:rsidR="00D97BAC" w:rsidRDefault="00D97BAC" w:rsidP="00F90B11">
      <w:r>
        <w:tab/>
        <w:t>Its not</w:t>
      </w:r>
      <w:r w:rsidR="0088168D">
        <w:t xml:space="preserve"> possible to generalise on which legal factors work in a particular direction in all </w:t>
      </w:r>
      <w:r w:rsidR="00F13210">
        <w:tab/>
      </w:r>
      <w:r w:rsidR="0088168D">
        <w:t xml:space="preserve">cases or on how to design legal institutions in order to promote sustainable utilisation of </w:t>
      </w:r>
      <w:r w:rsidR="00F13210">
        <w:tab/>
      </w:r>
      <w:r w:rsidR="0088168D">
        <w:t>resources. There isn’t a one-size-fits-all or once-and-for-all</w:t>
      </w:r>
      <w:r w:rsidR="00F13210">
        <w:t xml:space="preserve"> solution. </w:t>
      </w:r>
    </w:p>
    <w:p w14:paraId="029B8F8E" w14:textId="77777777" w:rsidR="00D97BAC" w:rsidRDefault="00D97BAC" w:rsidP="00F90B11"/>
    <w:p w14:paraId="24DED94F" w14:textId="77777777" w:rsidR="00242581" w:rsidRDefault="00D97BAC" w:rsidP="00F90B11">
      <w:r>
        <w:tab/>
      </w:r>
      <w:r w:rsidR="00F13210">
        <w:t xml:space="preserve">For many situations </w:t>
      </w:r>
      <w:r w:rsidR="00F13210">
        <w:tab/>
        <w:t xml:space="preserve">administrative institutions and centralised rule making may </w:t>
      </w:r>
      <w:r>
        <w:t xml:space="preserve">not even be </w:t>
      </w:r>
      <w:r>
        <w:tab/>
        <w:t xml:space="preserve">the best means for </w:t>
      </w:r>
      <w:r w:rsidR="00F13210">
        <w:t>effectively managing common-pool resources. Cooperative ar</w:t>
      </w:r>
      <w:r>
        <w:t xml:space="preserve">rangements </w:t>
      </w:r>
      <w:r>
        <w:tab/>
        <w:t xml:space="preserve">between persons and </w:t>
      </w:r>
      <w:r w:rsidR="00F13210">
        <w:t>organisations engaged i</w:t>
      </w:r>
      <w:r>
        <w:t>n the resource could be more able</w:t>
      </w:r>
      <w:r w:rsidR="00F13210">
        <w:t xml:space="preserve"> to cope.</w:t>
      </w:r>
    </w:p>
    <w:p w14:paraId="14437150" w14:textId="77777777" w:rsidR="00F13210" w:rsidRDefault="00F13210" w:rsidP="00F90B11"/>
    <w:p w14:paraId="7A5ECAB9" w14:textId="77777777" w:rsidR="00F13210" w:rsidRDefault="00D97BAC" w:rsidP="00F90B11">
      <w:r>
        <w:tab/>
      </w:r>
      <w:r w:rsidR="006C2405">
        <w:t xml:space="preserve">Detailed rules are sometimes set out in legislation but in the field of the environment the </w:t>
      </w:r>
      <w:r w:rsidR="006C2405">
        <w:tab/>
        <w:t>method of legislating is by means of general principles and framework laws.</w:t>
      </w:r>
    </w:p>
    <w:p w14:paraId="2194120C" w14:textId="77777777" w:rsidR="00F13210" w:rsidRDefault="00F13210" w:rsidP="00F90B11"/>
    <w:p w14:paraId="48850D22" w14:textId="77777777" w:rsidR="006C2405" w:rsidRPr="00241052" w:rsidRDefault="006C2405" w:rsidP="00F90B11">
      <w:pPr>
        <w:rPr>
          <w:b/>
        </w:rPr>
      </w:pPr>
      <w:r w:rsidRPr="00241052">
        <w:rPr>
          <w:b/>
        </w:rPr>
        <w:t>Scales: the impact of state borders and sovereignty</w:t>
      </w:r>
    </w:p>
    <w:p w14:paraId="3355A2BA" w14:textId="77777777" w:rsidR="006C2405" w:rsidRDefault="006C2405" w:rsidP="00F90B11"/>
    <w:p w14:paraId="77507715" w14:textId="77777777" w:rsidR="006C2405" w:rsidRDefault="006C2405" w:rsidP="00F90B11">
      <w:r>
        <w:tab/>
        <w:t xml:space="preserve">The geographical scope – the “scale” of environmental or health issues at stake is important for </w:t>
      </w:r>
      <w:r>
        <w:tab/>
        <w:t>effective management and control.</w:t>
      </w:r>
    </w:p>
    <w:p w14:paraId="64F565B3" w14:textId="77777777" w:rsidR="006C2405" w:rsidRDefault="006C2405" w:rsidP="00F90B11"/>
    <w:p w14:paraId="354B74A5" w14:textId="77777777" w:rsidR="006C2405" w:rsidRDefault="006C2405" w:rsidP="00F90B11">
      <w:r>
        <w:tab/>
        <w:t>International law affects state in two way</w:t>
      </w:r>
      <w:r w:rsidR="00241052">
        <w:t xml:space="preserve">s regarding trans bound effects on health the </w:t>
      </w:r>
      <w:r w:rsidR="00241052">
        <w:tab/>
        <w:t>environment and natural resources:</w:t>
      </w:r>
    </w:p>
    <w:p w14:paraId="2AC6B802" w14:textId="77777777" w:rsidR="00241052" w:rsidRDefault="00241052" w:rsidP="00241052">
      <w:pPr>
        <w:pStyle w:val="ListParagraph"/>
        <w:numPr>
          <w:ilvl w:val="0"/>
          <w:numId w:val="2"/>
        </w:numPr>
      </w:pPr>
      <w:r>
        <w:t>International law imposes the duty on states to maintain control over activities within their respective jurisdictions.</w:t>
      </w:r>
    </w:p>
    <w:p w14:paraId="248DE4F1" w14:textId="77777777" w:rsidR="00241052" w:rsidRDefault="00241052" w:rsidP="00241052">
      <w:pPr>
        <w:pStyle w:val="ListParagraph"/>
        <w:numPr>
          <w:ilvl w:val="0"/>
          <w:numId w:val="2"/>
        </w:numPr>
      </w:pPr>
      <w:r>
        <w:t>International law affects the institutions and management of common pool resources in situations of ecological changes and new circumstances.</w:t>
      </w:r>
    </w:p>
    <w:p w14:paraId="7294BE93" w14:textId="77777777" w:rsidR="00241052" w:rsidRDefault="00241052" w:rsidP="00241052"/>
    <w:p w14:paraId="4F60031D" w14:textId="77777777" w:rsidR="00241052" w:rsidRDefault="00241052" w:rsidP="00241052">
      <w:r>
        <w:tab/>
        <w:t xml:space="preserve">State sovereignty implies that a state can decide not to be part of a particular international </w:t>
      </w:r>
      <w:r>
        <w:tab/>
        <w:t xml:space="preserve">agreement. Such consent adds to the legitimacy of international law but it also creates hurdles </w:t>
      </w:r>
      <w:r>
        <w:tab/>
        <w:t>for the development of adequate management.</w:t>
      </w:r>
    </w:p>
    <w:p w14:paraId="3164572A" w14:textId="77777777" w:rsidR="00241052" w:rsidRDefault="00241052" w:rsidP="00241052"/>
    <w:p w14:paraId="7170A1C0" w14:textId="77777777" w:rsidR="00241052" w:rsidRDefault="00241052" w:rsidP="00241052">
      <w:r>
        <w:tab/>
        <w:t>The EU although with its problems does provide an advanced form of transbound</w:t>
      </w:r>
      <w:r w:rsidR="009159D8">
        <w:t xml:space="preserve">ary </w:t>
      </w:r>
      <w:r w:rsidR="009159D8">
        <w:tab/>
        <w:t>cooperation for managing common resources compared with most of the world.</w:t>
      </w:r>
    </w:p>
    <w:p w14:paraId="08FA2522" w14:textId="77777777" w:rsidR="009159D8" w:rsidRDefault="009159D8" w:rsidP="00241052"/>
    <w:p w14:paraId="7F6F4FDB" w14:textId="77777777" w:rsidR="009159D8" w:rsidRPr="009159D8" w:rsidRDefault="009159D8" w:rsidP="00241052">
      <w:pPr>
        <w:rPr>
          <w:b/>
        </w:rPr>
      </w:pPr>
      <w:r w:rsidRPr="009159D8">
        <w:rPr>
          <w:b/>
        </w:rPr>
        <w:t>Lessons learned – in both directions?</w:t>
      </w:r>
    </w:p>
    <w:p w14:paraId="6C5781D6" w14:textId="77777777" w:rsidR="009159D8" w:rsidRDefault="009159D8" w:rsidP="00241052"/>
    <w:p w14:paraId="741CE38D" w14:textId="77777777" w:rsidR="009159D8" w:rsidRDefault="009159D8" w:rsidP="00241052">
      <w:r>
        <w:tab/>
        <w:t xml:space="preserve">There is no support for the view that the rule of law and legal certainty necessarily hamper the </w:t>
      </w:r>
      <w:r>
        <w:tab/>
        <w:t xml:space="preserve">chance to create resilient structures and institutions. However some general legal structures </w:t>
      </w:r>
      <w:r>
        <w:tab/>
        <w:t xml:space="preserve">and existing legal concepts, such as state sovereignty, can counter the establishment of </w:t>
      </w:r>
      <w:r>
        <w:tab/>
        <w:t>adequate institutions to cope with common pool resources.</w:t>
      </w:r>
    </w:p>
    <w:p w14:paraId="13529F52" w14:textId="77777777" w:rsidR="009159D8" w:rsidRDefault="009159D8" w:rsidP="00241052"/>
    <w:p w14:paraId="63B6D372" w14:textId="77777777" w:rsidR="009159D8" w:rsidRDefault="009159D8" w:rsidP="00241052"/>
    <w:p w14:paraId="77DAA144" w14:textId="77777777" w:rsidR="009159D8" w:rsidRDefault="009159D8" w:rsidP="00241052"/>
    <w:p w14:paraId="19699A47" w14:textId="77777777" w:rsidR="009159D8" w:rsidRDefault="009159D8" w:rsidP="00241052"/>
    <w:p w14:paraId="035050EA" w14:textId="77777777" w:rsidR="009159D8" w:rsidRDefault="009159D8" w:rsidP="00241052"/>
    <w:p w14:paraId="3B3CE08C" w14:textId="77777777" w:rsidR="009159D8" w:rsidRDefault="00FD73F9" w:rsidP="00241052">
      <w:pPr>
        <w:rPr>
          <w:b/>
        </w:rPr>
      </w:pPr>
      <w:r w:rsidRPr="00FD73F9">
        <w:rPr>
          <w:rFonts w:eastAsia="Times New Roman" w:cs="Times New Roman"/>
          <w:b/>
        </w:rPr>
        <w:t xml:space="preserve">Fleshing out the precautionary Principle by the Court of First Instance: </w:t>
      </w:r>
      <w:r w:rsidR="009159D8" w:rsidRPr="00FD73F9">
        <w:rPr>
          <w:b/>
        </w:rPr>
        <w:t>Pfizer v Council of the European Union</w:t>
      </w:r>
    </w:p>
    <w:p w14:paraId="297F35E7" w14:textId="77777777" w:rsidR="00FD73F9" w:rsidRDefault="00FD73F9" w:rsidP="00241052">
      <w:pPr>
        <w:rPr>
          <w:b/>
        </w:rPr>
      </w:pPr>
    </w:p>
    <w:p w14:paraId="10439DA3" w14:textId="77777777" w:rsidR="00FD73F9" w:rsidRDefault="00FD73F9" w:rsidP="00241052">
      <w:r w:rsidRPr="00FD73F9">
        <w:tab/>
        <w:t xml:space="preserve">The </w:t>
      </w:r>
      <w:r>
        <w:t xml:space="preserve">Pfizer case is the first judgement where the precautionary principle is extensively </w:t>
      </w:r>
      <w:r>
        <w:tab/>
        <w:t>discussed.</w:t>
      </w:r>
    </w:p>
    <w:p w14:paraId="0D032AF8" w14:textId="77777777" w:rsidR="00FD73F9" w:rsidRDefault="00FD73F9" w:rsidP="00241052"/>
    <w:p w14:paraId="4D941AC6" w14:textId="77777777" w:rsidR="00FD73F9" w:rsidRDefault="00FD73F9" w:rsidP="00241052">
      <w:r>
        <w:tab/>
      </w:r>
      <w:r w:rsidR="00AF5483">
        <w:t xml:space="preserve">From the point of view of the producer of the product it is hard to accept if your product is </w:t>
      </w:r>
      <w:r w:rsidR="00AF5483">
        <w:tab/>
        <w:t xml:space="preserve">banned because it could form a risk to human health in the future, without there being </w:t>
      </w:r>
      <w:r w:rsidR="00AF5483">
        <w:tab/>
        <w:t>scientific proof to substantiate the reality of the seriousness of the risk.</w:t>
      </w:r>
    </w:p>
    <w:p w14:paraId="45D3FDFD" w14:textId="77777777" w:rsidR="00AF5483" w:rsidRDefault="00AF5483" w:rsidP="00241052"/>
    <w:p w14:paraId="70C3A780" w14:textId="77777777" w:rsidR="00AF5483" w:rsidRDefault="00AF5483" w:rsidP="00241052">
      <w:r>
        <w:tab/>
        <w:t>The product in this case is an antibiotic called ‘virginiamycin</w:t>
      </w:r>
      <w:bookmarkStart w:id="0" w:name="_GoBack"/>
      <w:bookmarkEnd w:id="0"/>
      <w:r>
        <w:t xml:space="preserve">’. Recently the rate of development </w:t>
      </w:r>
      <w:r>
        <w:tab/>
        <w:t xml:space="preserve">of resistance to antibiotics has significantly increased. At the same time fewer antibiotics have </w:t>
      </w:r>
      <w:r>
        <w:tab/>
        <w:t xml:space="preserve">become available. </w:t>
      </w:r>
    </w:p>
    <w:p w14:paraId="1CFDDC7A" w14:textId="77777777" w:rsidR="00AF5483" w:rsidRDefault="00AF5483" w:rsidP="00241052"/>
    <w:p w14:paraId="51FFFB47" w14:textId="77777777" w:rsidR="00AF5483" w:rsidRDefault="00AF5483" w:rsidP="00241052">
      <w:r>
        <w:tab/>
        <w:t xml:space="preserve">There is a potential health risk since the </w:t>
      </w:r>
      <w:r w:rsidR="00A9710C">
        <w:t>antibiotics</w:t>
      </w:r>
      <w:r>
        <w:t xml:space="preserve"> might no longer be useable as a cure for </w:t>
      </w:r>
      <w:r w:rsidR="00A9710C">
        <w:tab/>
      </w:r>
      <w:r>
        <w:t xml:space="preserve">dangerous </w:t>
      </w:r>
      <w:r w:rsidR="00A9710C">
        <w:t>bacterial</w:t>
      </w:r>
      <w:r>
        <w:t xml:space="preserve"> disease. Hence why Regulation 2821/</w:t>
      </w:r>
      <w:r w:rsidR="00A9710C">
        <w:t xml:space="preserve">98, which withdraws authorisation </w:t>
      </w:r>
      <w:r w:rsidR="00A9710C">
        <w:tab/>
        <w:t>of several antibiotics,</w:t>
      </w:r>
      <w:r>
        <w:t xml:space="preserve"> was adopted as a </w:t>
      </w:r>
      <w:r w:rsidR="00A9710C">
        <w:t>precautionary measure.</w:t>
      </w:r>
    </w:p>
    <w:p w14:paraId="6457AD28" w14:textId="77777777" w:rsidR="00A9710C" w:rsidRDefault="00A9710C" w:rsidP="00241052"/>
    <w:p w14:paraId="129AB39F" w14:textId="77777777" w:rsidR="00A9710C" w:rsidRDefault="00A9710C" w:rsidP="00241052">
      <w:r>
        <w:tab/>
        <w:t>At the time of the case both Sweden and Denmark banned the antibiotic and had asked the EC</w:t>
      </w:r>
      <w:r>
        <w:tab/>
        <w:t xml:space="preserve">to do so as well. </w:t>
      </w:r>
    </w:p>
    <w:p w14:paraId="53E9974E" w14:textId="77777777" w:rsidR="00A9710C" w:rsidRDefault="00A9710C" w:rsidP="00241052"/>
    <w:p w14:paraId="435E5C2F" w14:textId="77777777" w:rsidR="00A9710C" w:rsidRDefault="00A9710C" w:rsidP="00241052">
      <w:r>
        <w:tab/>
        <w:t>Pfizer first tried to have the regulation 2821/98 suspended but the application was dismissed.</w:t>
      </w:r>
    </w:p>
    <w:p w14:paraId="1603508B" w14:textId="77777777" w:rsidR="00A9710C" w:rsidRDefault="00A9710C" w:rsidP="00241052"/>
    <w:p w14:paraId="18359354" w14:textId="77777777" w:rsidR="00A9710C" w:rsidRDefault="00A9710C" w:rsidP="00241052">
      <w:pPr>
        <w:rPr>
          <w:rFonts w:eastAsia="Times New Roman" w:cs="Times New Roman"/>
        </w:rPr>
      </w:pPr>
      <w:r>
        <w:rPr>
          <w:rFonts w:eastAsia="Times New Roman" w:cs="Times New Roman"/>
        </w:rPr>
        <w:tab/>
        <w:t xml:space="preserve">President of the CFI held that antimicrobial resistance in human medicine on account of the </w:t>
      </w:r>
      <w:r>
        <w:rPr>
          <w:rFonts w:eastAsia="Times New Roman" w:cs="Times New Roman"/>
        </w:rPr>
        <w:tab/>
        <w:t xml:space="preserve">use of the antibiotic in animal feed could not b rules our, and that the potential consequences </w:t>
      </w:r>
      <w:r>
        <w:rPr>
          <w:rFonts w:eastAsia="Times New Roman" w:cs="Times New Roman"/>
        </w:rPr>
        <w:tab/>
        <w:t xml:space="preserve">for human health would be very serious. The mere existence of this potential risk was enough </w:t>
      </w:r>
      <w:r>
        <w:rPr>
          <w:rFonts w:eastAsia="Times New Roman" w:cs="Times New Roman"/>
        </w:rPr>
        <w:tab/>
        <w:t xml:space="preserve">in itself to justify taking the protection of human health into account in the balancing of </w:t>
      </w:r>
      <w:r>
        <w:rPr>
          <w:rFonts w:eastAsia="Times New Roman" w:cs="Times New Roman"/>
        </w:rPr>
        <w:tab/>
        <w:t>interests.</w:t>
      </w:r>
    </w:p>
    <w:p w14:paraId="5A61C525" w14:textId="77777777" w:rsidR="00A9710C" w:rsidRDefault="00A9710C" w:rsidP="00241052">
      <w:pPr>
        <w:rPr>
          <w:rFonts w:eastAsia="Times New Roman" w:cs="Times New Roman"/>
        </w:rPr>
      </w:pPr>
    </w:p>
    <w:p w14:paraId="73D50F27" w14:textId="77777777" w:rsidR="00A9710C" w:rsidRDefault="00A9710C" w:rsidP="00241052">
      <w:pPr>
        <w:rPr>
          <w:rFonts w:eastAsia="Times New Roman" w:cs="Times New Roman"/>
        </w:rPr>
      </w:pPr>
      <w:r>
        <w:rPr>
          <w:rFonts w:eastAsia="Times New Roman" w:cs="Times New Roman"/>
        </w:rPr>
        <w:tab/>
        <w:t xml:space="preserve">Pfizer Appealed claiming inter alia that the President of the CFI ‘applied over-restrictive </w:t>
      </w:r>
      <w:r>
        <w:rPr>
          <w:rFonts w:eastAsia="Times New Roman" w:cs="Times New Roman"/>
        </w:rPr>
        <w:tab/>
        <w:t xml:space="preserve">criteria for granting interim measures in a case that concerned the precautionary principle’ </w:t>
      </w:r>
      <w:r>
        <w:rPr>
          <w:rFonts w:eastAsia="Times New Roman" w:cs="Times New Roman"/>
        </w:rPr>
        <w:tab/>
        <w:t xml:space="preserve">and that ‘precautionary bans should be imposed only where there is plainly convincing specific </w:t>
      </w:r>
      <w:r>
        <w:rPr>
          <w:rFonts w:eastAsia="Times New Roman" w:cs="Times New Roman"/>
        </w:rPr>
        <w:tab/>
        <w:t>evidence that a product actually or probably presents a danger’.</w:t>
      </w:r>
    </w:p>
    <w:p w14:paraId="4FB34EE4" w14:textId="77777777" w:rsidR="00A9710C" w:rsidRDefault="00A9710C" w:rsidP="00241052">
      <w:pPr>
        <w:rPr>
          <w:rFonts w:eastAsia="Times New Roman" w:cs="Times New Roman"/>
        </w:rPr>
      </w:pPr>
    </w:p>
    <w:p w14:paraId="2CE66742" w14:textId="77777777" w:rsidR="00A9710C" w:rsidRDefault="00A9710C" w:rsidP="00241052">
      <w:pPr>
        <w:rPr>
          <w:rFonts w:eastAsia="Times New Roman" w:cs="Times New Roman"/>
        </w:rPr>
      </w:pPr>
      <w:r>
        <w:rPr>
          <w:rFonts w:eastAsia="Times New Roman" w:cs="Times New Roman"/>
        </w:rPr>
        <w:tab/>
      </w:r>
      <w:r w:rsidR="000A3379">
        <w:rPr>
          <w:rFonts w:eastAsia="Times New Roman" w:cs="Times New Roman"/>
        </w:rPr>
        <w:t xml:space="preserve">It was held on appeal that the President of the CFI had properly assessed the extent and the </w:t>
      </w:r>
      <w:r w:rsidR="000A3379">
        <w:rPr>
          <w:rFonts w:eastAsia="Times New Roman" w:cs="Times New Roman"/>
        </w:rPr>
        <w:tab/>
        <w:t xml:space="preserve">seriousness of the risk linked to the use of </w:t>
      </w:r>
      <w:proofErr w:type="spellStart"/>
      <w:r w:rsidR="000A3379">
        <w:rPr>
          <w:rFonts w:eastAsia="Times New Roman" w:cs="Times New Roman"/>
        </w:rPr>
        <w:t>virginamycin</w:t>
      </w:r>
      <w:proofErr w:type="spellEnd"/>
    </w:p>
    <w:p w14:paraId="1E140E12" w14:textId="77777777" w:rsidR="000A3379" w:rsidRDefault="000A3379" w:rsidP="00241052">
      <w:pPr>
        <w:rPr>
          <w:rFonts w:eastAsia="Times New Roman" w:cs="Times New Roman"/>
        </w:rPr>
      </w:pPr>
    </w:p>
    <w:p w14:paraId="026C79C5" w14:textId="77777777" w:rsidR="000A3379" w:rsidRDefault="003366B9" w:rsidP="00241052">
      <w:pPr>
        <w:rPr>
          <w:rFonts w:eastAsia="Times New Roman" w:cs="Times New Roman"/>
        </w:rPr>
      </w:pPr>
      <w:r>
        <w:rPr>
          <w:rFonts w:eastAsia="Times New Roman" w:cs="Times New Roman"/>
        </w:rPr>
        <w:tab/>
        <w:t xml:space="preserve">Pfizer claimed that enough proof would need to be adduced before banning substances. At the </w:t>
      </w:r>
      <w:r>
        <w:rPr>
          <w:rFonts w:eastAsia="Times New Roman" w:cs="Times New Roman"/>
        </w:rPr>
        <w:tab/>
        <w:t xml:space="preserve">hearing Pfizer said when quizzed on ‘enough proof’ are quoted as saying it would be proven </w:t>
      </w:r>
      <w:r>
        <w:rPr>
          <w:rFonts w:eastAsia="Times New Roman" w:cs="Times New Roman"/>
        </w:rPr>
        <w:tab/>
        <w:t xml:space="preserve">with the first dead man. It would be proven with the first infection, or with the first proof of </w:t>
      </w:r>
      <w:r>
        <w:rPr>
          <w:rFonts w:eastAsia="Times New Roman" w:cs="Times New Roman"/>
        </w:rPr>
        <w:tab/>
        <w:t xml:space="preserve">colonisation, or the first proof of transfer in a human. CFI stressed that the community </w:t>
      </w:r>
      <w:r>
        <w:rPr>
          <w:rFonts w:eastAsia="Times New Roman" w:cs="Times New Roman"/>
        </w:rPr>
        <w:tab/>
        <w:t xml:space="preserve">institutions were not obligated to await the first case of human infection by bacterium of </w:t>
      </w:r>
      <w:r>
        <w:rPr>
          <w:rFonts w:eastAsia="Times New Roman" w:cs="Times New Roman"/>
        </w:rPr>
        <w:tab/>
        <w:t>animal origin.</w:t>
      </w:r>
    </w:p>
    <w:p w14:paraId="16883B02" w14:textId="77777777" w:rsidR="003366B9" w:rsidRDefault="003366B9" w:rsidP="00241052">
      <w:pPr>
        <w:rPr>
          <w:rFonts w:eastAsia="Times New Roman" w:cs="Times New Roman"/>
        </w:rPr>
      </w:pPr>
    </w:p>
    <w:p w14:paraId="034C774D" w14:textId="77777777" w:rsidR="003366B9" w:rsidRDefault="00F11274" w:rsidP="00241052">
      <w:pPr>
        <w:rPr>
          <w:rFonts w:eastAsia="Times New Roman" w:cs="Times New Roman"/>
        </w:rPr>
      </w:pPr>
      <w:r>
        <w:rPr>
          <w:rFonts w:eastAsia="Times New Roman" w:cs="Times New Roman"/>
        </w:rPr>
        <w:tab/>
        <w:t xml:space="preserve">The court accepted </w:t>
      </w:r>
      <w:r w:rsidR="003366B9">
        <w:rPr>
          <w:rFonts w:eastAsia="Times New Roman" w:cs="Times New Roman"/>
        </w:rPr>
        <w:t>risk assessment</w:t>
      </w:r>
      <w:r>
        <w:rPr>
          <w:rFonts w:eastAsia="Times New Roman" w:cs="Times New Roman"/>
        </w:rPr>
        <w:t>s need</w:t>
      </w:r>
      <w:r w:rsidR="003366B9">
        <w:rPr>
          <w:rFonts w:eastAsia="Times New Roman" w:cs="Times New Roman"/>
        </w:rPr>
        <w:t xml:space="preserve"> to be carried out. The purpose of such a risk </w:t>
      </w:r>
      <w:r w:rsidR="003366B9">
        <w:rPr>
          <w:rFonts w:eastAsia="Times New Roman" w:cs="Times New Roman"/>
        </w:rPr>
        <w:tab/>
        <w:t xml:space="preserve">assessment, is indeed to assess the degree of probability of a certain product or procedure </w:t>
      </w:r>
      <w:r w:rsidR="003366B9">
        <w:rPr>
          <w:rFonts w:eastAsia="Times New Roman" w:cs="Times New Roman"/>
        </w:rPr>
        <w:tab/>
        <w:t>having adverse effects on human health and the seriousness of any such adverse effects.</w:t>
      </w:r>
      <w:r>
        <w:rPr>
          <w:rFonts w:eastAsia="Times New Roman" w:cs="Times New Roman"/>
        </w:rPr>
        <w:t xml:space="preserve"> It also </w:t>
      </w:r>
      <w:r>
        <w:rPr>
          <w:rFonts w:eastAsia="Times New Roman" w:cs="Times New Roman"/>
        </w:rPr>
        <w:tab/>
        <w:t>involves determining what level of risk is deemed unacceptable.</w:t>
      </w:r>
    </w:p>
    <w:p w14:paraId="2789789A" w14:textId="77777777" w:rsidR="00F11274" w:rsidRDefault="00F11274" w:rsidP="00241052">
      <w:pPr>
        <w:rPr>
          <w:rFonts w:eastAsia="Times New Roman" w:cs="Times New Roman"/>
        </w:rPr>
      </w:pPr>
    </w:p>
    <w:p w14:paraId="5FE46531" w14:textId="77777777" w:rsidR="009D03A8" w:rsidRDefault="00F11274" w:rsidP="00241052">
      <w:pPr>
        <w:rPr>
          <w:rFonts w:eastAsia="Times New Roman" w:cs="Times New Roman"/>
        </w:rPr>
      </w:pPr>
      <w:r>
        <w:rPr>
          <w:rFonts w:eastAsia="Times New Roman" w:cs="Times New Roman"/>
        </w:rPr>
        <w:tab/>
        <w:t xml:space="preserve">The court said that authorities must entrust such an assessment to experts who will provide </w:t>
      </w:r>
      <w:r>
        <w:rPr>
          <w:rFonts w:eastAsia="Times New Roman" w:cs="Times New Roman"/>
        </w:rPr>
        <w:tab/>
        <w:t xml:space="preserve">them with scientific advice. If said advice is uncertain it is up to the authorities to weigh up </w:t>
      </w:r>
      <w:r w:rsidR="009D03A8">
        <w:rPr>
          <w:rFonts w:eastAsia="Times New Roman" w:cs="Times New Roman"/>
        </w:rPr>
        <w:tab/>
      </w:r>
      <w:r>
        <w:rPr>
          <w:rFonts w:eastAsia="Times New Roman" w:cs="Times New Roman"/>
        </w:rPr>
        <w:t>their obli</w:t>
      </w:r>
      <w:r w:rsidR="009D03A8">
        <w:rPr>
          <w:rFonts w:eastAsia="Times New Roman" w:cs="Times New Roman"/>
        </w:rPr>
        <w:t>gations and decide wither t</w:t>
      </w:r>
      <w:r>
        <w:rPr>
          <w:rFonts w:eastAsia="Times New Roman" w:cs="Times New Roman"/>
        </w:rPr>
        <w:t xml:space="preserve">o wait until more detailed results are </w:t>
      </w:r>
      <w:r w:rsidR="009D03A8">
        <w:rPr>
          <w:rFonts w:eastAsia="Times New Roman" w:cs="Times New Roman"/>
        </w:rPr>
        <w:t>available</w:t>
      </w:r>
      <w:r>
        <w:rPr>
          <w:rFonts w:eastAsia="Times New Roman" w:cs="Times New Roman"/>
        </w:rPr>
        <w:t xml:space="preserve"> or </w:t>
      </w:r>
      <w:r w:rsidR="009D03A8">
        <w:rPr>
          <w:rFonts w:eastAsia="Times New Roman" w:cs="Times New Roman"/>
        </w:rPr>
        <w:t xml:space="preserve">act on </w:t>
      </w:r>
      <w:r w:rsidR="009D03A8">
        <w:rPr>
          <w:rFonts w:eastAsia="Times New Roman" w:cs="Times New Roman"/>
        </w:rPr>
        <w:tab/>
        <w:t>the basis on the info that have now.</w:t>
      </w:r>
    </w:p>
    <w:p w14:paraId="580AF0F3" w14:textId="77777777" w:rsidR="009D03A8" w:rsidRDefault="009D03A8" w:rsidP="00241052">
      <w:pPr>
        <w:rPr>
          <w:rFonts w:eastAsia="Times New Roman" w:cs="Times New Roman"/>
        </w:rPr>
      </w:pPr>
      <w:r>
        <w:rPr>
          <w:rFonts w:eastAsia="Times New Roman" w:cs="Times New Roman"/>
        </w:rPr>
        <w:tab/>
        <w:t>‘</w:t>
      </w:r>
      <w:proofErr w:type="gramStart"/>
      <w:r>
        <w:rPr>
          <w:rFonts w:eastAsia="Times New Roman" w:cs="Times New Roman"/>
        </w:rPr>
        <w:t>sufficiently</w:t>
      </w:r>
      <w:proofErr w:type="gramEnd"/>
      <w:r>
        <w:rPr>
          <w:rFonts w:eastAsia="Times New Roman" w:cs="Times New Roman"/>
        </w:rPr>
        <w:t xml:space="preserve"> reliable ad cogent information’ should be available so that the competent </w:t>
      </w:r>
      <w:r>
        <w:rPr>
          <w:rFonts w:eastAsia="Times New Roman" w:cs="Times New Roman"/>
        </w:rPr>
        <w:tab/>
        <w:t xml:space="preserve">authorities ‘understand the ramifications of the scientific question raised and decide upon a </w:t>
      </w:r>
      <w:r>
        <w:rPr>
          <w:rFonts w:eastAsia="Times New Roman" w:cs="Times New Roman"/>
        </w:rPr>
        <w:tab/>
        <w:t>policy in full knowledge of the facts.’</w:t>
      </w:r>
    </w:p>
    <w:p w14:paraId="36CA868D" w14:textId="77777777" w:rsidR="009D03A8" w:rsidRDefault="009D03A8" w:rsidP="00241052">
      <w:pPr>
        <w:rPr>
          <w:rFonts w:eastAsia="Times New Roman" w:cs="Times New Roman"/>
        </w:rPr>
      </w:pPr>
    </w:p>
    <w:p w14:paraId="129894C2" w14:textId="77777777" w:rsidR="009D03A8" w:rsidRDefault="009D03A8" w:rsidP="00241052">
      <w:pPr>
        <w:rPr>
          <w:rFonts w:eastAsia="Times New Roman" w:cs="Times New Roman"/>
        </w:rPr>
      </w:pPr>
      <w:r>
        <w:rPr>
          <w:rFonts w:eastAsia="Times New Roman" w:cs="Times New Roman"/>
        </w:rPr>
        <w:tab/>
        <w:t xml:space="preserve">CFI said that the directive allowing for the withdrawal of authorisation must be interpreted in </w:t>
      </w:r>
      <w:r>
        <w:rPr>
          <w:rFonts w:eastAsia="Times New Roman" w:cs="Times New Roman"/>
        </w:rPr>
        <w:tab/>
        <w:t xml:space="preserve">accordance with the precautionary principle. A withdrawal can take place even when scientific </w:t>
      </w:r>
      <w:r>
        <w:rPr>
          <w:rFonts w:eastAsia="Times New Roman" w:cs="Times New Roman"/>
        </w:rPr>
        <w:tab/>
        <w:t xml:space="preserve">uncertainty makes it impossible to make the reality and the seriousness of the risks to human </w:t>
      </w:r>
      <w:r>
        <w:rPr>
          <w:rFonts w:eastAsia="Times New Roman" w:cs="Times New Roman"/>
        </w:rPr>
        <w:tab/>
        <w:t>health. No full proof is required.</w:t>
      </w:r>
    </w:p>
    <w:p w14:paraId="028F9F89" w14:textId="77777777" w:rsidR="009D03A8" w:rsidRDefault="009D03A8" w:rsidP="00241052">
      <w:pPr>
        <w:rPr>
          <w:rFonts w:eastAsia="Times New Roman" w:cs="Times New Roman"/>
        </w:rPr>
      </w:pPr>
    </w:p>
    <w:p w14:paraId="5AE80211" w14:textId="77777777" w:rsidR="009D03A8" w:rsidRDefault="009D03A8" w:rsidP="00241052">
      <w:pPr>
        <w:rPr>
          <w:rFonts w:eastAsia="Times New Roman" w:cs="Times New Roman"/>
        </w:rPr>
      </w:pPr>
      <w:r>
        <w:rPr>
          <w:rFonts w:eastAsia="Times New Roman" w:cs="Times New Roman"/>
        </w:rPr>
        <w:tab/>
        <w:t xml:space="preserve">CFI also agreed with Pfizer that the precautionary measures ‘cannot properly be based on </w:t>
      </w:r>
      <w:r>
        <w:rPr>
          <w:rFonts w:eastAsia="Times New Roman" w:cs="Times New Roman"/>
        </w:rPr>
        <w:tab/>
        <w:t xml:space="preserve">purely hypothetical approach to the risk, founded on mere conjecture which had not been </w:t>
      </w:r>
      <w:r>
        <w:rPr>
          <w:rFonts w:eastAsia="Times New Roman" w:cs="Times New Roman"/>
        </w:rPr>
        <w:tab/>
        <w:t>scientifically verified’</w:t>
      </w:r>
    </w:p>
    <w:p w14:paraId="11A421F8" w14:textId="77777777" w:rsidR="009D03A8" w:rsidRDefault="009D03A8" w:rsidP="00241052">
      <w:pPr>
        <w:rPr>
          <w:rFonts w:eastAsia="Times New Roman" w:cs="Times New Roman"/>
        </w:rPr>
      </w:pPr>
    </w:p>
    <w:p w14:paraId="60B7DEC4" w14:textId="77777777" w:rsidR="009D03A8" w:rsidRDefault="009D03A8" w:rsidP="00241052">
      <w:pPr>
        <w:rPr>
          <w:rFonts w:eastAsia="Times New Roman" w:cs="Times New Roman"/>
        </w:rPr>
      </w:pPr>
      <w:r>
        <w:rPr>
          <w:rFonts w:eastAsia="Times New Roman" w:cs="Times New Roman"/>
        </w:rPr>
        <w:tab/>
        <w:t>The authorities need to asses</w:t>
      </w:r>
      <w:r w:rsidR="00B90024">
        <w:rPr>
          <w:rFonts w:eastAsia="Times New Roman" w:cs="Times New Roman"/>
        </w:rPr>
        <w:t>s</w:t>
      </w:r>
      <w:r>
        <w:rPr>
          <w:rFonts w:eastAsia="Times New Roman" w:cs="Times New Roman"/>
        </w:rPr>
        <w:t xml:space="preserve"> the level of risk deemed unacceptable under the particular </w:t>
      </w:r>
      <w:r>
        <w:rPr>
          <w:rFonts w:eastAsia="Times New Roman" w:cs="Times New Roman"/>
        </w:rPr>
        <w:tab/>
        <w:t>circumstances of each individual case.</w:t>
      </w:r>
    </w:p>
    <w:p w14:paraId="08E9DD79" w14:textId="77777777" w:rsidR="009D03A8" w:rsidRDefault="009D03A8" w:rsidP="00241052">
      <w:pPr>
        <w:rPr>
          <w:rFonts w:eastAsia="Times New Roman" w:cs="Times New Roman"/>
        </w:rPr>
      </w:pPr>
    </w:p>
    <w:p w14:paraId="0EE21D63" w14:textId="77777777" w:rsidR="009D03A8" w:rsidRDefault="009D03A8" w:rsidP="00241052">
      <w:pPr>
        <w:rPr>
          <w:rFonts w:eastAsia="Times New Roman" w:cs="Times New Roman"/>
        </w:rPr>
      </w:pPr>
      <w:r>
        <w:rPr>
          <w:rFonts w:eastAsia="Times New Roman" w:cs="Times New Roman"/>
        </w:rPr>
        <w:tab/>
      </w:r>
      <w:r w:rsidR="00B90024">
        <w:rPr>
          <w:rFonts w:eastAsia="Times New Roman" w:cs="Times New Roman"/>
        </w:rPr>
        <w:t xml:space="preserve">Pfizer tried to argue that the Communities institutions erred when they concluded that the use </w:t>
      </w:r>
      <w:r w:rsidR="00B90024">
        <w:rPr>
          <w:rFonts w:eastAsia="Times New Roman" w:cs="Times New Roman"/>
        </w:rPr>
        <w:tab/>
        <w:t xml:space="preserve">of antibiotic entailed risk to human health. The court rejected this and held that they had </w:t>
      </w:r>
      <w:r w:rsidR="00B90024">
        <w:rPr>
          <w:rFonts w:eastAsia="Times New Roman" w:cs="Times New Roman"/>
        </w:rPr>
        <w:tab/>
        <w:t xml:space="preserve">assessed the risk in the correct way and that the precautionary principle was not wrongly </w:t>
      </w:r>
      <w:r w:rsidR="00B90024">
        <w:rPr>
          <w:rFonts w:eastAsia="Times New Roman" w:cs="Times New Roman"/>
        </w:rPr>
        <w:tab/>
        <w:t xml:space="preserve">applied. </w:t>
      </w:r>
    </w:p>
    <w:p w14:paraId="138E1BCF" w14:textId="77777777" w:rsidR="00B90024" w:rsidRDefault="00B90024" w:rsidP="00241052">
      <w:pPr>
        <w:rPr>
          <w:rFonts w:eastAsia="Times New Roman" w:cs="Times New Roman"/>
        </w:rPr>
      </w:pPr>
    </w:p>
    <w:p w14:paraId="4DCD9A8E" w14:textId="77777777" w:rsidR="00B90024" w:rsidRDefault="00B90024" w:rsidP="00241052">
      <w:pPr>
        <w:rPr>
          <w:rFonts w:eastAsia="Times New Roman" w:cs="Times New Roman"/>
        </w:rPr>
      </w:pPr>
      <w:r>
        <w:rPr>
          <w:rFonts w:eastAsia="Times New Roman" w:cs="Times New Roman"/>
        </w:rPr>
        <w:tab/>
        <w:t xml:space="preserve">Pfizer further claimed that the proportionality principle had been violated because the </w:t>
      </w:r>
      <w:r>
        <w:rPr>
          <w:rFonts w:eastAsia="Times New Roman" w:cs="Times New Roman"/>
        </w:rPr>
        <w:tab/>
        <w:t xml:space="preserve">measure formed a manifestly inappropriate means of achieving the objective pursued. CFI </w:t>
      </w:r>
      <w:r>
        <w:rPr>
          <w:rFonts w:eastAsia="Times New Roman" w:cs="Times New Roman"/>
        </w:rPr>
        <w:tab/>
        <w:t xml:space="preserve">explained that this principle required that measures adopted by Community institutions </w:t>
      </w:r>
      <w:r>
        <w:rPr>
          <w:rFonts w:eastAsia="Times New Roman" w:cs="Times New Roman"/>
        </w:rPr>
        <w:tab/>
        <w:t xml:space="preserve">should not exceed the limits of what is appropriate and necessary in order to attain the </w:t>
      </w:r>
      <w:r>
        <w:rPr>
          <w:rFonts w:eastAsia="Times New Roman" w:cs="Times New Roman"/>
        </w:rPr>
        <w:tab/>
        <w:t>legitimate objectives pursued by the legislation in question.</w:t>
      </w:r>
      <w:r w:rsidR="000568B1">
        <w:rPr>
          <w:rFonts w:eastAsia="Times New Roman" w:cs="Times New Roman"/>
        </w:rPr>
        <w:t xml:space="preserve"> The court held that the Community </w:t>
      </w:r>
      <w:r w:rsidR="000568B1">
        <w:rPr>
          <w:rFonts w:eastAsia="Times New Roman" w:cs="Times New Roman"/>
        </w:rPr>
        <w:tab/>
        <w:t>institutions did not make an error of assessment.</w:t>
      </w:r>
    </w:p>
    <w:p w14:paraId="63AF28ED" w14:textId="77777777" w:rsidR="000568B1" w:rsidRDefault="000568B1" w:rsidP="00241052">
      <w:pPr>
        <w:rPr>
          <w:rFonts w:eastAsia="Times New Roman" w:cs="Times New Roman"/>
        </w:rPr>
      </w:pPr>
    </w:p>
    <w:p w14:paraId="51C20927" w14:textId="77777777" w:rsidR="000568B1" w:rsidRPr="000568B1" w:rsidRDefault="000568B1" w:rsidP="00241052">
      <w:pPr>
        <w:rPr>
          <w:rFonts w:eastAsia="Times New Roman" w:cs="Times New Roman"/>
          <w:b/>
        </w:rPr>
      </w:pPr>
      <w:r w:rsidRPr="000568B1">
        <w:rPr>
          <w:rFonts w:eastAsia="Times New Roman" w:cs="Times New Roman"/>
          <w:b/>
        </w:rPr>
        <w:t>Concluding remarks</w:t>
      </w:r>
    </w:p>
    <w:p w14:paraId="1BE5FD14" w14:textId="77777777" w:rsidR="000568B1" w:rsidRDefault="000568B1" w:rsidP="00241052">
      <w:pPr>
        <w:rPr>
          <w:rFonts w:eastAsia="Times New Roman" w:cs="Times New Roman"/>
        </w:rPr>
      </w:pPr>
    </w:p>
    <w:p w14:paraId="612AAEEC" w14:textId="77777777" w:rsidR="000568B1" w:rsidRDefault="000568B1" w:rsidP="00241052">
      <w:pPr>
        <w:rPr>
          <w:rFonts w:eastAsia="Times New Roman" w:cs="Times New Roman"/>
        </w:rPr>
      </w:pPr>
      <w:r>
        <w:rPr>
          <w:rFonts w:eastAsia="Times New Roman" w:cs="Times New Roman"/>
        </w:rPr>
        <w:tab/>
        <w:t xml:space="preserve">The CFI applied a line of reasoning which underlines the importance of avoiding arbitrary </w:t>
      </w:r>
      <w:r>
        <w:rPr>
          <w:rFonts w:eastAsia="Times New Roman" w:cs="Times New Roman"/>
        </w:rPr>
        <w:tab/>
        <w:t>measures, but gave the institutions with a very wide margin of discretion.</w:t>
      </w:r>
    </w:p>
    <w:p w14:paraId="3D857897" w14:textId="77777777" w:rsidR="000568B1" w:rsidRDefault="000568B1" w:rsidP="00241052">
      <w:pPr>
        <w:rPr>
          <w:rFonts w:eastAsia="Times New Roman" w:cs="Times New Roman"/>
        </w:rPr>
      </w:pPr>
    </w:p>
    <w:p w14:paraId="446FFF10" w14:textId="77777777" w:rsidR="000568B1" w:rsidRDefault="000568B1" w:rsidP="00241052">
      <w:pPr>
        <w:rPr>
          <w:rFonts w:eastAsia="Times New Roman" w:cs="Times New Roman"/>
        </w:rPr>
      </w:pPr>
      <w:r>
        <w:rPr>
          <w:rFonts w:eastAsia="Times New Roman" w:cs="Times New Roman"/>
        </w:rPr>
        <w:tab/>
      </w:r>
      <w:r w:rsidR="00BE3DC3">
        <w:rPr>
          <w:rFonts w:eastAsia="Times New Roman" w:cs="Times New Roman"/>
        </w:rPr>
        <w:t>Communication</w:t>
      </w:r>
      <w:r>
        <w:rPr>
          <w:rFonts w:eastAsia="Times New Roman" w:cs="Times New Roman"/>
        </w:rPr>
        <w:t xml:space="preserve"> (2000) 1 can be used as a means to test the precautionary measures in the </w:t>
      </w:r>
      <w:r>
        <w:rPr>
          <w:rFonts w:eastAsia="Times New Roman" w:cs="Times New Roman"/>
        </w:rPr>
        <w:tab/>
        <w:t>future.</w:t>
      </w:r>
    </w:p>
    <w:p w14:paraId="1798EA39" w14:textId="77777777" w:rsidR="000568B1" w:rsidRDefault="000568B1" w:rsidP="00241052">
      <w:pPr>
        <w:rPr>
          <w:rFonts w:eastAsia="Times New Roman" w:cs="Times New Roman"/>
        </w:rPr>
      </w:pPr>
    </w:p>
    <w:p w14:paraId="605E4547" w14:textId="77777777" w:rsidR="000568B1" w:rsidRPr="00FD73F9" w:rsidRDefault="000568B1" w:rsidP="00241052">
      <w:pPr>
        <w:rPr>
          <w:rFonts w:eastAsia="Times New Roman" w:cs="Times New Roman"/>
        </w:rPr>
      </w:pPr>
      <w:r>
        <w:rPr>
          <w:rFonts w:eastAsia="Times New Roman" w:cs="Times New Roman"/>
        </w:rPr>
        <w:tab/>
      </w:r>
    </w:p>
    <w:sectPr w:rsidR="000568B1" w:rsidRPr="00FD73F9" w:rsidSect="00F604ED"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6D4E8F"/>
    <w:multiLevelType w:val="hybridMultilevel"/>
    <w:tmpl w:val="3B1E4CEE"/>
    <w:lvl w:ilvl="0" w:tplc="1A44EF1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>
    <w:nsid w:val="6E3F3FF4"/>
    <w:multiLevelType w:val="hybridMultilevel"/>
    <w:tmpl w:val="B0961BD4"/>
    <w:lvl w:ilvl="0" w:tplc="00A64F7C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04ED"/>
    <w:rsid w:val="000568B1"/>
    <w:rsid w:val="000A3379"/>
    <w:rsid w:val="000B6DD0"/>
    <w:rsid w:val="002000EB"/>
    <w:rsid w:val="00241052"/>
    <w:rsid w:val="00242581"/>
    <w:rsid w:val="002A0132"/>
    <w:rsid w:val="003366B9"/>
    <w:rsid w:val="006C2405"/>
    <w:rsid w:val="00750AB8"/>
    <w:rsid w:val="0088168D"/>
    <w:rsid w:val="009159D8"/>
    <w:rsid w:val="009D03A8"/>
    <w:rsid w:val="00A17E0F"/>
    <w:rsid w:val="00A2461A"/>
    <w:rsid w:val="00A9710C"/>
    <w:rsid w:val="00AF5483"/>
    <w:rsid w:val="00B90024"/>
    <w:rsid w:val="00BB73C7"/>
    <w:rsid w:val="00BE3DC3"/>
    <w:rsid w:val="00D669D6"/>
    <w:rsid w:val="00D97BAC"/>
    <w:rsid w:val="00DB271B"/>
    <w:rsid w:val="00DD1C0D"/>
    <w:rsid w:val="00E1008D"/>
    <w:rsid w:val="00F01A16"/>
    <w:rsid w:val="00F11274"/>
    <w:rsid w:val="00F13210"/>
    <w:rsid w:val="00F604ED"/>
    <w:rsid w:val="00F90B11"/>
    <w:rsid w:val="00FD7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DFCC55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90B1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90B1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409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9A1B9A31-3373-5B4A-A2B9-164B6C9365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1650</Words>
  <Characters>9409</Characters>
  <Application>Microsoft Macintosh Word</Application>
  <DocSecurity>0</DocSecurity>
  <Lines>78</Lines>
  <Paragraphs>22</Paragraphs>
  <ScaleCrop>false</ScaleCrop>
  <Company>University of the West of England</Company>
  <LinksUpToDate>false</LinksUpToDate>
  <CharactersWithSpaces>11037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Marco Anderson</dc:creator>
  <cp:keywords/>
  <dc:description/>
  <cp:lastModifiedBy>Christopher Olsen</cp:lastModifiedBy>
  <cp:revision>7</cp:revision>
  <dcterms:created xsi:type="dcterms:W3CDTF">2016-10-24T00:05:00Z</dcterms:created>
  <dcterms:modified xsi:type="dcterms:W3CDTF">2016-10-24T12:37:00Z</dcterms:modified>
</cp:coreProperties>
</file>