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F2C6ED" w14:textId="77777777" w:rsidR="00973AA9" w:rsidRPr="00A60DAC" w:rsidRDefault="00973AA9" w:rsidP="00973AA9">
      <w:pPr>
        <w:jc w:val="center"/>
        <w:rPr>
          <w:rFonts w:ascii="Baskerville" w:hAnsi="Baskerville"/>
          <w:b/>
          <w:sz w:val="28"/>
          <w:szCs w:val="28"/>
          <w:u w:val="single"/>
        </w:rPr>
      </w:pPr>
      <w:r w:rsidRPr="00A60DAC">
        <w:rPr>
          <w:rFonts w:ascii="Baskerville" w:hAnsi="Baskerville"/>
          <w:b/>
          <w:sz w:val="28"/>
          <w:szCs w:val="28"/>
          <w:u w:val="single"/>
        </w:rPr>
        <w:t>Bibliography</w:t>
      </w:r>
    </w:p>
    <w:p w14:paraId="78C63EAC" w14:textId="77777777" w:rsidR="00973AA9" w:rsidRDefault="00973AA9" w:rsidP="00973AA9">
      <w:pPr>
        <w:rPr>
          <w:rFonts w:ascii="Baskerville" w:hAnsi="Baskerville"/>
          <w:b/>
          <w:u w:val="single"/>
        </w:rPr>
      </w:pPr>
    </w:p>
    <w:p w14:paraId="685F3EBF" w14:textId="77777777" w:rsidR="00973AA9" w:rsidRDefault="00973AA9" w:rsidP="00973AA9">
      <w:pPr>
        <w:rPr>
          <w:rFonts w:ascii="Baskerville" w:hAnsi="Baskerville"/>
          <w:b/>
          <w:u w:val="single"/>
        </w:rPr>
      </w:pPr>
      <w:r>
        <w:rPr>
          <w:rFonts w:ascii="Baskerville" w:hAnsi="Baskerville"/>
          <w:b/>
          <w:u w:val="single"/>
        </w:rPr>
        <w:t>Primary Sources</w:t>
      </w:r>
    </w:p>
    <w:p w14:paraId="28F725BE" w14:textId="77777777" w:rsidR="00973AA9" w:rsidRDefault="00973AA9" w:rsidP="00973AA9">
      <w:pPr>
        <w:rPr>
          <w:rFonts w:ascii="Baskerville" w:hAnsi="Baskerville"/>
          <w:bCs/>
          <w:sz w:val="20"/>
          <w:szCs w:val="20"/>
          <w:lang w:val="en-US"/>
        </w:rPr>
      </w:pPr>
    </w:p>
    <w:p w14:paraId="2C6FA345" w14:textId="77777777" w:rsidR="00CA5E58" w:rsidRDefault="00CA5E58" w:rsidP="00CA5E58">
      <w:pPr>
        <w:rPr>
          <w:rFonts w:ascii="Baskerville" w:hAnsi="Baskerville"/>
          <w:b/>
          <w:lang w:val="en-US"/>
        </w:rPr>
      </w:pPr>
      <w:r>
        <w:rPr>
          <w:rFonts w:ascii="Baskerville" w:hAnsi="Baskerville"/>
          <w:b/>
          <w:lang w:val="en-US"/>
        </w:rPr>
        <w:t>Case Law</w:t>
      </w:r>
    </w:p>
    <w:p w14:paraId="51D75F37" w14:textId="77777777" w:rsidR="00CA5E58" w:rsidRDefault="00CA5E58" w:rsidP="00CA5E58">
      <w:pPr>
        <w:rPr>
          <w:rFonts w:ascii="Baskerville" w:hAnsi="Baskerville"/>
          <w:bCs/>
          <w:i/>
          <w:iCs/>
          <w:sz w:val="20"/>
          <w:szCs w:val="20"/>
          <w:lang w:val="en-US"/>
        </w:rPr>
      </w:pPr>
    </w:p>
    <w:p w14:paraId="440E16A5" w14:textId="77777777" w:rsidR="00124179" w:rsidRDefault="00124179" w:rsidP="00124179">
      <w:pPr>
        <w:rPr>
          <w:rFonts w:ascii="Baskerville" w:hAnsi="Baskerville"/>
          <w:sz w:val="20"/>
          <w:szCs w:val="20"/>
        </w:rPr>
      </w:pPr>
      <w:r w:rsidRPr="00CA7D22">
        <w:rPr>
          <w:rFonts w:ascii="Baskerville" w:hAnsi="Baskerville"/>
          <w:sz w:val="20"/>
          <w:szCs w:val="20"/>
        </w:rPr>
        <w:t xml:space="preserve">Case T-70/99 </w:t>
      </w:r>
      <w:r w:rsidRPr="00CA7D22">
        <w:rPr>
          <w:rFonts w:ascii="Baskerville" w:hAnsi="Baskerville"/>
          <w:i/>
          <w:sz w:val="20"/>
          <w:szCs w:val="20"/>
        </w:rPr>
        <w:t>Alpharama</w:t>
      </w:r>
      <w:r>
        <w:rPr>
          <w:rFonts w:ascii="Baskerville" w:hAnsi="Baskerville"/>
          <w:sz w:val="20"/>
          <w:szCs w:val="20"/>
        </w:rPr>
        <w:t xml:space="preserve"> (2002) ECR 11-3945</w:t>
      </w:r>
    </w:p>
    <w:p w14:paraId="6B879779" w14:textId="77777777" w:rsidR="00124179" w:rsidRDefault="00124179" w:rsidP="00124179">
      <w:pPr>
        <w:rPr>
          <w:rFonts w:ascii="Baskerville" w:hAnsi="Baskerville"/>
          <w:bCs/>
          <w:sz w:val="20"/>
          <w:szCs w:val="20"/>
          <w:lang w:val="en-US"/>
        </w:rPr>
      </w:pPr>
    </w:p>
    <w:p w14:paraId="4E6C8FF4" w14:textId="77777777" w:rsidR="00CA5E58" w:rsidRDefault="00CA5E58" w:rsidP="00CA5E58">
      <w:pPr>
        <w:rPr>
          <w:rFonts w:ascii="Baskerville" w:hAnsi="Baskerville"/>
          <w:bCs/>
          <w:sz w:val="20"/>
          <w:szCs w:val="20"/>
          <w:lang w:val="en-US"/>
        </w:rPr>
      </w:pPr>
      <w:r w:rsidRPr="00CA5E58">
        <w:rPr>
          <w:rFonts w:ascii="Baskerville" w:hAnsi="Baskerville"/>
          <w:bCs/>
          <w:i/>
          <w:iCs/>
          <w:sz w:val="20"/>
          <w:szCs w:val="20"/>
          <w:lang w:val="en-US"/>
        </w:rPr>
        <w:t>Belgium</w:t>
      </w:r>
      <w:r w:rsidRPr="00CA5E58">
        <w:rPr>
          <w:rFonts w:ascii="Baskerville" w:hAnsi="Baskerville"/>
          <w:bCs/>
          <w:sz w:val="20"/>
          <w:szCs w:val="20"/>
          <w:lang w:val="en-US"/>
        </w:rPr>
        <w:t xml:space="preserve"> v </w:t>
      </w:r>
      <w:r w:rsidRPr="00CA5E58">
        <w:rPr>
          <w:rFonts w:ascii="Baskerville" w:hAnsi="Baskerville"/>
          <w:bCs/>
          <w:i/>
          <w:iCs/>
          <w:sz w:val="20"/>
          <w:szCs w:val="20"/>
          <w:lang w:val="en-US"/>
        </w:rPr>
        <w:t>Netherland</w:t>
      </w:r>
      <w:r>
        <w:rPr>
          <w:rFonts w:ascii="Baskerville" w:hAnsi="Baskerville"/>
          <w:bCs/>
          <w:i/>
          <w:iCs/>
          <w:sz w:val="20"/>
          <w:szCs w:val="20"/>
          <w:lang w:val="en-US"/>
        </w:rPr>
        <w:t>s</w:t>
      </w:r>
      <w:r w:rsidRPr="00CA5E58">
        <w:rPr>
          <w:rFonts w:ascii="Baskerville" w:hAnsi="Baskerville"/>
          <w:bCs/>
          <w:i/>
          <w:iCs/>
          <w:sz w:val="20"/>
          <w:szCs w:val="20"/>
          <w:lang w:val="en-US"/>
        </w:rPr>
        <w:t xml:space="preserve"> </w:t>
      </w:r>
      <w:r w:rsidRPr="00CA5E58">
        <w:rPr>
          <w:rFonts w:ascii="Baskerville" w:hAnsi="Baskerville"/>
          <w:bCs/>
          <w:sz w:val="20"/>
          <w:szCs w:val="20"/>
          <w:lang w:val="en-US"/>
        </w:rPr>
        <w:t xml:space="preserve">(2005) Iron Rhine Arbitration Award, ICGJ 373 Permanent Court of Arbitration </w:t>
      </w:r>
      <w:r w:rsidRPr="00CA7D22">
        <w:rPr>
          <w:rFonts w:ascii="Baskerville" w:hAnsi="Baskerville"/>
          <w:bCs/>
          <w:sz w:val="20"/>
          <w:szCs w:val="20"/>
          <w:lang w:val="en-US"/>
        </w:rPr>
        <w:t>[PCA].</w:t>
      </w:r>
    </w:p>
    <w:p w14:paraId="0EBFEC1C" w14:textId="77777777" w:rsidR="00124179" w:rsidRDefault="00124179" w:rsidP="00CA5E58">
      <w:pPr>
        <w:rPr>
          <w:rFonts w:ascii="Baskerville" w:hAnsi="Baskerville"/>
          <w:bCs/>
          <w:sz w:val="20"/>
          <w:szCs w:val="20"/>
          <w:lang w:val="en-US"/>
        </w:rPr>
      </w:pPr>
    </w:p>
    <w:p w14:paraId="125BC720" w14:textId="77777777" w:rsidR="00124179" w:rsidRDefault="00124179" w:rsidP="00CA5E58">
      <w:pPr>
        <w:rPr>
          <w:rFonts w:ascii="Baskerville" w:hAnsi="Baskerville"/>
          <w:sz w:val="20"/>
          <w:szCs w:val="20"/>
        </w:rPr>
      </w:pPr>
      <w:r w:rsidRPr="00CA7D22">
        <w:rPr>
          <w:rFonts w:ascii="Baskerville" w:hAnsi="Baskerville"/>
          <w:sz w:val="20"/>
          <w:szCs w:val="20"/>
        </w:rPr>
        <w:t xml:space="preserve">Case C-157/96 </w:t>
      </w:r>
      <w:r w:rsidRPr="00CA7D22">
        <w:rPr>
          <w:rFonts w:ascii="Baskerville" w:hAnsi="Baskerville"/>
          <w:i/>
          <w:sz w:val="20"/>
          <w:szCs w:val="20"/>
        </w:rPr>
        <w:t>BSE</w:t>
      </w:r>
      <w:r w:rsidRPr="00CA7D22">
        <w:rPr>
          <w:rFonts w:ascii="Baskerville" w:hAnsi="Baskerville"/>
          <w:sz w:val="20"/>
          <w:szCs w:val="20"/>
        </w:rPr>
        <w:t xml:space="preserve"> (1998) ECR1-2211</w:t>
      </w:r>
    </w:p>
    <w:p w14:paraId="30F1FA15" w14:textId="77777777" w:rsidR="00124179" w:rsidRDefault="00124179" w:rsidP="00CA5E58">
      <w:pPr>
        <w:rPr>
          <w:rFonts w:ascii="Baskerville" w:hAnsi="Baskerville"/>
          <w:sz w:val="20"/>
          <w:szCs w:val="20"/>
        </w:rPr>
      </w:pPr>
    </w:p>
    <w:p w14:paraId="01E5AC7D" w14:textId="77777777" w:rsidR="00124179" w:rsidRDefault="00124179" w:rsidP="00CA5E58">
      <w:pPr>
        <w:rPr>
          <w:rFonts w:ascii="Baskerville" w:hAnsi="Baskerville"/>
          <w:sz w:val="20"/>
          <w:szCs w:val="20"/>
        </w:rPr>
      </w:pPr>
      <w:r w:rsidRPr="00CA7D22">
        <w:rPr>
          <w:rFonts w:ascii="Baskerville" w:hAnsi="Baskerville"/>
          <w:sz w:val="20"/>
          <w:szCs w:val="20"/>
        </w:rPr>
        <w:t xml:space="preserve">Case T-13/99 </w:t>
      </w:r>
      <w:r w:rsidRPr="00CA7D22">
        <w:rPr>
          <w:rFonts w:ascii="Baskerville" w:hAnsi="Baskerville"/>
          <w:i/>
          <w:sz w:val="20"/>
          <w:szCs w:val="20"/>
        </w:rPr>
        <w:t>Pifzer</w:t>
      </w:r>
      <w:r w:rsidRPr="00CA7D22">
        <w:rPr>
          <w:rFonts w:ascii="Baskerville" w:hAnsi="Baskerville"/>
          <w:sz w:val="20"/>
          <w:szCs w:val="20"/>
        </w:rPr>
        <w:t xml:space="preserve"> (2002) ECR 11-3305</w:t>
      </w:r>
    </w:p>
    <w:p w14:paraId="7FB409DA" w14:textId="77777777" w:rsidR="00124179" w:rsidRDefault="00124179" w:rsidP="00CA5E58">
      <w:pPr>
        <w:rPr>
          <w:rFonts w:ascii="Baskerville" w:hAnsi="Baskerville"/>
          <w:sz w:val="20"/>
          <w:szCs w:val="20"/>
        </w:rPr>
      </w:pPr>
    </w:p>
    <w:p w14:paraId="0CFE0396" w14:textId="77777777" w:rsidR="00B04631" w:rsidRDefault="00B04631" w:rsidP="00CA5E58">
      <w:pPr>
        <w:rPr>
          <w:rFonts w:ascii="Baskerville" w:hAnsi="Baskerville"/>
          <w:bCs/>
          <w:sz w:val="20"/>
          <w:szCs w:val="20"/>
          <w:lang w:val="en-US"/>
        </w:rPr>
      </w:pPr>
    </w:p>
    <w:p w14:paraId="64375745" w14:textId="5CD0F6BF" w:rsidR="00B04631" w:rsidRDefault="00B04631" w:rsidP="00B04631">
      <w:pPr>
        <w:rPr>
          <w:rFonts w:ascii="Baskerville" w:hAnsi="Baskerville"/>
          <w:b/>
          <w:lang w:val="en-US"/>
        </w:rPr>
      </w:pPr>
      <w:r>
        <w:rPr>
          <w:rFonts w:ascii="Baskerville" w:hAnsi="Baskerville"/>
          <w:b/>
          <w:lang w:val="en-US"/>
        </w:rPr>
        <w:t>Legislation</w:t>
      </w:r>
    </w:p>
    <w:p w14:paraId="4C1CE44D" w14:textId="77777777" w:rsidR="00973AA9" w:rsidRPr="00DA1E80" w:rsidRDefault="00973AA9" w:rsidP="00973AA9">
      <w:pPr>
        <w:rPr>
          <w:rFonts w:ascii="Baskerville" w:hAnsi="Baskerville"/>
          <w:b/>
          <w:sz w:val="28"/>
          <w:szCs w:val="28"/>
          <w:u w:val="single"/>
        </w:rPr>
      </w:pPr>
    </w:p>
    <w:p w14:paraId="4CD5B5F9" w14:textId="77777777" w:rsidR="00B04631" w:rsidRDefault="00B04631" w:rsidP="00B04631">
      <w:pPr>
        <w:rPr>
          <w:rFonts w:ascii="Baskerville" w:hAnsi="Baskerville"/>
          <w:sz w:val="20"/>
          <w:szCs w:val="20"/>
          <w:lang w:val="en-US"/>
        </w:rPr>
      </w:pPr>
      <w:r w:rsidRPr="00D62FB4">
        <w:rPr>
          <w:rFonts w:ascii="Baskerville" w:hAnsi="Baskerville"/>
          <w:sz w:val="20"/>
          <w:szCs w:val="20"/>
          <w:lang w:val="en-US"/>
        </w:rPr>
        <w:t>Canada C</w:t>
      </w:r>
      <w:r>
        <w:rPr>
          <w:rFonts w:ascii="Baskerville" w:hAnsi="Baskerville"/>
          <w:sz w:val="20"/>
          <w:szCs w:val="20"/>
          <w:lang w:val="en-US"/>
        </w:rPr>
        <w:t>onsumer Product Safety Act 2010</w:t>
      </w:r>
    </w:p>
    <w:p w14:paraId="12672664" w14:textId="77777777" w:rsidR="00B04631" w:rsidRDefault="00B04631" w:rsidP="00B04631">
      <w:pPr>
        <w:rPr>
          <w:rFonts w:ascii="Baskerville" w:hAnsi="Baskerville"/>
          <w:sz w:val="20"/>
          <w:szCs w:val="20"/>
          <w:lang w:val="en-US"/>
        </w:rPr>
      </w:pPr>
    </w:p>
    <w:p w14:paraId="5BDDFDA3" w14:textId="6E5839A4" w:rsidR="00D4734B" w:rsidRDefault="00D4734B" w:rsidP="00B04631">
      <w:pPr>
        <w:rPr>
          <w:rFonts w:ascii="Baskerville" w:hAnsi="Baskerville"/>
          <w:sz w:val="20"/>
          <w:szCs w:val="20"/>
          <w:lang w:val="en-US"/>
        </w:rPr>
      </w:pPr>
      <w:r w:rsidRPr="00D4734B">
        <w:rPr>
          <w:rFonts w:ascii="Baskerville" w:hAnsi="Baskerville"/>
          <w:sz w:val="20"/>
          <w:szCs w:val="20"/>
          <w:lang w:val="en-US"/>
        </w:rPr>
        <w:t>Canada Marine Conservation Areas Act 2002</w:t>
      </w:r>
    </w:p>
    <w:p w14:paraId="4D28F592" w14:textId="77777777" w:rsidR="00D4734B" w:rsidRDefault="00D4734B" w:rsidP="00B04631">
      <w:pPr>
        <w:rPr>
          <w:rFonts w:ascii="Baskerville" w:hAnsi="Baskerville"/>
          <w:sz w:val="20"/>
          <w:szCs w:val="20"/>
          <w:lang w:val="en-US"/>
        </w:rPr>
      </w:pPr>
    </w:p>
    <w:p w14:paraId="47B8B580" w14:textId="3DB2E0CE" w:rsidR="00B04631" w:rsidRDefault="00B04631" w:rsidP="00B04631">
      <w:pPr>
        <w:rPr>
          <w:rFonts w:ascii="Baskerville" w:hAnsi="Baskerville"/>
          <w:sz w:val="20"/>
          <w:szCs w:val="20"/>
          <w:lang w:val="en-US"/>
        </w:rPr>
      </w:pPr>
      <w:r w:rsidRPr="002C2618">
        <w:rPr>
          <w:rFonts w:ascii="Baskerville" w:hAnsi="Baskerville"/>
          <w:sz w:val="20"/>
          <w:szCs w:val="20"/>
          <w:lang w:val="en-US"/>
        </w:rPr>
        <w:t>Canadian Environmental Protection Act 1999</w:t>
      </w:r>
    </w:p>
    <w:p w14:paraId="6FE6BD70" w14:textId="77777777" w:rsidR="00D4734B" w:rsidRDefault="00D4734B" w:rsidP="00B04631">
      <w:pPr>
        <w:rPr>
          <w:rFonts w:ascii="Baskerville" w:hAnsi="Baskerville"/>
          <w:sz w:val="20"/>
          <w:szCs w:val="20"/>
          <w:lang w:val="en-US"/>
        </w:rPr>
      </w:pPr>
    </w:p>
    <w:p w14:paraId="01FE642F" w14:textId="1756012B" w:rsidR="00D4734B" w:rsidRDefault="00D4734B" w:rsidP="00B04631">
      <w:pPr>
        <w:rPr>
          <w:rFonts w:ascii="Baskerville" w:hAnsi="Baskerville"/>
          <w:sz w:val="20"/>
          <w:szCs w:val="20"/>
          <w:lang w:val="en-US"/>
        </w:rPr>
      </w:pPr>
      <w:r w:rsidRPr="00D4734B">
        <w:rPr>
          <w:rFonts w:ascii="Baskerville" w:hAnsi="Baskerville"/>
          <w:sz w:val="20"/>
          <w:szCs w:val="20"/>
          <w:lang w:val="en-US"/>
        </w:rPr>
        <w:t>Pest Control Products Act S.C. 2002</w:t>
      </w:r>
    </w:p>
    <w:p w14:paraId="1417CAD7" w14:textId="77777777" w:rsidR="00B04631" w:rsidRDefault="00B04631" w:rsidP="00973AA9">
      <w:pPr>
        <w:rPr>
          <w:rFonts w:ascii="Baskerville" w:hAnsi="Baskerville"/>
          <w:sz w:val="20"/>
          <w:szCs w:val="20"/>
          <w:lang w:val="en-US"/>
        </w:rPr>
      </w:pPr>
    </w:p>
    <w:p w14:paraId="0B6F35A4" w14:textId="77777777" w:rsidR="00973AA9" w:rsidRPr="002C2618" w:rsidRDefault="00973AA9" w:rsidP="00973AA9">
      <w:pPr>
        <w:rPr>
          <w:rFonts w:ascii="Baskerville" w:hAnsi="Baskerville"/>
          <w:sz w:val="20"/>
          <w:szCs w:val="20"/>
          <w:lang w:val="en-US"/>
        </w:rPr>
      </w:pPr>
      <w:r w:rsidRPr="002C2618">
        <w:rPr>
          <w:rFonts w:ascii="Baskerville" w:hAnsi="Baskerville"/>
          <w:sz w:val="20"/>
          <w:szCs w:val="20"/>
          <w:lang w:val="en-US"/>
        </w:rPr>
        <w:t>The Single European Act 1986</w:t>
      </w:r>
    </w:p>
    <w:p w14:paraId="53BEBCC8" w14:textId="77777777" w:rsidR="00973AA9" w:rsidRDefault="00973AA9" w:rsidP="00973AA9">
      <w:pPr>
        <w:rPr>
          <w:rFonts w:ascii="Baskerville" w:hAnsi="Baskerville"/>
          <w:sz w:val="20"/>
          <w:szCs w:val="20"/>
          <w:lang w:val="en-US"/>
        </w:rPr>
      </w:pPr>
    </w:p>
    <w:p w14:paraId="0EC20DD4" w14:textId="237C4462" w:rsidR="00B04631" w:rsidRDefault="00B04631" w:rsidP="00B04631">
      <w:pPr>
        <w:rPr>
          <w:rFonts w:ascii="Baskerville" w:hAnsi="Baskerville"/>
          <w:b/>
          <w:lang w:val="en-US"/>
        </w:rPr>
      </w:pPr>
      <w:r>
        <w:rPr>
          <w:rFonts w:ascii="Baskerville" w:hAnsi="Baskerville"/>
          <w:b/>
          <w:lang w:val="en-US"/>
        </w:rPr>
        <w:t>Declarations</w:t>
      </w:r>
    </w:p>
    <w:p w14:paraId="4E9CCB52" w14:textId="77777777" w:rsidR="00973AA9" w:rsidRDefault="00973AA9" w:rsidP="00973AA9">
      <w:pPr>
        <w:pStyle w:val="FootnoteText"/>
        <w:rPr>
          <w:rFonts w:ascii="Baskerville" w:hAnsi="Baskerville"/>
          <w:i/>
          <w:iCs/>
          <w:sz w:val="20"/>
          <w:szCs w:val="20"/>
          <w:lang w:val="en-US"/>
        </w:rPr>
      </w:pPr>
    </w:p>
    <w:p w14:paraId="7030F3DC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95395D">
        <w:rPr>
          <w:rFonts w:ascii="Baskerville" w:hAnsi="Baskerville"/>
          <w:iCs/>
          <w:sz w:val="20"/>
          <w:szCs w:val="20"/>
          <w:lang w:val="en-US"/>
        </w:rPr>
        <w:t>Hague Declaration on the Environment</w:t>
      </w:r>
      <w:r>
        <w:rPr>
          <w:rFonts w:ascii="Baskerville" w:hAnsi="Baskerville"/>
          <w:iCs/>
          <w:sz w:val="20"/>
          <w:szCs w:val="20"/>
          <w:lang w:val="en-US"/>
        </w:rPr>
        <w:t xml:space="preserve"> (1989)</w:t>
      </w:r>
      <w:r w:rsidRPr="00E15050"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 w:rsidRPr="00E15050">
        <w:rPr>
          <w:rFonts w:ascii="Baskerville" w:hAnsi="Baskerville"/>
          <w:iCs/>
          <w:sz w:val="20"/>
          <w:szCs w:val="20"/>
          <w:lang w:val="en-US"/>
        </w:rPr>
        <w:t>28</w:t>
      </w:r>
      <w:r w:rsidRPr="00E15050"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ILM</w:t>
      </w:r>
      <w:r w:rsidRPr="00E15050">
        <w:rPr>
          <w:rFonts w:ascii="Baskerville" w:hAnsi="Baskerville"/>
          <w:sz w:val="20"/>
          <w:szCs w:val="20"/>
          <w:lang w:val="en-US"/>
        </w:rPr>
        <w:t xml:space="preserve"> 1308 </w:t>
      </w:r>
    </w:p>
    <w:p w14:paraId="297B9D4B" w14:textId="77777777" w:rsidR="00B04631" w:rsidRDefault="00B04631" w:rsidP="00973AA9">
      <w:pPr>
        <w:pStyle w:val="FootnoteText"/>
        <w:rPr>
          <w:rFonts w:ascii="Baskerville" w:hAnsi="Baskerville"/>
        </w:rPr>
      </w:pPr>
    </w:p>
    <w:p w14:paraId="5177DAE8" w14:textId="77777777" w:rsidR="00B04631" w:rsidRPr="0091002A" w:rsidRDefault="00B04631" w:rsidP="00B04631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91002A">
        <w:rPr>
          <w:rFonts w:ascii="Baskerville" w:hAnsi="Baskerville"/>
          <w:sz w:val="20"/>
          <w:szCs w:val="20"/>
        </w:rPr>
        <w:t>United Nations, ‘</w:t>
      </w:r>
      <w:r w:rsidRPr="0091002A">
        <w:rPr>
          <w:rFonts w:ascii="Baskerville" w:hAnsi="Baskerville"/>
          <w:sz w:val="20"/>
          <w:szCs w:val="20"/>
          <w:lang w:val="en-US"/>
        </w:rPr>
        <w:t>The Rio Declaration on Environment and Development’</w:t>
      </w:r>
      <w:r w:rsidRPr="0091002A">
        <w:rPr>
          <w:rFonts w:ascii="Baskerville" w:hAnsi="Baskerville"/>
          <w:sz w:val="20"/>
          <w:szCs w:val="20"/>
        </w:rPr>
        <w:t xml:space="preserve"> (1992) 1</w:t>
      </w:r>
      <w:r w:rsidRPr="0091002A">
        <w:rPr>
          <w:rFonts w:ascii="Baskerville" w:hAnsi="Baskerville"/>
          <w:sz w:val="20"/>
          <w:szCs w:val="20"/>
          <w:lang w:val="en-US"/>
        </w:rPr>
        <w:t xml:space="preserve"> </w:t>
      </w:r>
    </w:p>
    <w:p w14:paraId="7E15E83E" w14:textId="77777777" w:rsidR="00B04631" w:rsidRPr="0091002A" w:rsidRDefault="00B04631" w:rsidP="00B04631">
      <w:pPr>
        <w:pStyle w:val="FootnoteText"/>
        <w:rPr>
          <w:rFonts w:ascii="Baskerville" w:hAnsi="Baskerville"/>
          <w:sz w:val="20"/>
          <w:szCs w:val="20"/>
        </w:rPr>
      </w:pPr>
      <w:r w:rsidRPr="0091002A">
        <w:rPr>
          <w:rFonts w:ascii="Baskerville" w:hAnsi="Baskerville"/>
          <w:sz w:val="20"/>
          <w:szCs w:val="20"/>
          <w:lang w:val="en-US"/>
        </w:rPr>
        <w:t>UN Doc A/CONF151/26 /31 ILM 874</w:t>
      </w:r>
    </w:p>
    <w:p w14:paraId="71583113" w14:textId="77777777" w:rsidR="00B04631" w:rsidRDefault="00B04631" w:rsidP="00973AA9">
      <w:pPr>
        <w:pStyle w:val="FootnoteText"/>
        <w:rPr>
          <w:rFonts w:ascii="Baskerville" w:hAnsi="Baskerville"/>
          <w:sz w:val="20"/>
          <w:szCs w:val="20"/>
        </w:rPr>
      </w:pPr>
    </w:p>
    <w:p w14:paraId="57653416" w14:textId="77777777" w:rsidR="00B04631" w:rsidRDefault="00B04631" w:rsidP="00B04631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0B5374">
        <w:rPr>
          <w:rFonts w:ascii="Baskerville" w:hAnsi="Baskerville"/>
          <w:sz w:val="20"/>
          <w:szCs w:val="20"/>
        </w:rPr>
        <w:t>United Nations</w:t>
      </w:r>
      <w:r>
        <w:rPr>
          <w:rFonts w:ascii="Baskerville" w:hAnsi="Baskerville"/>
          <w:sz w:val="20"/>
          <w:szCs w:val="20"/>
        </w:rPr>
        <w:t>,</w:t>
      </w:r>
      <w:r w:rsidRPr="000B5374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‘</w:t>
      </w:r>
      <w:r w:rsidRPr="000B5374">
        <w:rPr>
          <w:rFonts w:ascii="Baskerville" w:hAnsi="Baskerville"/>
          <w:sz w:val="20"/>
          <w:szCs w:val="20"/>
        </w:rPr>
        <w:t xml:space="preserve">The Stockholm Declaration </w:t>
      </w:r>
      <w:r w:rsidRPr="000B5374">
        <w:rPr>
          <w:rFonts w:ascii="Baskerville" w:hAnsi="Baskerville"/>
          <w:sz w:val="20"/>
          <w:szCs w:val="20"/>
          <w:lang w:val="en-US"/>
        </w:rPr>
        <w:t>of the United Nations Conference on the Human Environment</w:t>
      </w:r>
      <w:r>
        <w:rPr>
          <w:rFonts w:ascii="Baskerville" w:hAnsi="Baskerville"/>
          <w:sz w:val="20"/>
          <w:szCs w:val="20"/>
          <w:lang w:val="en-US"/>
        </w:rPr>
        <w:t>’</w:t>
      </w:r>
      <w:r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UN Doc A/CONF.48/14/Rev 1(1973)</w:t>
      </w:r>
      <w:r w:rsidRPr="00E4061D">
        <w:rPr>
          <w:rFonts w:ascii="Baskerville" w:hAnsi="Baskerville"/>
          <w:sz w:val="20"/>
          <w:szCs w:val="20"/>
          <w:lang w:val="en-US"/>
        </w:rPr>
        <w:t xml:space="preserve"> 11 ILM 1416 (1972)</w:t>
      </w:r>
    </w:p>
    <w:p w14:paraId="608C2015" w14:textId="77777777" w:rsidR="00B04631" w:rsidRPr="00AC11AD" w:rsidRDefault="00B04631" w:rsidP="00B04631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4CDCE539" w14:textId="665D0342" w:rsidR="00B04631" w:rsidRDefault="00B04631" w:rsidP="00B04631">
      <w:pPr>
        <w:rPr>
          <w:rFonts w:ascii="Baskerville" w:hAnsi="Baskerville"/>
          <w:b/>
          <w:lang w:val="en-US"/>
        </w:rPr>
      </w:pPr>
      <w:r>
        <w:rPr>
          <w:rFonts w:ascii="Baskerville" w:hAnsi="Baskerville"/>
          <w:b/>
          <w:lang w:val="en-US"/>
        </w:rPr>
        <w:t>Treaties</w:t>
      </w:r>
    </w:p>
    <w:p w14:paraId="5F5F9F0F" w14:textId="77777777" w:rsidR="00B04631" w:rsidRDefault="00B04631" w:rsidP="00973AA9">
      <w:pPr>
        <w:pStyle w:val="FootnoteText"/>
        <w:rPr>
          <w:rFonts w:ascii="Baskerville" w:hAnsi="Baskerville"/>
          <w:sz w:val="20"/>
          <w:szCs w:val="20"/>
        </w:rPr>
      </w:pPr>
    </w:p>
    <w:p w14:paraId="51E97D23" w14:textId="77777777" w:rsidR="00973AA9" w:rsidRPr="008D566B" w:rsidRDefault="00973AA9" w:rsidP="00973AA9">
      <w:pPr>
        <w:pStyle w:val="FootnoteText"/>
        <w:rPr>
          <w:rFonts w:ascii="Baskerville" w:hAnsi="Baskerville"/>
          <w:sz w:val="20"/>
          <w:szCs w:val="20"/>
        </w:rPr>
      </w:pPr>
      <w:r w:rsidRPr="008D566B">
        <w:rPr>
          <w:rFonts w:ascii="Baskerville" w:hAnsi="Baskerville"/>
          <w:sz w:val="20"/>
          <w:szCs w:val="20"/>
        </w:rPr>
        <w:t>Treaty Establishing the European Economic Community, (25/3/1957), 298 U.N.T.S. 11.</w:t>
      </w:r>
    </w:p>
    <w:p w14:paraId="05727F63" w14:textId="77777777" w:rsidR="00973AA9" w:rsidRPr="00430B90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7ABC657E" w14:textId="01168DA8" w:rsidR="00B04631" w:rsidRDefault="00B04631" w:rsidP="00B04631">
      <w:pPr>
        <w:rPr>
          <w:rFonts w:ascii="Baskerville" w:hAnsi="Baskerville"/>
          <w:b/>
          <w:lang w:val="en-US"/>
        </w:rPr>
      </w:pPr>
      <w:r>
        <w:rPr>
          <w:rFonts w:ascii="Baskerville" w:hAnsi="Baskerville"/>
          <w:b/>
          <w:lang w:val="en-US"/>
        </w:rPr>
        <w:t>Conventions</w:t>
      </w:r>
    </w:p>
    <w:p w14:paraId="77059D7E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567B6AB8" w14:textId="5D400D97" w:rsidR="002662B0" w:rsidRDefault="002662B0" w:rsidP="002662B0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2662B0">
        <w:rPr>
          <w:rFonts w:ascii="Baskerville" w:hAnsi="Baskerville"/>
          <w:sz w:val="20"/>
          <w:szCs w:val="20"/>
        </w:rPr>
        <w:t>Stockholm Convention on</w:t>
      </w:r>
      <w:r>
        <w:rPr>
          <w:rFonts w:ascii="Baskerville" w:hAnsi="Baskerville"/>
          <w:sz w:val="20"/>
          <w:szCs w:val="20"/>
          <w:lang w:val="en-US"/>
        </w:rPr>
        <w:t xml:space="preserve"> </w:t>
      </w:r>
      <w:r w:rsidRPr="002662B0">
        <w:rPr>
          <w:rFonts w:ascii="Baskerville" w:hAnsi="Baskerville"/>
          <w:sz w:val="20"/>
          <w:szCs w:val="20"/>
        </w:rPr>
        <w:t xml:space="preserve">Persistent Organic Pollutants, </w:t>
      </w:r>
      <w:r w:rsidRPr="002662B0">
        <w:rPr>
          <w:rFonts w:ascii="Baskerville" w:hAnsi="Baskerville"/>
          <w:sz w:val="20"/>
          <w:szCs w:val="20"/>
          <w:lang w:val="en-US"/>
        </w:rPr>
        <w:t>2256 UNTS 119; 40 ILM 532 (2001)</w:t>
      </w:r>
    </w:p>
    <w:p w14:paraId="57B9FB1F" w14:textId="77777777" w:rsidR="002662B0" w:rsidRDefault="002662B0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2D77CFEE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78602F">
        <w:rPr>
          <w:rFonts w:ascii="Baskerville" w:hAnsi="Baskerville"/>
          <w:sz w:val="20"/>
          <w:szCs w:val="20"/>
          <w:lang w:val="en-US"/>
        </w:rPr>
        <w:t>United Nations Conv</w:t>
      </w:r>
      <w:r>
        <w:rPr>
          <w:rFonts w:ascii="Baskerville" w:hAnsi="Baskerville"/>
          <w:sz w:val="20"/>
          <w:szCs w:val="20"/>
          <w:lang w:val="en-US"/>
        </w:rPr>
        <w:t xml:space="preserve">ention on the Law of the Sea (1982) UN Doc </w:t>
      </w:r>
      <w:r w:rsidRPr="0078602F">
        <w:rPr>
          <w:rFonts w:ascii="Baskerville" w:hAnsi="Baskerville"/>
          <w:sz w:val="20"/>
          <w:szCs w:val="20"/>
          <w:lang w:val="en-US"/>
        </w:rPr>
        <w:t>A</w:t>
      </w:r>
      <w:r>
        <w:rPr>
          <w:rFonts w:ascii="Baskerville" w:hAnsi="Baskerville"/>
          <w:sz w:val="20"/>
          <w:szCs w:val="20"/>
          <w:lang w:val="en-US"/>
        </w:rPr>
        <w:t>.</w:t>
      </w:r>
      <w:r w:rsidRPr="0078602F">
        <w:rPr>
          <w:rFonts w:ascii="Baskerville" w:hAnsi="Baskerville"/>
          <w:sz w:val="20"/>
          <w:szCs w:val="20"/>
          <w:lang w:val="en-US"/>
        </w:rPr>
        <w:t>l</w:t>
      </w:r>
      <w:r>
        <w:rPr>
          <w:rFonts w:ascii="Baskerville" w:hAnsi="Baskerville"/>
          <w:sz w:val="20"/>
          <w:szCs w:val="20"/>
          <w:lang w:val="en-US"/>
        </w:rPr>
        <w:t>/CONF.</w:t>
      </w:r>
      <w:r>
        <w:rPr>
          <w:rFonts w:ascii="Baskerville" w:hAnsi="Baskerville"/>
          <w:i/>
          <w:iCs/>
          <w:sz w:val="20"/>
          <w:szCs w:val="20"/>
          <w:lang w:val="en-US"/>
        </w:rPr>
        <w:t>62/122</w:t>
      </w:r>
      <w:r w:rsidRPr="0078602F"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/</w:t>
      </w:r>
      <w:r w:rsidRPr="0078602F">
        <w:rPr>
          <w:rFonts w:ascii="Baskerville" w:hAnsi="Baskerville"/>
          <w:sz w:val="20"/>
          <w:szCs w:val="20"/>
          <w:lang w:val="en-US"/>
        </w:rPr>
        <w:t xml:space="preserve">21 </w:t>
      </w:r>
      <w:r>
        <w:rPr>
          <w:rFonts w:ascii="Baskerville" w:hAnsi="Baskerville"/>
          <w:sz w:val="20"/>
          <w:szCs w:val="20"/>
          <w:lang w:val="en-US"/>
        </w:rPr>
        <w:t xml:space="preserve">ILM </w:t>
      </w:r>
      <w:r w:rsidRPr="0078602F">
        <w:rPr>
          <w:rFonts w:ascii="Baskerville" w:hAnsi="Baskerville"/>
          <w:sz w:val="20"/>
          <w:szCs w:val="20"/>
          <w:lang w:val="en-US"/>
        </w:rPr>
        <w:t xml:space="preserve">1261 </w:t>
      </w:r>
    </w:p>
    <w:p w14:paraId="5D5DD161" w14:textId="77777777" w:rsidR="00141AA8" w:rsidRDefault="00141AA8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733663DB" w14:textId="08A1BECD" w:rsidR="00141AA8" w:rsidRPr="0078602F" w:rsidRDefault="00141AA8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141AA8">
        <w:rPr>
          <w:rFonts w:ascii="Baskerville" w:hAnsi="Baskerville"/>
          <w:sz w:val="20"/>
          <w:szCs w:val="20"/>
        </w:rPr>
        <w:t xml:space="preserve">United Nations Framework Convention on Climate Change (UNFCCC), </w:t>
      </w:r>
      <w:r w:rsidRPr="00141AA8">
        <w:rPr>
          <w:rFonts w:ascii="Baskerville" w:hAnsi="Baskerville"/>
          <w:sz w:val="20"/>
          <w:szCs w:val="20"/>
          <w:lang w:val="en-US"/>
        </w:rPr>
        <w:t>1771 UNTS 107; S. Treaty Doc No. 102-38; U.N. Doc. A/AC.237/18 (Part II)/Add.1; 31 ILM 849 (1992)</w:t>
      </w:r>
    </w:p>
    <w:p w14:paraId="68709954" w14:textId="77777777" w:rsidR="00973AA9" w:rsidRDefault="00973AA9" w:rsidP="00973AA9">
      <w:pPr>
        <w:pStyle w:val="FootnoteText"/>
        <w:rPr>
          <w:rFonts w:ascii="Baskerville" w:hAnsi="Baskerville"/>
        </w:rPr>
      </w:pPr>
    </w:p>
    <w:p w14:paraId="27B922F8" w14:textId="7D564513" w:rsidR="00973AA9" w:rsidRPr="002662B0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AC11AD">
        <w:rPr>
          <w:rStyle w:val="FootnoteReference"/>
          <w:rFonts w:ascii="Baskerville" w:hAnsi="Baskerville"/>
          <w:sz w:val="20"/>
          <w:szCs w:val="20"/>
          <w:vertAlign w:val="baseline"/>
        </w:rPr>
        <w:t>United Nations</w:t>
      </w:r>
      <w:r>
        <w:rPr>
          <w:rFonts w:ascii="Baskerville" w:hAnsi="Baskerville"/>
          <w:sz w:val="20"/>
          <w:szCs w:val="20"/>
        </w:rPr>
        <w:t xml:space="preserve"> </w:t>
      </w:r>
      <w:r w:rsidRPr="00AC11AD">
        <w:rPr>
          <w:rFonts w:ascii="Baskerville" w:hAnsi="Baskerville"/>
          <w:sz w:val="20"/>
          <w:szCs w:val="20"/>
          <w:lang w:val="en-US"/>
        </w:rPr>
        <w:t>Paris Convention for the Protection of the Marine Environm</w:t>
      </w:r>
      <w:r>
        <w:rPr>
          <w:rFonts w:ascii="Baskerville" w:hAnsi="Baskerville"/>
          <w:sz w:val="20"/>
          <w:szCs w:val="20"/>
          <w:lang w:val="en-US"/>
        </w:rPr>
        <w:t xml:space="preserve">ent of the North East Atlantic (1993) </w:t>
      </w:r>
      <w:r w:rsidRPr="00AC11AD">
        <w:rPr>
          <w:rFonts w:ascii="Baskerville" w:hAnsi="Baskerville"/>
          <w:sz w:val="20"/>
          <w:szCs w:val="20"/>
          <w:lang w:val="en-US"/>
        </w:rPr>
        <w:t>2</w:t>
      </w:r>
      <w:r>
        <w:rPr>
          <w:rFonts w:ascii="Baskerville" w:hAnsi="Baskerville"/>
          <w:sz w:val="20"/>
          <w:szCs w:val="20"/>
          <w:lang w:val="en-US"/>
        </w:rPr>
        <w:t>354 UNTS 67/</w:t>
      </w:r>
      <w:r w:rsidRPr="00AC11AD">
        <w:rPr>
          <w:rFonts w:ascii="Baskerville" w:hAnsi="Baskerville"/>
          <w:sz w:val="20"/>
          <w:szCs w:val="20"/>
          <w:lang w:val="en-US"/>
        </w:rPr>
        <w:t xml:space="preserve">32 ILM 1069 </w:t>
      </w:r>
    </w:p>
    <w:p w14:paraId="160E1228" w14:textId="77777777" w:rsidR="00973AA9" w:rsidRDefault="00973AA9" w:rsidP="00973AA9">
      <w:pPr>
        <w:rPr>
          <w:rFonts w:ascii="Baskerville" w:hAnsi="Baskerville"/>
          <w:b/>
          <w:u w:val="single"/>
        </w:rPr>
      </w:pPr>
    </w:p>
    <w:p w14:paraId="34DB3FC1" w14:textId="77777777" w:rsidR="00973AA9" w:rsidRDefault="00973AA9" w:rsidP="00973AA9">
      <w:pPr>
        <w:rPr>
          <w:rFonts w:ascii="Baskerville" w:hAnsi="Baskerville"/>
          <w:b/>
          <w:u w:val="single"/>
          <w:lang w:val="en-US"/>
        </w:rPr>
      </w:pPr>
      <w:r>
        <w:rPr>
          <w:rFonts w:ascii="Baskerville" w:hAnsi="Baskerville"/>
          <w:b/>
          <w:u w:val="single"/>
          <w:lang w:val="en-US"/>
        </w:rPr>
        <w:t>Secondary sources</w:t>
      </w:r>
    </w:p>
    <w:p w14:paraId="5A29A3EE" w14:textId="77777777" w:rsidR="00973AA9" w:rsidRDefault="00973AA9" w:rsidP="00973AA9">
      <w:pPr>
        <w:rPr>
          <w:rFonts w:ascii="Baskerville" w:hAnsi="Baskerville"/>
          <w:b/>
          <w:u w:val="single"/>
          <w:lang w:val="en-US"/>
        </w:rPr>
      </w:pPr>
    </w:p>
    <w:p w14:paraId="0A82D2FB" w14:textId="77777777" w:rsidR="00973AA9" w:rsidRDefault="00973AA9" w:rsidP="00973AA9">
      <w:pPr>
        <w:rPr>
          <w:rFonts w:ascii="Baskerville" w:hAnsi="Baskerville"/>
          <w:b/>
          <w:lang w:val="en-US"/>
        </w:rPr>
      </w:pPr>
      <w:r w:rsidRPr="004B7F7C">
        <w:rPr>
          <w:rFonts w:ascii="Baskerville" w:hAnsi="Baskerville"/>
          <w:b/>
          <w:lang w:val="en-US"/>
        </w:rPr>
        <w:t>Book</w:t>
      </w:r>
      <w:r>
        <w:rPr>
          <w:rFonts w:ascii="Baskerville" w:hAnsi="Baskerville"/>
          <w:b/>
          <w:lang w:val="en-US"/>
        </w:rPr>
        <w:t>s</w:t>
      </w:r>
    </w:p>
    <w:p w14:paraId="57E4A1C7" w14:textId="77777777" w:rsidR="00973AA9" w:rsidRDefault="00973AA9" w:rsidP="00973AA9">
      <w:pPr>
        <w:rPr>
          <w:rFonts w:ascii="Baskerville" w:hAnsi="Baskerville"/>
          <w:b/>
          <w:lang w:val="en-US"/>
        </w:rPr>
      </w:pPr>
    </w:p>
    <w:p w14:paraId="791F2AC7" w14:textId="23B7A6FD" w:rsidR="00973AA9" w:rsidRDefault="00973AA9" w:rsidP="00973AA9">
      <w:pPr>
        <w:pStyle w:val="FootnoteText"/>
        <w:rPr>
          <w:rFonts w:ascii="Baskerville" w:hAnsi="Baskerville"/>
          <w:sz w:val="20"/>
          <w:szCs w:val="20"/>
        </w:rPr>
      </w:pPr>
      <w:r w:rsidRPr="00CA7D22">
        <w:rPr>
          <w:rFonts w:ascii="Baskerville" w:hAnsi="Baskerville"/>
          <w:sz w:val="20"/>
          <w:szCs w:val="20"/>
        </w:rPr>
        <w:t>Birnie</w:t>
      </w:r>
      <w:r w:rsidR="007D3B93">
        <w:rPr>
          <w:rFonts w:ascii="Baskerville" w:hAnsi="Baskerville"/>
          <w:sz w:val="20"/>
          <w:szCs w:val="20"/>
        </w:rPr>
        <w:t xml:space="preserve"> P and </w:t>
      </w:r>
      <w:r w:rsidRPr="00CA7D22">
        <w:rPr>
          <w:rFonts w:ascii="Baskerville" w:hAnsi="Baskerville"/>
          <w:sz w:val="20"/>
          <w:szCs w:val="20"/>
        </w:rPr>
        <w:t>Boyle</w:t>
      </w:r>
      <w:r>
        <w:rPr>
          <w:rFonts w:ascii="Baskerville" w:hAnsi="Baskerville"/>
          <w:sz w:val="20"/>
          <w:szCs w:val="20"/>
        </w:rPr>
        <w:t xml:space="preserve"> A,</w:t>
      </w:r>
      <w:r w:rsidRPr="00CA7D22">
        <w:rPr>
          <w:rFonts w:ascii="Baskerville" w:hAnsi="Baskerville"/>
          <w:sz w:val="20"/>
          <w:szCs w:val="20"/>
        </w:rPr>
        <w:t xml:space="preserve"> </w:t>
      </w:r>
      <w:r w:rsidRPr="00CA7D22">
        <w:rPr>
          <w:rFonts w:ascii="Baskerville" w:hAnsi="Baskerville"/>
          <w:i/>
          <w:iCs/>
          <w:sz w:val="20"/>
          <w:szCs w:val="20"/>
        </w:rPr>
        <w:t>International Law and the Environment</w:t>
      </w:r>
      <w:r>
        <w:rPr>
          <w:rFonts w:ascii="Baskerville" w:hAnsi="Baskerville"/>
          <w:sz w:val="20"/>
          <w:szCs w:val="20"/>
        </w:rPr>
        <w:t xml:space="preserve"> (OUP</w:t>
      </w:r>
      <w:r w:rsidRPr="00CA7D22">
        <w:rPr>
          <w:rFonts w:ascii="Baskerville" w:hAnsi="Baskerville"/>
          <w:sz w:val="20"/>
          <w:szCs w:val="20"/>
        </w:rPr>
        <w:t xml:space="preserve"> 2002</w:t>
      </w:r>
      <w:r>
        <w:rPr>
          <w:rFonts w:ascii="Baskerville" w:hAnsi="Baskerville"/>
          <w:sz w:val="20"/>
          <w:szCs w:val="20"/>
        </w:rPr>
        <w:t>)</w:t>
      </w:r>
    </w:p>
    <w:p w14:paraId="3BB90C2E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45150C2A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B41F30">
        <w:rPr>
          <w:rFonts w:ascii="Baskerville" w:hAnsi="Baskerville"/>
          <w:sz w:val="20"/>
          <w:szCs w:val="20"/>
          <w:lang w:val="en-US"/>
        </w:rPr>
        <w:t>Cameron</w:t>
      </w:r>
      <w:r>
        <w:rPr>
          <w:rFonts w:ascii="Baskerville" w:hAnsi="Baskerville"/>
          <w:sz w:val="20"/>
          <w:szCs w:val="20"/>
          <w:lang w:val="en-US"/>
        </w:rPr>
        <w:t xml:space="preserve"> J</w:t>
      </w:r>
      <w:r w:rsidRPr="00B41F30">
        <w:rPr>
          <w:rFonts w:ascii="Baskerville" w:hAnsi="Baskerville"/>
          <w:sz w:val="20"/>
          <w:szCs w:val="20"/>
          <w:lang w:val="en-US"/>
        </w:rPr>
        <w:t xml:space="preserve">, </w:t>
      </w:r>
      <w:r>
        <w:rPr>
          <w:rFonts w:ascii="Baskerville" w:hAnsi="Baskerville"/>
          <w:sz w:val="20"/>
          <w:szCs w:val="20"/>
          <w:lang w:val="en-US"/>
        </w:rPr>
        <w:t>‘</w:t>
      </w:r>
      <w:r w:rsidRPr="00B41F30">
        <w:rPr>
          <w:rFonts w:ascii="Baskerville" w:hAnsi="Baskerville"/>
          <w:sz w:val="20"/>
          <w:szCs w:val="20"/>
          <w:lang w:val="en-US"/>
        </w:rPr>
        <w:t>The Precautionary Principle: Core Meaning, Constitutional Framework and Procedures for Implementation</w:t>
      </w:r>
      <w:r>
        <w:rPr>
          <w:rFonts w:ascii="Baskerville" w:hAnsi="Baskerville"/>
          <w:sz w:val="20"/>
          <w:szCs w:val="20"/>
          <w:lang w:val="en-US"/>
        </w:rPr>
        <w:t xml:space="preserve">’ </w:t>
      </w:r>
      <w:r w:rsidRPr="00B41F30">
        <w:rPr>
          <w:rFonts w:ascii="Baskerville" w:hAnsi="Baskerville"/>
          <w:sz w:val="20"/>
          <w:szCs w:val="20"/>
          <w:lang w:val="en-US"/>
        </w:rPr>
        <w:t xml:space="preserve">in </w:t>
      </w:r>
      <w:r>
        <w:rPr>
          <w:rFonts w:ascii="Baskerville" w:hAnsi="Baskerville"/>
          <w:sz w:val="20"/>
          <w:szCs w:val="20"/>
          <w:lang w:val="en-US"/>
        </w:rPr>
        <w:t>Harding R and</w:t>
      </w:r>
      <w:r w:rsidRPr="00B41F30">
        <w:rPr>
          <w:rFonts w:ascii="Baskerville" w:hAnsi="Baskerville"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Fisher E (eds),</w:t>
      </w:r>
      <w:r w:rsidRPr="00B41F30">
        <w:rPr>
          <w:rFonts w:ascii="Baskerville" w:hAnsi="Baskerville"/>
          <w:sz w:val="20"/>
          <w:szCs w:val="20"/>
          <w:lang w:val="en-US"/>
        </w:rPr>
        <w:t xml:space="preserve"> </w:t>
      </w:r>
      <w:r w:rsidRPr="00BE164F">
        <w:rPr>
          <w:rFonts w:ascii="Baskerville" w:hAnsi="Baskerville"/>
          <w:i/>
          <w:sz w:val="20"/>
          <w:szCs w:val="20"/>
          <w:lang w:val="en-US"/>
        </w:rPr>
        <w:t>Perspectives on the Precautionary Principle</w:t>
      </w:r>
      <w:r>
        <w:rPr>
          <w:rFonts w:ascii="Baskerville" w:hAnsi="Baskerville"/>
          <w:sz w:val="20"/>
          <w:szCs w:val="20"/>
          <w:lang w:val="en-US"/>
        </w:rPr>
        <w:t xml:space="preserve"> (Federation Press 1999) </w:t>
      </w:r>
    </w:p>
    <w:p w14:paraId="53807DB9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03641394" w14:textId="77777777" w:rsidR="00973AA9" w:rsidRDefault="00973AA9" w:rsidP="00973AA9">
      <w:pPr>
        <w:pStyle w:val="FootnoteText"/>
        <w:rPr>
          <w:rFonts w:ascii="Baskerville" w:hAnsi="Baskerville"/>
          <w:b/>
          <w:lang w:val="en-US"/>
        </w:rPr>
      </w:pPr>
      <w:r w:rsidRPr="001C5579">
        <w:rPr>
          <w:rFonts w:ascii="Baskerville" w:hAnsi="Baskerville"/>
          <w:b/>
          <w:lang w:val="en-US"/>
        </w:rPr>
        <w:t xml:space="preserve">Books </w:t>
      </w:r>
    </w:p>
    <w:p w14:paraId="314FC16D" w14:textId="77777777" w:rsidR="00973AA9" w:rsidRPr="001C5579" w:rsidRDefault="00973AA9" w:rsidP="00973AA9">
      <w:pPr>
        <w:pStyle w:val="FootnoteText"/>
        <w:rPr>
          <w:rFonts w:ascii="Baskerville" w:hAnsi="Baskerville"/>
          <w:b/>
          <w:lang w:val="en-US"/>
        </w:rPr>
      </w:pPr>
    </w:p>
    <w:p w14:paraId="5BBC2FF6" w14:textId="2DF9F3B1" w:rsidR="00973AA9" w:rsidRPr="00DD4A71" w:rsidRDefault="00973AA9" w:rsidP="00973AA9">
      <w:pPr>
        <w:pStyle w:val="FootnoteText"/>
        <w:rPr>
          <w:rFonts w:ascii="Baskerville" w:hAnsi="Baskerville"/>
          <w:color w:val="FF0000"/>
          <w:sz w:val="20"/>
          <w:szCs w:val="20"/>
          <w:lang w:val="en-US"/>
        </w:rPr>
      </w:pPr>
      <w:r w:rsidRPr="00144D12">
        <w:rPr>
          <w:rFonts w:ascii="Baskerville" w:hAnsi="Baskerville"/>
          <w:sz w:val="20"/>
          <w:szCs w:val="20"/>
          <w:lang w:val="en-US"/>
        </w:rPr>
        <w:t>Cheng</w:t>
      </w:r>
      <w:r>
        <w:rPr>
          <w:rFonts w:ascii="Baskerville" w:hAnsi="Baskerville"/>
          <w:sz w:val="20"/>
          <w:szCs w:val="20"/>
          <w:lang w:val="en-US"/>
        </w:rPr>
        <w:t xml:space="preserve"> B</w:t>
      </w:r>
      <w:r w:rsidRPr="00144D12">
        <w:rPr>
          <w:rFonts w:ascii="Baskerville" w:hAnsi="Baskerville"/>
          <w:sz w:val="20"/>
          <w:szCs w:val="20"/>
          <w:lang w:val="en-US"/>
        </w:rPr>
        <w:t xml:space="preserve">, </w:t>
      </w:r>
      <w:r>
        <w:rPr>
          <w:rFonts w:ascii="Baskerville" w:hAnsi="Baskerville"/>
          <w:sz w:val="20"/>
          <w:szCs w:val="20"/>
          <w:lang w:val="en-US"/>
        </w:rPr>
        <w:t>‘</w:t>
      </w:r>
      <w:r w:rsidRPr="00AC11AD">
        <w:rPr>
          <w:rFonts w:ascii="Baskerville" w:hAnsi="Baskerville"/>
          <w:iCs/>
          <w:sz w:val="20"/>
          <w:szCs w:val="20"/>
          <w:lang w:val="en-US"/>
        </w:rPr>
        <w:t>Custom: The Future of General State Practice in a Divided World</w:t>
      </w:r>
      <w:r>
        <w:rPr>
          <w:rFonts w:ascii="Baskerville" w:hAnsi="Baskerville"/>
          <w:iCs/>
          <w:sz w:val="20"/>
          <w:szCs w:val="20"/>
          <w:lang w:val="en-US"/>
        </w:rPr>
        <w:t>’</w:t>
      </w:r>
      <w:r w:rsidRPr="00144D12"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 w:rsidRPr="00144D12">
        <w:rPr>
          <w:rFonts w:ascii="Baskerville" w:hAnsi="Baskerville"/>
          <w:sz w:val="20"/>
          <w:szCs w:val="20"/>
          <w:lang w:val="en-US"/>
        </w:rPr>
        <w:t>in D. M. Johnston</w:t>
      </w:r>
      <w:r>
        <w:rPr>
          <w:rFonts w:ascii="Baskerville" w:hAnsi="Baskerville"/>
          <w:sz w:val="20"/>
          <w:szCs w:val="20"/>
          <w:lang w:val="en-US"/>
        </w:rPr>
        <w:t xml:space="preserve"> DM</w:t>
      </w:r>
      <w:r w:rsidRPr="00144D12">
        <w:rPr>
          <w:rFonts w:ascii="Baskerville" w:hAnsi="Baskerville"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and</w:t>
      </w:r>
      <w:r w:rsidRPr="00144D12">
        <w:rPr>
          <w:rFonts w:ascii="Baskerville" w:hAnsi="Baskerville"/>
          <w:sz w:val="20"/>
          <w:szCs w:val="20"/>
          <w:lang w:val="en-US"/>
        </w:rPr>
        <w:t xml:space="preserve"> St. MacDonald</w:t>
      </w:r>
      <w:r>
        <w:rPr>
          <w:rFonts w:ascii="Baskerville" w:hAnsi="Baskerville"/>
          <w:sz w:val="20"/>
          <w:szCs w:val="20"/>
          <w:lang w:val="en-US"/>
        </w:rPr>
        <w:t xml:space="preserve"> R (eds</w:t>
      </w:r>
      <w:r w:rsidRPr="00144D12">
        <w:rPr>
          <w:rFonts w:ascii="Baskerville" w:hAnsi="Baskerville"/>
          <w:sz w:val="20"/>
          <w:szCs w:val="20"/>
          <w:lang w:val="en-US"/>
        </w:rPr>
        <w:t>),</w:t>
      </w:r>
      <w:r w:rsidRPr="00DD4A71">
        <w:rPr>
          <w:rFonts w:ascii="Baskerville" w:hAnsi="Baskerville"/>
          <w:color w:val="FF0000"/>
          <w:sz w:val="20"/>
          <w:szCs w:val="20"/>
          <w:lang w:val="en-US"/>
        </w:rPr>
        <w:t xml:space="preserve"> </w:t>
      </w:r>
      <w:r w:rsidRPr="00E56E0C">
        <w:rPr>
          <w:rFonts w:ascii="Baskerville" w:hAnsi="Baskerville"/>
          <w:sz w:val="20"/>
          <w:szCs w:val="20"/>
          <w:lang w:val="en-US"/>
        </w:rPr>
        <w:t>‘</w:t>
      </w:r>
      <w:r w:rsidRPr="00AC11AD">
        <w:rPr>
          <w:rFonts w:ascii="Baskerville" w:hAnsi="Baskerville"/>
          <w:i/>
          <w:sz w:val="20"/>
          <w:szCs w:val="20"/>
          <w:lang w:val="en-US"/>
        </w:rPr>
        <w:t>The Structure and Process of International Law’</w:t>
      </w:r>
      <w:r w:rsidRPr="00E56E0C">
        <w:rPr>
          <w:rFonts w:ascii="Baskerville" w:hAnsi="Baskerville"/>
          <w:sz w:val="20"/>
          <w:szCs w:val="20"/>
          <w:lang w:val="en-US"/>
        </w:rPr>
        <w:t xml:space="preserve"> (Dordrecht 1983) </w:t>
      </w:r>
    </w:p>
    <w:p w14:paraId="5D88E780" w14:textId="77777777" w:rsidR="00973AA9" w:rsidRPr="00B41F30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6826125B" w14:textId="578DF773" w:rsidR="00973AA9" w:rsidRDefault="00973AA9" w:rsidP="00973AA9">
      <w:pPr>
        <w:pStyle w:val="FootnoteText"/>
        <w:rPr>
          <w:rFonts w:ascii="Baskerville" w:hAnsi="Baskerville"/>
          <w:sz w:val="20"/>
          <w:szCs w:val="20"/>
        </w:rPr>
      </w:pPr>
      <w:r w:rsidRPr="00BC4472">
        <w:rPr>
          <w:rFonts w:ascii="Baskerville" w:hAnsi="Baskerville"/>
          <w:sz w:val="20"/>
          <w:szCs w:val="20"/>
          <w:lang w:val="en-US"/>
        </w:rPr>
        <w:t>Guruswamy</w:t>
      </w:r>
      <w:r>
        <w:rPr>
          <w:rFonts w:ascii="Baskerville" w:hAnsi="Baskerville"/>
          <w:sz w:val="20"/>
          <w:szCs w:val="20"/>
          <w:lang w:val="en-US"/>
        </w:rPr>
        <w:t xml:space="preserve"> L,</w:t>
      </w:r>
      <w:r w:rsidRPr="00BC4472">
        <w:rPr>
          <w:rFonts w:ascii="Baskerville" w:hAnsi="Baskerville"/>
          <w:b/>
          <w:bCs/>
          <w:sz w:val="20"/>
          <w:szCs w:val="20"/>
          <w:lang w:val="en-US"/>
        </w:rPr>
        <w:t xml:space="preserve"> </w:t>
      </w:r>
      <w:r w:rsidRPr="00BC4472">
        <w:rPr>
          <w:rFonts w:ascii="Baskerville" w:hAnsi="Baskerville"/>
          <w:bCs/>
          <w:i/>
          <w:sz w:val="20"/>
          <w:szCs w:val="20"/>
          <w:lang w:val="en-US"/>
        </w:rPr>
        <w:t xml:space="preserve">International Environmental Law in a </w:t>
      </w:r>
      <w:r w:rsidRPr="006D7A5C">
        <w:rPr>
          <w:rFonts w:ascii="Baskerville" w:hAnsi="Baskerville"/>
          <w:bCs/>
          <w:i/>
          <w:sz w:val="20"/>
          <w:szCs w:val="20"/>
          <w:lang w:val="en-US"/>
        </w:rPr>
        <w:t>Nutshell</w:t>
      </w:r>
      <w:r w:rsidRPr="006D7A5C">
        <w:rPr>
          <w:rFonts w:ascii="Baskerville" w:hAnsi="Baskerville"/>
          <w:sz w:val="20"/>
          <w:szCs w:val="20"/>
        </w:rPr>
        <w:t xml:space="preserve"> (4</w:t>
      </w:r>
      <w:r w:rsidRPr="006D7A5C">
        <w:rPr>
          <w:rFonts w:ascii="Baskerville" w:hAnsi="Baskerville"/>
          <w:sz w:val="20"/>
          <w:szCs w:val="20"/>
          <w:vertAlign w:val="superscript"/>
        </w:rPr>
        <w:t>th</w:t>
      </w:r>
      <w:r>
        <w:rPr>
          <w:rFonts w:ascii="Baskerville" w:hAnsi="Baskerville"/>
          <w:sz w:val="20"/>
          <w:szCs w:val="20"/>
        </w:rPr>
        <w:t xml:space="preserve"> edn, Thomson Reuters 2012) </w:t>
      </w:r>
    </w:p>
    <w:p w14:paraId="179B2CBD" w14:textId="77777777" w:rsidR="00973AA9" w:rsidRDefault="00973AA9" w:rsidP="00973AA9">
      <w:pPr>
        <w:pStyle w:val="FootnoteText"/>
        <w:rPr>
          <w:rFonts w:ascii="Baskerville" w:hAnsi="Baskerville"/>
          <w:lang w:val="en-US"/>
        </w:rPr>
      </w:pPr>
    </w:p>
    <w:p w14:paraId="371015EB" w14:textId="69069FDF" w:rsidR="00973AA9" w:rsidRDefault="00973AA9" w:rsidP="00973AA9">
      <w:pPr>
        <w:pStyle w:val="FootnoteText"/>
        <w:rPr>
          <w:rFonts w:ascii="Baskerville" w:hAnsi="Baskerville"/>
          <w:lang w:val="en-US"/>
        </w:rPr>
      </w:pPr>
      <w:r w:rsidRPr="00EF7020">
        <w:rPr>
          <w:rFonts w:ascii="Baskerville" w:hAnsi="Baskerville"/>
          <w:sz w:val="20"/>
          <w:szCs w:val="20"/>
          <w:lang w:val="en-US"/>
        </w:rPr>
        <w:t>Nollkaemper</w:t>
      </w:r>
      <w:r>
        <w:rPr>
          <w:rFonts w:ascii="Baskerville" w:hAnsi="Baskerville"/>
          <w:sz w:val="20"/>
          <w:szCs w:val="20"/>
          <w:lang w:val="en-US"/>
        </w:rPr>
        <w:t xml:space="preserve"> A,  ‘</w:t>
      </w:r>
      <w:r w:rsidRPr="00EF7020">
        <w:rPr>
          <w:rFonts w:ascii="Baskerville" w:hAnsi="Baskerville"/>
          <w:sz w:val="20"/>
          <w:szCs w:val="20"/>
          <w:lang w:val="en-US"/>
        </w:rPr>
        <w:t xml:space="preserve">What </w:t>
      </w:r>
      <w:r>
        <w:rPr>
          <w:rFonts w:ascii="Baskerville" w:hAnsi="Baskerville"/>
          <w:sz w:val="20"/>
          <w:szCs w:val="20"/>
          <w:lang w:val="en-US"/>
        </w:rPr>
        <w:t>You Risk Reveals What You Value</w:t>
      </w:r>
      <w:r w:rsidRPr="00EF7020">
        <w:rPr>
          <w:rFonts w:ascii="Baskerville" w:hAnsi="Baskerville"/>
          <w:sz w:val="20"/>
          <w:szCs w:val="20"/>
          <w:lang w:val="en-US"/>
        </w:rPr>
        <w:t xml:space="preserve"> and Other Dilemmas Encountered in the Legal Assaults on Risks’ in Freestone</w:t>
      </w:r>
      <w:r>
        <w:rPr>
          <w:rFonts w:ascii="Baskerville" w:hAnsi="Baskerville"/>
          <w:sz w:val="20"/>
          <w:szCs w:val="20"/>
          <w:lang w:val="en-US"/>
        </w:rPr>
        <w:t xml:space="preserve"> D and &amp; E</w:t>
      </w:r>
      <w:r w:rsidRPr="00EF7020">
        <w:rPr>
          <w:rFonts w:ascii="Baskerville" w:hAnsi="Baskerville"/>
          <w:sz w:val="20"/>
          <w:szCs w:val="20"/>
          <w:lang w:val="en-US"/>
        </w:rPr>
        <w:t xml:space="preserve"> Hey</w:t>
      </w:r>
      <w:r>
        <w:rPr>
          <w:rFonts w:ascii="Baskerville" w:hAnsi="Baskerville"/>
          <w:sz w:val="20"/>
          <w:szCs w:val="20"/>
          <w:lang w:val="en-US"/>
        </w:rPr>
        <w:t xml:space="preserve"> E (eds</w:t>
      </w:r>
      <w:r w:rsidRPr="00EF7020">
        <w:rPr>
          <w:rFonts w:ascii="Baskerville" w:hAnsi="Baskerville"/>
          <w:sz w:val="20"/>
          <w:szCs w:val="20"/>
          <w:lang w:val="en-US"/>
        </w:rPr>
        <w:t xml:space="preserve">), </w:t>
      </w:r>
      <w:r w:rsidRPr="00EF7020">
        <w:rPr>
          <w:rFonts w:ascii="Baskerville" w:hAnsi="Baskerville"/>
          <w:i/>
          <w:iCs/>
          <w:sz w:val="20"/>
          <w:szCs w:val="20"/>
          <w:lang w:val="en-US"/>
        </w:rPr>
        <w:t>The Precautionary Principle and International Law: The Challenge of Implementation</w:t>
      </w:r>
      <w:r w:rsidRPr="00EF7020">
        <w:rPr>
          <w:rFonts w:ascii="Baskerville" w:hAnsi="Baskerville"/>
          <w:sz w:val="20"/>
          <w:szCs w:val="20"/>
          <w:lang w:val="en-US"/>
        </w:rPr>
        <w:t xml:space="preserve"> (Kluwer Law International 1996)</w:t>
      </w:r>
    </w:p>
    <w:p w14:paraId="7F25A83E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62B4447D" w14:textId="77777777" w:rsidR="00973AA9" w:rsidRPr="007E0BDE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>
        <w:rPr>
          <w:rFonts w:ascii="Baskerville" w:hAnsi="Baskerville"/>
          <w:sz w:val="20"/>
          <w:szCs w:val="20"/>
          <w:lang w:val="en-US"/>
        </w:rPr>
        <w:t xml:space="preserve">Martuzzi M and Tickner JA, </w:t>
      </w:r>
      <w:r w:rsidRPr="00B55ED4">
        <w:rPr>
          <w:rFonts w:ascii="Baskerville" w:hAnsi="Baskerville"/>
          <w:i/>
          <w:sz w:val="20"/>
          <w:szCs w:val="20"/>
        </w:rPr>
        <w:t>‘</w:t>
      </w:r>
      <w:r w:rsidRPr="000565E9">
        <w:rPr>
          <w:rFonts w:ascii="Baskerville" w:hAnsi="Baskerville"/>
          <w:i/>
          <w:sz w:val="20"/>
          <w:szCs w:val="20"/>
          <w:lang w:val="en-US"/>
        </w:rPr>
        <w:t>The precautionary principle: protecting public health, the environment and the future of our children’</w:t>
      </w:r>
      <w:r w:rsidRPr="000565E9">
        <w:rPr>
          <w:rFonts w:ascii="Baskerville" w:hAnsi="Baskerville"/>
          <w:sz w:val="20"/>
          <w:szCs w:val="20"/>
          <w:lang w:val="en-US"/>
        </w:rPr>
        <w:t xml:space="preserve"> (</w:t>
      </w:r>
      <w:r w:rsidRPr="000565E9">
        <w:rPr>
          <w:rFonts w:ascii="Baskerville" w:hAnsi="Baskerville"/>
          <w:bCs/>
          <w:sz w:val="20"/>
          <w:szCs w:val="20"/>
          <w:lang w:val="en-US"/>
        </w:rPr>
        <w:t>World Health Organization 2004</w:t>
      </w:r>
      <w:r>
        <w:rPr>
          <w:rFonts w:ascii="Baskerville" w:hAnsi="Baskerville"/>
          <w:bCs/>
          <w:sz w:val="20"/>
          <w:szCs w:val="20"/>
          <w:lang w:val="en-US"/>
        </w:rPr>
        <w:t>)</w:t>
      </w:r>
    </w:p>
    <w:p w14:paraId="4AFBC768" w14:textId="77777777" w:rsidR="00CC57F2" w:rsidRDefault="00CC57F2" w:rsidP="00973AA9">
      <w:pPr>
        <w:pStyle w:val="FootnoteText"/>
        <w:rPr>
          <w:rFonts w:ascii="Baskerville" w:hAnsi="Baskerville"/>
          <w:lang w:val="en-US"/>
        </w:rPr>
      </w:pPr>
    </w:p>
    <w:p w14:paraId="54912FAD" w14:textId="5FF04B01" w:rsidR="00CC57F2" w:rsidRDefault="00CC57F2" w:rsidP="00CC57F2">
      <w:pPr>
        <w:pStyle w:val="FootnoteText"/>
        <w:rPr>
          <w:rFonts w:ascii="Baskerville" w:hAnsi="Baskerville"/>
          <w:b/>
          <w:lang w:val="en-US"/>
        </w:rPr>
      </w:pPr>
      <w:r>
        <w:rPr>
          <w:rFonts w:ascii="Baskerville" w:hAnsi="Baskerville"/>
          <w:b/>
          <w:lang w:val="en-US"/>
        </w:rPr>
        <w:t>Chapters in a Book</w:t>
      </w:r>
    </w:p>
    <w:p w14:paraId="381DCBC8" w14:textId="77777777" w:rsidR="00CC57F2" w:rsidRDefault="00CC57F2" w:rsidP="00973AA9">
      <w:pPr>
        <w:pStyle w:val="FootnoteText"/>
        <w:rPr>
          <w:rFonts w:ascii="Baskerville" w:hAnsi="Baskerville"/>
          <w:lang w:val="en-US"/>
        </w:rPr>
      </w:pPr>
    </w:p>
    <w:p w14:paraId="54DA348C" w14:textId="11774DE3" w:rsidR="007C61A2" w:rsidRDefault="007C61A2" w:rsidP="00737FBA">
      <w:pPr>
        <w:pStyle w:val="FootnoteText"/>
        <w:rPr>
          <w:rFonts w:ascii="Baskerville" w:hAnsi="Baskerville"/>
          <w:sz w:val="20"/>
          <w:szCs w:val="20"/>
        </w:rPr>
      </w:pPr>
      <w:r w:rsidRPr="007C61A2">
        <w:rPr>
          <w:rFonts w:ascii="Baskerville" w:hAnsi="Baskerville"/>
          <w:sz w:val="20"/>
          <w:szCs w:val="20"/>
        </w:rPr>
        <w:t xml:space="preserve">Abouchar </w:t>
      </w:r>
      <w:r>
        <w:rPr>
          <w:rFonts w:ascii="Baskerville" w:hAnsi="Baskerville"/>
          <w:sz w:val="20"/>
          <w:szCs w:val="20"/>
        </w:rPr>
        <w:t>J and Cameron J</w:t>
      </w:r>
      <w:r w:rsidRPr="007C61A2">
        <w:rPr>
          <w:rFonts w:ascii="Baskerville" w:hAnsi="Baskerville"/>
          <w:sz w:val="20"/>
          <w:szCs w:val="20"/>
        </w:rPr>
        <w:t>, “The Status of the Precautionary Princip</w:t>
      </w:r>
      <w:r>
        <w:rPr>
          <w:rFonts w:ascii="Baskerville" w:hAnsi="Baskerville"/>
          <w:sz w:val="20"/>
          <w:szCs w:val="20"/>
        </w:rPr>
        <w:t xml:space="preserve">le in International Law,” in </w:t>
      </w:r>
      <w:r w:rsidRPr="007C61A2">
        <w:rPr>
          <w:rFonts w:ascii="Baskerville" w:hAnsi="Baskerville"/>
          <w:sz w:val="20"/>
          <w:szCs w:val="20"/>
        </w:rPr>
        <w:t xml:space="preserve">Freestone </w:t>
      </w:r>
      <w:r>
        <w:rPr>
          <w:rFonts w:ascii="Baskerville" w:hAnsi="Baskerville"/>
          <w:sz w:val="20"/>
          <w:szCs w:val="20"/>
        </w:rPr>
        <w:t xml:space="preserve">D and </w:t>
      </w:r>
      <w:r w:rsidRPr="007C61A2">
        <w:rPr>
          <w:rFonts w:ascii="Baskerville" w:hAnsi="Baskerville"/>
          <w:sz w:val="20"/>
          <w:szCs w:val="20"/>
        </w:rPr>
        <w:t xml:space="preserve">Hey </w:t>
      </w:r>
      <w:r>
        <w:rPr>
          <w:rFonts w:ascii="Baskerville" w:hAnsi="Baskerville"/>
          <w:sz w:val="20"/>
          <w:szCs w:val="20"/>
        </w:rPr>
        <w:t xml:space="preserve">E </w:t>
      </w:r>
      <w:r w:rsidRPr="007C61A2">
        <w:rPr>
          <w:rFonts w:ascii="Baskerville" w:hAnsi="Baskerville"/>
          <w:sz w:val="20"/>
          <w:szCs w:val="20"/>
        </w:rPr>
        <w:t xml:space="preserve">(eds.), </w:t>
      </w:r>
      <w:r w:rsidRPr="007C61A2">
        <w:rPr>
          <w:rFonts w:ascii="Baskerville" w:hAnsi="Baskerville"/>
          <w:i/>
          <w:iCs/>
          <w:sz w:val="20"/>
          <w:szCs w:val="20"/>
        </w:rPr>
        <w:t>The Precautionary Principle in International Law</w:t>
      </w:r>
      <w:r w:rsidRPr="007C61A2">
        <w:rPr>
          <w:rFonts w:ascii="Baskerville" w:hAnsi="Baskerville"/>
          <w:sz w:val="20"/>
          <w:szCs w:val="20"/>
        </w:rPr>
        <w:t xml:space="preserve"> (Kluwer 1996)</w:t>
      </w:r>
    </w:p>
    <w:p w14:paraId="36BFC9D1" w14:textId="77777777" w:rsidR="007C61A2" w:rsidRDefault="007C61A2" w:rsidP="00737FBA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50844692" w14:textId="77777777" w:rsidR="00737FBA" w:rsidRDefault="00737FBA" w:rsidP="00737FBA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351A8A">
        <w:rPr>
          <w:rFonts w:ascii="Baskerville" w:hAnsi="Baskerville"/>
          <w:sz w:val="20"/>
          <w:szCs w:val="20"/>
          <w:lang w:val="en-US"/>
        </w:rPr>
        <w:t>Cameron</w:t>
      </w:r>
      <w:r>
        <w:rPr>
          <w:rFonts w:ascii="Baskerville" w:hAnsi="Baskerville"/>
          <w:sz w:val="20"/>
          <w:szCs w:val="20"/>
          <w:lang w:val="en-US"/>
        </w:rPr>
        <w:t xml:space="preserve"> J</w:t>
      </w:r>
      <w:r w:rsidRPr="00351A8A">
        <w:rPr>
          <w:rFonts w:ascii="Baskerville" w:hAnsi="Baskerville"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 xml:space="preserve">and </w:t>
      </w:r>
      <w:r w:rsidRPr="00351A8A">
        <w:rPr>
          <w:rFonts w:ascii="Baskerville" w:hAnsi="Baskerville"/>
          <w:sz w:val="20"/>
          <w:szCs w:val="20"/>
          <w:lang w:val="en-US"/>
        </w:rPr>
        <w:t>O’Riordan</w:t>
      </w:r>
      <w:r>
        <w:rPr>
          <w:rFonts w:ascii="Baskerville" w:hAnsi="Baskerville"/>
          <w:sz w:val="20"/>
          <w:szCs w:val="20"/>
          <w:lang w:val="en-US"/>
        </w:rPr>
        <w:t xml:space="preserve"> T</w:t>
      </w:r>
      <w:r w:rsidRPr="00351A8A">
        <w:rPr>
          <w:rFonts w:ascii="Baskerville" w:hAnsi="Baskerville"/>
          <w:sz w:val="20"/>
          <w:szCs w:val="20"/>
          <w:lang w:val="en-US"/>
        </w:rPr>
        <w:t xml:space="preserve">, </w:t>
      </w:r>
      <w:r>
        <w:rPr>
          <w:rFonts w:ascii="Baskerville" w:hAnsi="Baskerville"/>
          <w:sz w:val="20"/>
          <w:szCs w:val="20"/>
          <w:lang w:val="en-US"/>
        </w:rPr>
        <w:t>‘</w:t>
      </w:r>
      <w:r w:rsidRPr="00351A8A">
        <w:rPr>
          <w:rFonts w:ascii="Baskerville" w:hAnsi="Baskerville"/>
          <w:sz w:val="20"/>
          <w:szCs w:val="20"/>
          <w:lang w:val="en-US"/>
        </w:rPr>
        <w:t>The History and Contemporary Significance of the Precautionary Principle</w:t>
      </w:r>
      <w:r>
        <w:rPr>
          <w:rFonts w:ascii="Baskerville" w:hAnsi="Baskerville"/>
          <w:sz w:val="20"/>
          <w:szCs w:val="20"/>
          <w:lang w:val="en-US"/>
        </w:rPr>
        <w:t>’</w:t>
      </w:r>
      <w:r w:rsidRPr="00351A8A">
        <w:rPr>
          <w:rFonts w:ascii="Baskerville" w:hAnsi="Baskerville"/>
          <w:sz w:val="20"/>
          <w:szCs w:val="20"/>
          <w:lang w:val="en-US"/>
        </w:rPr>
        <w:t xml:space="preserve"> in O’Riordan</w:t>
      </w:r>
      <w:r>
        <w:rPr>
          <w:rFonts w:ascii="Baskerville" w:hAnsi="Baskerville"/>
          <w:sz w:val="20"/>
          <w:szCs w:val="20"/>
          <w:lang w:val="en-US"/>
        </w:rPr>
        <w:t xml:space="preserve"> T</w:t>
      </w:r>
      <w:r w:rsidRPr="00351A8A">
        <w:rPr>
          <w:rFonts w:ascii="Baskerville" w:hAnsi="Baskerville"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and</w:t>
      </w:r>
      <w:r w:rsidRPr="00351A8A">
        <w:rPr>
          <w:rFonts w:ascii="Baskerville" w:hAnsi="Baskerville"/>
          <w:sz w:val="20"/>
          <w:szCs w:val="20"/>
          <w:lang w:val="en-US"/>
        </w:rPr>
        <w:t xml:space="preserve"> Cameron</w:t>
      </w:r>
      <w:r>
        <w:rPr>
          <w:rFonts w:ascii="Baskerville" w:hAnsi="Baskerville"/>
          <w:sz w:val="20"/>
          <w:szCs w:val="20"/>
          <w:lang w:val="en-US"/>
        </w:rPr>
        <w:t xml:space="preserve"> J (eds)</w:t>
      </w:r>
      <w:r w:rsidRPr="00351A8A">
        <w:rPr>
          <w:rFonts w:ascii="Baskerville" w:hAnsi="Baskerville"/>
          <w:sz w:val="20"/>
          <w:szCs w:val="20"/>
          <w:lang w:val="en-US"/>
        </w:rPr>
        <w:t xml:space="preserve">, </w:t>
      </w:r>
      <w:r>
        <w:rPr>
          <w:rFonts w:ascii="Baskerville" w:hAnsi="Baskerville"/>
          <w:i/>
          <w:sz w:val="20"/>
          <w:szCs w:val="20"/>
          <w:lang w:val="en-US"/>
        </w:rPr>
        <w:t xml:space="preserve">Interpreting the Precautionary Principle </w:t>
      </w:r>
      <w:r w:rsidRPr="00351A8A">
        <w:rPr>
          <w:rFonts w:ascii="Baskerville" w:hAnsi="Baskerville"/>
          <w:sz w:val="20"/>
          <w:szCs w:val="20"/>
          <w:lang w:val="en-US"/>
        </w:rPr>
        <w:t>(</w:t>
      </w:r>
      <w:r>
        <w:rPr>
          <w:rFonts w:ascii="Baskerville" w:hAnsi="Baskerville"/>
          <w:sz w:val="20"/>
          <w:szCs w:val="20"/>
        </w:rPr>
        <w:t xml:space="preserve">Graham &amp; Trotman </w:t>
      </w:r>
      <w:r w:rsidRPr="00351A8A">
        <w:rPr>
          <w:rFonts w:ascii="Baskerville" w:hAnsi="Baskerville"/>
          <w:sz w:val="20"/>
          <w:szCs w:val="20"/>
          <w:lang w:val="en-US"/>
        </w:rPr>
        <w:t>1994)</w:t>
      </w:r>
      <w:r>
        <w:rPr>
          <w:rFonts w:ascii="Baskerville" w:hAnsi="Baskerville"/>
          <w:sz w:val="20"/>
          <w:szCs w:val="20"/>
          <w:lang w:val="en-US"/>
        </w:rPr>
        <w:t xml:space="preserve"> </w:t>
      </w:r>
    </w:p>
    <w:p w14:paraId="7D9422A8" w14:textId="77777777" w:rsidR="00737FBA" w:rsidRPr="00537C5C" w:rsidRDefault="00737FBA" w:rsidP="00737FBA">
      <w:pPr>
        <w:pStyle w:val="FootnoteText"/>
        <w:rPr>
          <w:rFonts w:ascii="Baskerville" w:hAnsi="Baskerville"/>
          <w:sz w:val="20"/>
          <w:szCs w:val="20"/>
        </w:rPr>
      </w:pPr>
    </w:p>
    <w:p w14:paraId="00FCFC53" w14:textId="77777777" w:rsidR="003C4711" w:rsidRDefault="003C4711" w:rsidP="003C4711">
      <w:pPr>
        <w:pStyle w:val="FootnoteText"/>
        <w:rPr>
          <w:rFonts w:ascii="Baskerville" w:hAnsi="Baskerville"/>
          <w:sz w:val="20"/>
          <w:szCs w:val="20"/>
        </w:rPr>
      </w:pPr>
      <w:r w:rsidRPr="00CA7D22">
        <w:rPr>
          <w:rFonts w:ascii="Baskerville" w:hAnsi="Baskerville"/>
          <w:sz w:val="20"/>
          <w:szCs w:val="20"/>
        </w:rPr>
        <w:t>Christoforou</w:t>
      </w:r>
      <w:r>
        <w:rPr>
          <w:rFonts w:ascii="Baskerville" w:hAnsi="Baskerville"/>
          <w:sz w:val="20"/>
          <w:szCs w:val="20"/>
        </w:rPr>
        <w:t xml:space="preserve"> T, ‘</w:t>
      </w:r>
      <w:r w:rsidRPr="00CA7D22">
        <w:rPr>
          <w:rFonts w:ascii="Baskerville" w:hAnsi="Baskerville"/>
          <w:sz w:val="20"/>
          <w:szCs w:val="20"/>
        </w:rPr>
        <w:t xml:space="preserve">The Precautionary Principle in </w:t>
      </w:r>
      <w:r>
        <w:rPr>
          <w:rFonts w:ascii="Baskerville" w:hAnsi="Baskerville"/>
          <w:sz w:val="20"/>
          <w:szCs w:val="20"/>
        </w:rPr>
        <w:t>EC Law and the WTO Legal System’</w:t>
      </w:r>
      <w:r w:rsidRPr="00CA7D22">
        <w:rPr>
          <w:rFonts w:ascii="Baskerville" w:hAnsi="Baskerville"/>
          <w:sz w:val="20"/>
          <w:szCs w:val="20"/>
        </w:rPr>
        <w:t xml:space="preserve"> in</w:t>
      </w:r>
      <w:r>
        <w:rPr>
          <w:rFonts w:ascii="Baskerville" w:hAnsi="Baskerville"/>
          <w:sz w:val="20"/>
          <w:szCs w:val="20"/>
        </w:rPr>
        <w:t xml:space="preserve"> </w:t>
      </w:r>
      <w:r w:rsidRPr="00CA7D22">
        <w:rPr>
          <w:rFonts w:ascii="Baskerville" w:hAnsi="Baskerville"/>
          <w:sz w:val="20"/>
          <w:szCs w:val="20"/>
        </w:rPr>
        <w:t>Kremlis</w:t>
      </w:r>
      <w:r>
        <w:rPr>
          <w:rFonts w:ascii="Baskerville" w:hAnsi="Baskerville"/>
          <w:sz w:val="20"/>
          <w:szCs w:val="20"/>
        </w:rPr>
        <w:t xml:space="preserve"> G</w:t>
      </w:r>
      <w:r w:rsidRPr="00CA7D22">
        <w:rPr>
          <w:rFonts w:ascii="Baskerville" w:hAnsi="Baskerville"/>
          <w:sz w:val="20"/>
          <w:szCs w:val="20"/>
        </w:rPr>
        <w:t>, Balias</w:t>
      </w:r>
      <w:r>
        <w:rPr>
          <w:rFonts w:ascii="Baskerville" w:hAnsi="Baskerville"/>
          <w:sz w:val="20"/>
          <w:szCs w:val="20"/>
        </w:rPr>
        <w:t xml:space="preserve"> G and A. Sifakis (eds</w:t>
      </w:r>
      <w:r w:rsidRPr="00CA7D22">
        <w:rPr>
          <w:rFonts w:ascii="Baskerville" w:hAnsi="Baskerville"/>
          <w:sz w:val="20"/>
          <w:szCs w:val="20"/>
        </w:rPr>
        <w:t xml:space="preserve">), </w:t>
      </w:r>
      <w:r w:rsidRPr="00CA7D22">
        <w:rPr>
          <w:rFonts w:ascii="Baskerville" w:hAnsi="Baskerville"/>
          <w:i/>
          <w:iCs/>
          <w:sz w:val="20"/>
          <w:szCs w:val="20"/>
        </w:rPr>
        <w:t>The Precautionary Principle</w:t>
      </w:r>
      <w:r w:rsidRPr="00CA7D22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(Sakkoulas</w:t>
      </w:r>
      <w:r w:rsidRPr="00CA7D22">
        <w:rPr>
          <w:rFonts w:ascii="Baskerville" w:hAnsi="Baskerville"/>
          <w:sz w:val="20"/>
          <w:szCs w:val="20"/>
        </w:rPr>
        <w:t xml:space="preserve"> 2004</w:t>
      </w:r>
      <w:r>
        <w:rPr>
          <w:rFonts w:ascii="Baskerville" w:hAnsi="Baskerville"/>
          <w:sz w:val="20"/>
          <w:szCs w:val="20"/>
        </w:rPr>
        <w:t>)</w:t>
      </w:r>
      <w:r w:rsidRPr="00CA7D22">
        <w:rPr>
          <w:rFonts w:ascii="Baskerville" w:hAnsi="Baskerville"/>
          <w:sz w:val="20"/>
          <w:szCs w:val="20"/>
        </w:rPr>
        <w:t xml:space="preserve"> </w:t>
      </w:r>
    </w:p>
    <w:p w14:paraId="3F1DE58D" w14:textId="77777777" w:rsidR="003C4711" w:rsidRDefault="003C4711" w:rsidP="003C4711">
      <w:pPr>
        <w:pStyle w:val="FootnoteText"/>
        <w:rPr>
          <w:rFonts w:ascii="Baskerville" w:hAnsi="Baskerville"/>
          <w:sz w:val="20"/>
          <w:szCs w:val="20"/>
        </w:rPr>
      </w:pPr>
    </w:p>
    <w:p w14:paraId="0468AF68" w14:textId="37027C25" w:rsidR="003C4711" w:rsidRPr="00CA7D22" w:rsidRDefault="003C4711" w:rsidP="003C4711">
      <w:pPr>
        <w:pStyle w:val="FootnoteText"/>
        <w:rPr>
          <w:rFonts w:ascii="Baskerville" w:hAnsi="Baskerville"/>
          <w:sz w:val="20"/>
          <w:szCs w:val="20"/>
        </w:rPr>
      </w:pPr>
      <w:r w:rsidRPr="003C4711">
        <w:rPr>
          <w:rFonts w:ascii="Baskerville" w:hAnsi="Baskerville"/>
          <w:sz w:val="20"/>
          <w:szCs w:val="20"/>
        </w:rPr>
        <w:t>Christoforou</w:t>
      </w:r>
      <w:r>
        <w:rPr>
          <w:rFonts w:ascii="Baskerville" w:hAnsi="Baskerville"/>
          <w:sz w:val="20"/>
          <w:szCs w:val="20"/>
        </w:rPr>
        <w:t xml:space="preserve"> T</w:t>
      </w:r>
      <w:r w:rsidRPr="003C4711">
        <w:rPr>
          <w:rFonts w:ascii="Baskerville" w:hAnsi="Baskerville"/>
          <w:sz w:val="20"/>
          <w:szCs w:val="20"/>
        </w:rPr>
        <w:t>, “The Precautionary Principle in EC Law and Science</w:t>
      </w:r>
      <w:r>
        <w:rPr>
          <w:rFonts w:ascii="Baskerville" w:hAnsi="Baskerville"/>
          <w:sz w:val="20"/>
          <w:szCs w:val="20"/>
        </w:rPr>
        <w:t xml:space="preserve">” in </w:t>
      </w:r>
      <w:r w:rsidRPr="003C4711">
        <w:rPr>
          <w:rFonts w:ascii="Baskerville" w:hAnsi="Baskerville"/>
          <w:sz w:val="20"/>
          <w:szCs w:val="20"/>
        </w:rPr>
        <w:t>Tickner</w:t>
      </w:r>
      <w:r>
        <w:rPr>
          <w:rFonts w:ascii="Baskerville" w:hAnsi="Baskerville"/>
          <w:sz w:val="20"/>
          <w:szCs w:val="20"/>
        </w:rPr>
        <w:t xml:space="preserve"> J</w:t>
      </w:r>
      <w:r w:rsidRPr="003C4711">
        <w:rPr>
          <w:rFonts w:ascii="Baskerville" w:hAnsi="Baskerville"/>
          <w:sz w:val="20"/>
          <w:szCs w:val="20"/>
        </w:rPr>
        <w:t xml:space="preserve"> (ed.), </w:t>
      </w:r>
      <w:r w:rsidRPr="003C4711">
        <w:rPr>
          <w:rFonts w:ascii="Baskerville" w:hAnsi="Baskerville"/>
          <w:i/>
          <w:iCs/>
          <w:sz w:val="20"/>
          <w:szCs w:val="20"/>
        </w:rPr>
        <w:t>Environmental Science and Preventive Public Policy</w:t>
      </w:r>
      <w:r w:rsidRPr="003C4711">
        <w:rPr>
          <w:rFonts w:ascii="Baskerville" w:hAnsi="Baskerville"/>
          <w:sz w:val="20"/>
          <w:szCs w:val="20"/>
        </w:rPr>
        <w:t xml:space="preserve"> (Island Press 2003)</w:t>
      </w:r>
    </w:p>
    <w:p w14:paraId="07450C9A" w14:textId="77777777" w:rsidR="00973AA9" w:rsidRDefault="00973AA9" w:rsidP="00973AA9">
      <w:pPr>
        <w:pStyle w:val="FootnoteText"/>
        <w:rPr>
          <w:rFonts w:ascii="Baskerville" w:hAnsi="Baskerville"/>
          <w:lang w:val="en-US"/>
        </w:rPr>
      </w:pPr>
    </w:p>
    <w:p w14:paraId="7F0126B7" w14:textId="77777777" w:rsidR="00973AA9" w:rsidRDefault="00973AA9" w:rsidP="00973AA9">
      <w:pPr>
        <w:pStyle w:val="FootnoteText"/>
        <w:rPr>
          <w:rFonts w:ascii="Baskerville" w:hAnsi="Baskerville"/>
          <w:lang w:val="en-US"/>
        </w:rPr>
      </w:pPr>
      <w:r w:rsidRPr="00EB5276">
        <w:rPr>
          <w:rFonts w:ascii="Baskerville" w:hAnsi="Baskerville"/>
          <w:sz w:val="20"/>
          <w:szCs w:val="20"/>
          <w:lang w:val="en-US"/>
        </w:rPr>
        <w:t>Tickner</w:t>
      </w:r>
      <w:r>
        <w:rPr>
          <w:rFonts w:ascii="Baskerville" w:hAnsi="Baskerville"/>
          <w:sz w:val="20"/>
          <w:szCs w:val="20"/>
          <w:lang w:val="en-US"/>
        </w:rPr>
        <w:t xml:space="preserve"> JA</w:t>
      </w:r>
      <w:r w:rsidRPr="00EB5276">
        <w:rPr>
          <w:rFonts w:ascii="Baskerville" w:hAnsi="Baskerville"/>
          <w:sz w:val="20"/>
          <w:szCs w:val="20"/>
          <w:lang w:val="en-US"/>
        </w:rPr>
        <w:t>, ‘Precautionary Assessment: A Framework for Integrating Science, Uncertainty</w:t>
      </w:r>
      <w:r>
        <w:rPr>
          <w:rFonts w:ascii="Baskerville" w:hAnsi="Baskerville"/>
          <w:sz w:val="20"/>
          <w:szCs w:val="20"/>
          <w:lang w:val="en-US"/>
        </w:rPr>
        <w:t>, and Preventative Policy’ in</w:t>
      </w:r>
      <w:r w:rsidRPr="00EB5276">
        <w:rPr>
          <w:rFonts w:ascii="Baskerville" w:hAnsi="Baskerville"/>
          <w:sz w:val="20"/>
          <w:szCs w:val="20"/>
          <w:lang w:val="en-US"/>
        </w:rPr>
        <w:t xml:space="preserve"> Tickner</w:t>
      </w:r>
      <w:r>
        <w:rPr>
          <w:rFonts w:ascii="Baskerville" w:hAnsi="Baskerville"/>
          <w:sz w:val="20"/>
          <w:szCs w:val="20"/>
          <w:lang w:val="en-US"/>
        </w:rPr>
        <w:t xml:space="preserve"> J (ed</w:t>
      </w:r>
      <w:r w:rsidRPr="00EB5276">
        <w:rPr>
          <w:rFonts w:ascii="Baskerville" w:hAnsi="Baskerville"/>
          <w:sz w:val="20"/>
          <w:szCs w:val="20"/>
          <w:lang w:val="en-US"/>
        </w:rPr>
        <w:t xml:space="preserve">), </w:t>
      </w:r>
      <w:r w:rsidRPr="00EB5276">
        <w:rPr>
          <w:rFonts w:ascii="Baskerville" w:hAnsi="Baskerville"/>
          <w:i/>
          <w:iCs/>
          <w:sz w:val="20"/>
          <w:szCs w:val="20"/>
          <w:lang w:val="en-US"/>
        </w:rPr>
        <w:t>Precaution, Environmental Science, and Preventive Public Policy</w:t>
      </w:r>
      <w:r w:rsidRPr="00EB5276">
        <w:rPr>
          <w:rFonts w:ascii="Baskerville" w:hAnsi="Baskerville"/>
          <w:sz w:val="20"/>
          <w:szCs w:val="20"/>
          <w:lang w:val="en-US"/>
        </w:rPr>
        <w:t xml:space="preserve"> (Island Press 2003)</w:t>
      </w:r>
    </w:p>
    <w:p w14:paraId="6A373237" w14:textId="77777777" w:rsidR="00973AA9" w:rsidRDefault="00973AA9" w:rsidP="00973AA9">
      <w:pPr>
        <w:pStyle w:val="FootnoteText"/>
        <w:rPr>
          <w:rFonts w:ascii="Baskerville" w:hAnsi="Baskerville"/>
          <w:lang w:val="en-US"/>
        </w:rPr>
      </w:pPr>
    </w:p>
    <w:p w14:paraId="628E4C02" w14:textId="54A13CBF" w:rsidR="00973AA9" w:rsidRPr="001D0B6F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1D0B6F">
        <w:rPr>
          <w:rFonts w:ascii="Baskerville" w:hAnsi="Baskerville"/>
          <w:sz w:val="20"/>
          <w:szCs w:val="20"/>
          <w:lang w:val="en-US"/>
        </w:rPr>
        <w:t>Tinker</w:t>
      </w:r>
      <w:r>
        <w:rPr>
          <w:rFonts w:ascii="Baskerville" w:hAnsi="Baskerville"/>
          <w:sz w:val="20"/>
          <w:szCs w:val="20"/>
          <w:lang w:val="en-US"/>
        </w:rPr>
        <w:t xml:space="preserve"> C</w:t>
      </w:r>
      <w:r w:rsidRPr="001D0B6F">
        <w:rPr>
          <w:rFonts w:ascii="Baskerville" w:hAnsi="Baskerville"/>
          <w:sz w:val="20"/>
          <w:szCs w:val="20"/>
          <w:lang w:val="en-US"/>
        </w:rPr>
        <w:t xml:space="preserve">, </w:t>
      </w:r>
      <w:r>
        <w:rPr>
          <w:rFonts w:ascii="Baskerville" w:hAnsi="Baskerville"/>
          <w:sz w:val="20"/>
          <w:szCs w:val="20"/>
          <w:lang w:val="en-US"/>
        </w:rPr>
        <w:t>‘</w:t>
      </w:r>
      <w:r w:rsidRPr="00876D1C">
        <w:rPr>
          <w:rFonts w:ascii="Baskerville" w:hAnsi="Baskerville"/>
          <w:sz w:val="20"/>
          <w:szCs w:val="20"/>
          <w:lang w:val="en-US"/>
        </w:rPr>
        <w:t>State Responsibility and the Precautionary Principle</w:t>
      </w:r>
      <w:r>
        <w:rPr>
          <w:rFonts w:ascii="Baskerville" w:hAnsi="Baskerville"/>
          <w:sz w:val="20"/>
          <w:szCs w:val="20"/>
          <w:lang w:val="en-US"/>
        </w:rPr>
        <w:t>’</w:t>
      </w:r>
      <w:r w:rsidRPr="001D0B6F">
        <w:rPr>
          <w:rFonts w:ascii="Baskerville" w:hAnsi="Baskerville"/>
          <w:sz w:val="20"/>
          <w:szCs w:val="20"/>
          <w:lang w:val="en-US"/>
        </w:rPr>
        <w:t xml:space="preserve"> in </w:t>
      </w:r>
      <w:r>
        <w:rPr>
          <w:rFonts w:ascii="Baskerville" w:hAnsi="Baskerville"/>
          <w:sz w:val="20"/>
          <w:szCs w:val="20"/>
          <w:lang w:val="en-US"/>
        </w:rPr>
        <w:t>Freestone D and</w:t>
      </w:r>
      <w:r w:rsidR="00CC57F2">
        <w:rPr>
          <w:rFonts w:ascii="Baskerville" w:hAnsi="Baskerville"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Hay E (eds)</w:t>
      </w:r>
      <w:r w:rsidRPr="001D0B6F">
        <w:rPr>
          <w:rFonts w:ascii="Baskerville" w:hAnsi="Baskerville"/>
          <w:sz w:val="20"/>
          <w:szCs w:val="20"/>
          <w:lang w:val="en-US"/>
        </w:rPr>
        <w:t xml:space="preserve">, </w:t>
      </w:r>
      <w:r w:rsidRPr="00876D1C">
        <w:rPr>
          <w:rFonts w:ascii="Baskerville" w:hAnsi="Baskerville"/>
          <w:i/>
          <w:sz w:val="20"/>
          <w:szCs w:val="20"/>
          <w:lang w:val="en-US"/>
        </w:rPr>
        <w:t>The Precautionary Principle and International Law - The Challenge of Implementation</w:t>
      </w:r>
      <w:r w:rsidRPr="001D0B6F">
        <w:rPr>
          <w:rFonts w:ascii="Baskerville" w:hAnsi="Baskerville"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(Kluwer Law International 1996)</w:t>
      </w:r>
      <w:r w:rsidRPr="00876D1C">
        <w:rPr>
          <w:rFonts w:ascii="Baskerville" w:hAnsi="Baskerville"/>
          <w:sz w:val="20"/>
          <w:szCs w:val="20"/>
          <w:lang w:val="en-US"/>
        </w:rPr>
        <w:t> </w:t>
      </w:r>
    </w:p>
    <w:p w14:paraId="3F013047" w14:textId="77777777" w:rsidR="00973AA9" w:rsidRPr="00F761DF" w:rsidRDefault="00973AA9" w:rsidP="00973AA9">
      <w:pPr>
        <w:pStyle w:val="FootnoteText"/>
        <w:rPr>
          <w:rFonts w:ascii="Baskerville" w:hAnsi="Baskerville"/>
          <w:lang w:val="en-US"/>
        </w:rPr>
      </w:pPr>
    </w:p>
    <w:p w14:paraId="2BA5F354" w14:textId="77777777" w:rsidR="00973AA9" w:rsidRDefault="00973AA9" w:rsidP="00973AA9">
      <w:pPr>
        <w:pStyle w:val="FootnoteText"/>
        <w:rPr>
          <w:rFonts w:ascii="Baskerville" w:hAnsi="Baskerville"/>
          <w:b/>
        </w:rPr>
      </w:pPr>
      <w:r w:rsidRPr="00F761DF">
        <w:rPr>
          <w:rFonts w:ascii="Baskerville" w:hAnsi="Baskerville"/>
          <w:b/>
        </w:rPr>
        <w:t>Journals</w:t>
      </w:r>
    </w:p>
    <w:p w14:paraId="1874A7B3" w14:textId="77777777" w:rsidR="00973AA9" w:rsidRDefault="00973AA9" w:rsidP="00973AA9">
      <w:pPr>
        <w:pStyle w:val="FootnoteText"/>
        <w:rPr>
          <w:rFonts w:ascii="Baskerville" w:hAnsi="Baskerville"/>
          <w:b/>
        </w:rPr>
      </w:pPr>
    </w:p>
    <w:p w14:paraId="4E522AC2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</w:rPr>
      </w:pPr>
      <w:r>
        <w:rPr>
          <w:rFonts w:ascii="Baskerville" w:hAnsi="Baskerville"/>
          <w:sz w:val="20"/>
          <w:szCs w:val="20"/>
        </w:rPr>
        <w:t>Abouchar J and Cameron J, ‘</w:t>
      </w:r>
      <w:r w:rsidRPr="00277796">
        <w:rPr>
          <w:rFonts w:ascii="Baskerville" w:hAnsi="Baskerville"/>
          <w:sz w:val="20"/>
          <w:szCs w:val="20"/>
          <w:lang w:val="en-US"/>
        </w:rPr>
        <w:t>The Precautionary Principle: A Fundamental Principle of Law and Policy for the Protection of the Global Environment</w:t>
      </w:r>
      <w:r>
        <w:rPr>
          <w:rFonts w:ascii="Baskerville" w:hAnsi="Baskerville"/>
          <w:sz w:val="20"/>
          <w:szCs w:val="20"/>
          <w:lang w:val="en-US"/>
        </w:rPr>
        <w:t xml:space="preserve">’ (1991) 14 (1) </w:t>
      </w:r>
      <w:r w:rsidRPr="00816632">
        <w:rPr>
          <w:rFonts w:ascii="Baskerville" w:hAnsi="Baskerville"/>
          <w:sz w:val="20"/>
          <w:szCs w:val="20"/>
          <w:lang w:val="en-US"/>
        </w:rPr>
        <w:t>Boston College International and Comparative Law</w:t>
      </w:r>
      <w:r w:rsidRPr="00277796">
        <w:rPr>
          <w:rFonts w:ascii="Baskerville" w:hAnsi="Baskerville"/>
          <w:i/>
          <w:sz w:val="20"/>
          <w:szCs w:val="20"/>
          <w:lang w:val="en-US"/>
        </w:rPr>
        <w:t xml:space="preserve"> </w:t>
      </w:r>
      <w:r w:rsidRPr="00816632">
        <w:rPr>
          <w:rFonts w:ascii="Baskerville" w:hAnsi="Baskerville"/>
          <w:sz w:val="20"/>
          <w:szCs w:val="20"/>
          <w:lang w:val="en-US"/>
        </w:rPr>
        <w:t>Review</w:t>
      </w:r>
      <w:r w:rsidRPr="00277796">
        <w:rPr>
          <w:rFonts w:ascii="Baskerville" w:hAnsi="Baskerville"/>
          <w:sz w:val="20"/>
          <w:szCs w:val="20"/>
          <w:lang w:val="en-US"/>
        </w:rPr>
        <w:t xml:space="preserve"> </w:t>
      </w:r>
      <w:r w:rsidRPr="009D11B2">
        <w:rPr>
          <w:rFonts w:ascii="Baskerville" w:hAnsi="Baskerville"/>
          <w:sz w:val="20"/>
          <w:szCs w:val="20"/>
        </w:rPr>
        <w:t>20</w:t>
      </w:r>
    </w:p>
    <w:p w14:paraId="413F3F2D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</w:rPr>
      </w:pPr>
    </w:p>
    <w:p w14:paraId="2977DBA5" w14:textId="5D86D728" w:rsidR="005318BC" w:rsidRDefault="005318BC" w:rsidP="00973AA9">
      <w:pPr>
        <w:pStyle w:val="FootnoteText"/>
        <w:rPr>
          <w:rFonts w:ascii="Baskerville" w:hAnsi="Baskerville"/>
          <w:bCs/>
          <w:sz w:val="20"/>
          <w:szCs w:val="20"/>
        </w:rPr>
      </w:pPr>
      <w:r w:rsidRPr="005318BC">
        <w:rPr>
          <w:rFonts w:ascii="Baskerville" w:hAnsi="Baskerville"/>
          <w:sz w:val="20"/>
          <w:szCs w:val="20"/>
          <w:lang w:val="en-US"/>
        </w:rPr>
        <w:t>Ahteensuu</w:t>
      </w:r>
      <w:r>
        <w:rPr>
          <w:rFonts w:ascii="Baskerville" w:hAnsi="Baskerville"/>
          <w:sz w:val="20"/>
          <w:szCs w:val="20"/>
          <w:lang w:val="en-US"/>
        </w:rPr>
        <w:t xml:space="preserve"> M</w:t>
      </w:r>
      <w:r w:rsidRPr="005318BC">
        <w:rPr>
          <w:rFonts w:ascii="Baskerville" w:hAnsi="Baskerville"/>
          <w:sz w:val="20"/>
          <w:szCs w:val="20"/>
        </w:rPr>
        <w:t>, ‘</w:t>
      </w:r>
      <w:r w:rsidRPr="005318BC">
        <w:rPr>
          <w:rFonts w:ascii="Baskerville" w:hAnsi="Baskerville"/>
          <w:bCs/>
          <w:sz w:val="20"/>
          <w:szCs w:val="20"/>
          <w:lang w:val="en-US"/>
        </w:rPr>
        <w:t>Rationale for Taking Precautions: Normative Choices and Commitments in the Implementation of the Precautionary Principle’, (</w:t>
      </w:r>
      <w:r w:rsidRPr="005318BC">
        <w:rPr>
          <w:rFonts w:ascii="Baskerville" w:hAnsi="Baskerville"/>
          <w:bCs/>
          <w:iCs/>
          <w:sz w:val="20"/>
          <w:szCs w:val="20"/>
        </w:rPr>
        <w:t xml:space="preserve">University of Turku: </w:t>
      </w:r>
      <w:r w:rsidRPr="005318BC">
        <w:rPr>
          <w:rFonts w:ascii="Baskerville" w:hAnsi="Baskerville"/>
          <w:bCs/>
          <w:sz w:val="20"/>
          <w:szCs w:val="20"/>
        </w:rPr>
        <w:t>TRAMES 2007), 11(61/56)</w:t>
      </w:r>
    </w:p>
    <w:p w14:paraId="7B702FB5" w14:textId="77777777" w:rsidR="005318BC" w:rsidRDefault="005318BC" w:rsidP="00973AA9">
      <w:pPr>
        <w:pStyle w:val="FootnoteText"/>
        <w:rPr>
          <w:rFonts w:ascii="Baskerville" w:hAnsi="Baskerville"/>
          <w:bCs/>
          <w:sz w:val="20"/>
          <w:szCs w:val="20"/>
        </w:rPr>
      </w:pPr>
    </w:p>
    <w:p w14:paraId="32676E00" w14:textId="76321C2F" w:rsidR="00973AA9" w:rsidRPr="009D11B2" w:rsidRDefault="00973AA9" w:rsidP="00973AA9">
      <w:pPr>
        <w:pStyle w:val="FootnoteText"/>
        <w:rPr>
          <w:rFonts w:ascii="Baskerville" w:hAnsi="Baskerville"/>
          <w:color w:val="FF0000"/>
          <w:sz w:val="20"/>
          <w:szCs w:val="20"/>
          <w:lang w:val="en-US"/>
        </w:rPr>
      </w:pPr>
      <w:r w:rsidRPr="00CC0179">
        <w:rPr>
          <w:rFonts w:ascii="Baskerville" w:hAnsi="Baskerville"/>
          <w:sz w:val="20"/>
          <w:szCs w:val="20"/>
          <w:lang w:val="en-US"/>
        </w:rPr>
        <w:t>Cheng</w:t>
      </w:r>
      <w:r>
        <w:rPr>
          <w:rFonts w:ascii="Baskerville" w:hAnsi="Baskerville"/>
          <w:sz w:val="20"/>
          <w:szCs w:val="20"/>
          <w:lang w:val="en-US"/>
        </w:rPr>
        <w:t xml:space="preserve"> B</w:t>
      </w:r>
      <w:r w:rsidRPr="00CC0179">
        <w:rPr>
          <w:rFonts w:ascii="Baskerville" w:hAnsi="Baskerville"/>
          <w:sz w:val="20"/>
          <w:szCs w:val="20"/>
          <w:lang w:val="en-US"/>
        </w:rPr>
        <w:t xml:space="preserve">, </w:t>
      </w:r>
      <w:r>
        <w:rPr>
          <w:rFonts w:ascii="Baskerville" w:hAnsi="Baskerville"/>
          <w:sz w:val="20"/>
          <w:szCs w:val="20"/>
          <w:lang w:val="en-US"/>
        </w:rPr>
        <w:t>‘</w:t>
      </w:r>
      <w:r w:rsidRPr="00816632">
        <w:rPr>
          <w:rFonts w:ascii="Baskerville" w:hAnsi="Baskerville"/>
          <w:iCs/>
          <w:sz w:val="20"/>
          <w:szCs w:val="20"/>
          <w:lang w:val="en-US"/>
        </w:rPr>
        <w:t>United Nations Resolutions on Outer Space: Instant International</w:t>
      </w:r>
      <w:r w:rsidRPr="00CC0179"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 w:rsidRPr="00816632">
        <w:rPr>
          <w:rFonts w:ascii="Baskerville" w:hAnsi="Baskerville"/>
          <w:iCs/>
          <w:sz w:val="20"/>
          <w:szCs w:val="20"/>
          <w:lang w:val="en-US"/>
        </w:rPr>
        <w:t>Customary Law</w:t>
      </w:r>
      <w:r>
        <w:rPr>
          <w:rFonts w:ascii="Baskerville" w:hAnsi="Baskerville"/>
          <w:iCs/>
          <w:sz w:val="20"/>
          <w:szCs w:val="20"/>
          <w:lang w:val="en-US"/>
        </w:rPr>
        <w:t>’</w:t>
      </w:r>
      <w:r w:rsidRPr="00CC0179">
        <w:rPr>
          <w:rFonts w:ascii="Baskerville" w:hAnsi="Baskerville"/>
          <w:i/>
          <w:iCs/>
          <w:sz w:val="20"/>
          <w:szCs w:val="20"/>
          <w:lang w:val="en-US"/>
        </w:rPr>
        <w:t xml:space="preserve">, </w:t>
      </w:r>
      <w:r>
        <w:rPr>
          <w:rFonts w:ascii="Baskerville" w:hAnsi="Baskerville"/>
          <w:iCs/>
          <w:sz w:val="20"/>
          <w:szCs w:val="20"/>
          <w:lang w:val="en-US"/>
        </w:rPr>
        <w:t>(1965)</w:t>
      </w:r>
      <w:r>
        <w:rPr>
          <w:rFonts w:ascii="Baskerville" w:hAnsi="Baskerville"/>
          <w:sz w:val="20"/>
          <w:szCs w:val="20"/>
          <w:lang w:val="en-US"/>
        </w:rPr>
        <w:t xml:space="preserve"> 23 </w:t>
      </w:r>
      <w:r w:rsidRPr="00CC0179">
        <w:rPr>
          <w:rFonts w:ascii="Baskerville" w:hAnsi="Baskerville"/>
          <w:sz w:val="20"/>
          <w:szCs w:val="20"/>
          <w:lang w:val="en-US"/>
        </w:rPr>
        <w:t>Indian J</w:t>
      </w:r>
      <w:r>
        <w:rPr>
          <w:rFonts w:ascii="Baskerville" w:hAnsi="Baskerville"/>
          <w:sz w:val="20"/>
          <w:szCs w:val="20"/>
          <w:lang w:val="en-US"/>
        </w:rPr>
        <w:t>ournal of International Law</w:t>
      </w:r>
      <w:r w:rsidRPr="00CC0179">
        <w:rPr>
          <w:rFonts w:ascii="Baskerville" w:hAnsi="Baskerville"/>
          <w:sz w:val="20"/>
          <w:szCs w:val="20"/>
          <w:lang w:val="en-US"/>
        </w:rPr>
        <w:t xml:space="preserve"> 35</w:t>
      </w:r>
    </w:p>
    <w:p w14:paraId="44F3C8DF" w14:textId="77777777" w:rsidR="00973AA9" w:rsidRDefault="00973AA9" w:rsidP="00973AA9">
      <w:pPr>
        <w:pStyle w:val="FootnoteText"/>
        <w:rPr>
          <w:rFonts w:ascii="Baskerville" w:hAnsi="Baskerville"/>
          <w:bCs/>
          <w:sz w:val="20"/>
          <w:szCs w:val="20"/>
          <w:lang w:val="en-US"/>
        </w:rPr>
      </w:pPr>
    </w:p>
    <w:p w14:paraId="576DE8CE" w14:textId="67FF174E" w:rsidR="00973AA9" w:rsidRPr="003137B4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DB64BE">
        <w:rPr>
          <w:rFonts w:ascii="Baskerville" w:hAnsi="Baskerville"/>
          <w:sz w:val="20"/>
          <w:szCs w:val="20"/>
          <w:lang w:val="en-US"/>
        </w:rPr>
        <w:t>Kriebel</w:t>
      </w:r>
      <w:r>
        <w:rPr>
          <w:rFonts w:ascii="Baskerville" w:hAnsi="Baskerville"/>
          <w:sz w:val="20"/>
          <w:szCs w:val="20"/>
          <w:lang w:val="en-US"/>
        </w:rPr>
        <w:t xml:space="preserve"> D and others,</w:t>
      </w:r>
      <w:r>
        <w:rPr>
          <w:rFonts w:ascii="Baskerville" w:hAnsi="Baskerville"/>
          <w:sz w:val="20"/>
          <w:szCs w:val="20"/>
        </w:rPr>
        <w:t>‘</w:t>
      </w:r>
      <w:r w:rsidRPr="00DB64BE">
        <w:rPr>
          <w:rFonts w:ascii="Baskerville" w:hAnsi="Baskerville"/>
          <w:sz w:val="20"/>
          <w:szCs w:val="20"/>
          <w:lang w:val="en-US"/>
        </w:rPr>
        <w:t>The Precautionary Principle in Environmental Science</w:t>
      </w:r>
      <w:r>
        <w:rPr>
          <w:rFonts w:ascii="Baskerville" w:hAnsi="Baskerville"/>
          <w:sz w:val="20"/>
          <w:szCs w:val="20"/>
          <w:lang w:val="en-US"/>
        </w:rPr>
        <w:t>’</w:t>
      </w:r>
      <w:r w:rsidRPr="00DB64BE">
        <w:rPr>
          <w:rFonts w:ascii="Baskerville" w:hAnsi="Baskerville"/>
          <w:sz w:val="20"/>
          <w:szCs w:val="20"/>
          <w:lang w:val="en-US"/>
        </w:rPr>
        <w:t> </w:t>
      </w:r>
      <w:r w:rsidR="0065214A">
        <w:rPr>
          <w:rFonts w:ascii="Baskerville" w:hAnsi="Baskerville"/>
          <w:sz w:val="20"/>
          <w:szCs w:val="20"/>
          <w:lang w:val="en-US"/>
        </w:rPr>
        <w:t xml:space="preserve"> (2003) 109</w:t>
      </w:r>
      <w:r>
        <w:rPr>
          <w:rFonts w:ascii="Baskerville" w:hAnsi="Baskerville"/>
          <w:sz w:val="20"/>
          <w:szCs w:val="20"/>
          <w:lang w:val="en-US"/>
        </w:rPr>
        <w:t xml:space="preserve">(9) </w:t>
      </w:r>
      <w:r w:rsidRPr="00D47E36">
        <w:rPr>
          <w:rFonts w:ascii="Baskerville" w:hAnsi="Baskerville"/>
          <w:sz w:val="20"/>
          <w:szCs w:val="20"/>
          <w:lang w:val="en-US"/>
        </w:rPr>
        <w:t xml:space="preserve">Environmental Health </w:t>
      </w:r>
      <w:r>
        <w:rPr>
          <w:rFonts w:ascii="Baskerville" w:hAnsi="Baskerville"/>
          <w:sz w:val="20"/>
          <w:szCs w:val="20"/>
        </w:rPr>
        <w:t>871</w:t>
      </w:r>
    </w:p>
    <w:p w14:paraId="2E88FFDA" w14:textId="77777777" w:rsidR="00973AA9" w:rsidRDefault="00973AA9" w:rsidP="00973AA9">
      <w:pPr>
        <w:pStyle w:val="FootnoteText"/>
        <w:rPr>
          <w:rFonts w:ascii="Baskerville" w:hAnsi="Baskerville"/>
          <w:bCs/>
          <w:sz w:val="20"/>
          <w:szCs w:val="20"/>
          <w:lang w:val="en-US"/>
        </w:rPr>
      </w:pPr>
    </w:p>
    <w:p w14:paraId="58CC1FF1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</w:rPr>
      </w:pPr>
      <w:r w:rsidRPr="00B748AB">
        <w:rPr>
          <w:rFonts w:ascii="Baskerville" w:hAnsi="Baskerville"/>
          <w:sz w:val="20"/>
          <w:szCs w:val="20"/>
          <w:lang w:val="en-US"/>
        </w:rPr>
        <w:t>Manson</w:t>
      </w:r>
      <w:r>
        <w:rPr>
          <w:rFonts w:ascii="Baskerville" w:hAnsi="Baskerville"/>
          <w:sz w:val="20"/>
          <w:szCs w:val="20"/>
          <w:lang w:val="en-US"/>
        </w:rPr>
        <w:t xml:space="preserve"> NA</w:t>
      </w:r>
      <w:r w:rsidRPr="00B748AB">
        <w:rPr>
          <w:rFonts w:ascii="Baskerville" w:hAnsi="Baskerville"/>
          <w:sz w:val="20"/>
          <w:szCs w:val="20"/>
          <w:lang w:val="en-US"/>
        </w:rPr>
        <w:t>, ‘Formulati</w:t>
      </w:r>
      <w:r>
        <w:rPr>
          <w:rFonts w:ascii="Baskerville" w:hAnsi="Baskerville"/>
          <w:sz w:val="20"/>
          <w:szCs w:val="20"/>
          <w:lang w:val="en-US"/>
        </w:rPr>
        <w:t>ng the Precautionary Principle’</w:t>
      </w:r>
      <w:r w:rsidRPr="00B748AB">
        <w:rPr>
          <w:rFonts w:ascii="Baskerville" w:hAnsi="Baskerville"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 xml:space="preserve">(2002) 24 </w:t>
      </w:r>
      <w:r w:rsidRPr="00D47E36">
        <w:rPr>
          <w:rFonts w:ascii="Baskerville" w:hAnsi="Baskerville"/>
          <w:iCs/>
          <w:sz w:val="20"/>
          <w:szCs w:val="20"/>
          <w:lang w:val="en-US"/>
        </w:rPr>
        <w:t>Environmental Ethics</w:t>
      </w:r>
      <w:r w:rsidRPr="00B748AB">
        <w:rPr>
          <w:rFonts w:ascii="Baskerville" w:hAnsi="Baskerville"/>
          <w:sz w:val="20"/>
          <w:szCs w:val="20"/>
          <w:lang w:val="en-US"/>
        </w:rPr>
        <w:t xml:space="preserve"> 264</w:t>
      </w:r>
    </w:p>
    <w:p w14:paraId="29F240E9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</w:rPr>
      </w:pPr>
    </w:p>
    <w:p w14:paraId="4DB0F4C0" w14:textId="500E35E6" w:rsidR="00973AA9" w:rsidRPr="00D47E36" w:rsidRDefault="00973AA9" w:rsidP="00973AA9">
      <w:pPr>
        <w:pStyle w:val="FootnoteText"/>
        <w:rPr>
          <w:rFonts w:ascii="Baskerville" w:hAnsi="Baskerville"/>
          <w:bCs/>
          <w:sz w:val="20"/>
          <w:szCs w:val="20"/>
          <w:lang w:val="en-US"/>
        </w:rPr>
      </w:pPr>
      <w:r w:rsidRPr="00A46252">
        <w:rPr>
          <w:rFonts w:ascii="Baskerville" w:hAnsi="Baskerville"/>
          <w:sz w:val="20"/>
          <w:szCs w:val="20"/>
        </w:rPr>
        <w:t>Nollkaemper</w:t>
      </w:r>
      <w:r>
        <w:rPr>
          <w:rFonts w:ascii="Baskerville" w:hAnsi="Baskerville"/>
          <w:sz w:val="20"/>
          <w:szCs w:val="20"/>
        </w:rPr>
        <w:t xml:space="preserve"> A</w:t>
      </w:r>
      <w:r w:rsidRPr="00A46252">
        <w:rPr>
          <w:rFonts w:ascii="Baskerville" w:hAnsi="Baskerville"/>
          <w:sz w:val="20"/>
          <w:szCs w:val="20"/>
        </w:rPr>
        <w:t>, ‘The Precautionary Principle in International Environmental Law: What’s Ne</w:t>
      </w:r>
      <w:r>
        <w:rPr>
          <w:rFonts w:ascii="Baskerville" w:hAnsi="Baskerville"/>
          <w:sz w:val="20"/>
          <w:szCs w:val="20"/>
        </w:rPr>
        <w:t xml:space="preserve">w Under the Sun?’ (1991) 22(3) </w:t>
      </w:r>
      <w:r w:rsidRPr="005B0E79">
        <w:rPr>
          <w:rFonts w:ascii="Baskerville" w:hAnsi="Baskerville"/>
          <w:sz w:val="20"/>
          <w:szCs w:val="20"/>
        </w:rPr>
        <w:t>Marine Pollution Bulletin</w:t>
      </w:r>
      <w:r w:rsidR="001774C6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107</w:t>
      </w:r>
    </w:p>
    <w:p w14:paraId="18AA35E1" w14:textId="77777777" w:rsidR="00973AA9" w:rsidRDefault="00973AA9" w:rsidP="00973AA9">
      <w:pPr>
        <w:pStyle w:val="FootnoteText"/>
        <w:rPr>
          <w:rFonts w:ascii="Baskerville" w:hAnsi="Baskerville"/>
          <w:bCs/>
          <w:sz w:val="20"/>
          <w:szCs w:val="20"/>
          <w:lang w:val="en-US"/>
        </w:rPr>
      </w:pPr>
    </w:p>
    <w:p w14:paraId="54E1C131" w14:textId="77777777" w:rsidR="00973AA9" w:rsidRPr="00956EC3" w:rsidRDefault="00973AA9" w:rsidP="00973AA9">
      <w:pPr>
        <w:pStyle w:val="FootnoteText"/>
        <w:rPr>
          <w:rFonts w:ascii="Baskerville" w:hAnsi="Baskerville"/>
          <w:b/>
          <w:bCs/>
          <w:sz w:val="20"/>
          <w:szCs w:val="20"/>
          <w:lang w:val="en-US"/>
        </w:rPr>
      </w:pPr>
      <w:r w:rsidRPr="00E372AF">
        <w:rPr>
          <w:rFonts w:ascii="Baskerville" w:hAnsi="Baskerville"/>
          <w:bCs/>
          <w:sz w:val="20"/>
          <w:szCs w:val="20"/>
          <w:lang w:val="en-US"/>
        </w:rPr>
        <w:t>Rogers</w:t>
      </w:r>
      <w:r>
        <w:rPr>
          <w:rFonts w:ascii="Baskerville" w:hAnsi="Baskerville"/>
          <w:bCs/>
          <w:sz w:val="20"/>
          <w:szCs w:val="20"/>
          <w:lang w:val="en-US"/>
        </w:rPr>
        <w:t xml:space="preserve"> MF</w:t>
      </w:r>
      <w:r w:rsidRPr="00E372AF">
        <w:rPr>
          <w:rFonts w:ascii="Baskerville" w:hAnsi="Baskerville"/>
          <w:bCs/>
          <w:sz w:val="20"/>
          <w:szCs w:val="20"/>
          <w:lang w:val="en-US"/>
        </w:rPr>
        <w:t>, Sinden</w:t>
      </w:r>
      <w:r>
        <w:rPr>
          <w:rFonts w:ascii="Baskerville" w:hAnsi="Baskerville"/>
          <w:bCs/>
          <w:sz w:val="20"/>
          <w:szCs w:val="20"/>
          <w:lang w:val="en-US"/>
        </w:rPr>
        <w:t xml:space="preserve"> JA</w:t>
      </w:r>
      <w:r w:rsidRPr="00E372AF">
        <w:rPr>
          <w:rFonts w:ascii="Baskerville" w:hAnsi="Baskerville"/>
          <w:sz w:val="20"/>
          <w:szCs w:val="20"/>
          <w:lang w:val="en-US"/>
        </w:rPr>
        <w:t xml:space="preserve"> </w:t>
      </w:r>
      <w:r w:rsidRPr="00E372AF">
        <w:rPr>
          <w:rFonts w:ascii="Baskerville" w:hAnsi="Baskerville"/>
          <w:bCs/>
          <w:sz w:val="20"/>
          <w:szCs w:val="20"/>
          <w:lang w:val="en-US"/>
        </w:rPr>
        <w:t>and De Lacy</w:t>
      </w:r>
      <w:r>
        <w:rPr>
          <w:rFonts w:ascii="Baskerville" w:hAnsi="Baskerville"/>
          <w:bCs/>
          <w:sz w:val="20"/>
          <w:szCs w:val="20"/>
          <w:lang w:val="en-US"/>
        </w:rPr>
        <w:t xml:space="preserve"> T</w:t>
      </w:r>
      <w:r w:rsidRPr="00E372AF">
        <w:rPr>
          <w:rFonts w:ascii="Baskerville" w:hAnsi="Baskerville"/>
          <w:bCs/>
          <w:sz w:val="20"/>
          <w:szCs w:val="20"/>
          <w:lang w:val="en-US"/>
        </w:rPr>
        <w:t>,</w:t>
      </w:r>
      <w:r>
        <w:rPr>
          <w:rFonts w:ascii="Baskerville" w:hAnsi="Baskerville"/>
          <w:bCs/>
          <w:sz w:val="20"/>
          <w:szCs w:val="20"/>
          <w:lang w:val="en-US"/>
        </w:rPr>
        <w:t xml:space="preserve"> ‘</w:t>
      </w:r>
      <w:r w:rsidRPr="00956EC3">
        <w:rPr>
          <w:rFonts w:ascii="Baskerville" w:hAnsi="Baskerville"/>
          <w:bCs/>
          <w:sz w:val="20"/>
          <w:szCs w:val="20"/>
          <w:lang w:val="en-US"/>
        </w:rPr>
        <w:t>The Precautionary Principle for Environmental Management: A Defensive-expenditure Application</w:t>
      </w:r>
      <w:r>
        <w:rPr>
          <w:rFonts w:ascii="Baskerville" w:hAnsi="Baskerville"/>
          <w:bCs/>
          <w:sz w:val="20"/>
          <w:szCs w:val="20"/>
          <w:lang w:val="en-US"/>
        </w:rPr>
        <w:t xml:space="preserve">’ (1997) 51 </w:t>
      </w:r>
      <w:r w:rsidRPr="00300424">
        <w:rPr>
          <w:rFonts w:ascii="Baskerville" w:hAnsi="Baskerville"/>
          <w:bCs/>
          <w:iCs/>
          <w:sz w:val="20"/>
          <w:szCs w:val="20"/>
          <w:lang w:val="en-US"/>
        </w:rPr>
        <w:t>Journal of Environmental Management</w:t>
      </w:r>
      <w:r>
        <w:rPr>
          <w:rFonts w:ascii="Baskerville" w:hAnsi="Baskerville"/>
          <w:bCs/>
          <w:sz w:val="20"/>
          <w:szCs w:val="20"/>
          <w:lang w:val="en-US"/>
        </w:rPr>
        <w:t xml:space="preserve"> 343</w:t>
      </w:r>
    </w:p>
    <w:p w14:paraId="73BD6770" w14:textId="77777777" w:rsidR="00973AA9" w:rsidRDefault="00973AA9" w:rsidP="00973AA9">
      <w:pPr>
        <w:pStyle w:val="FootnoteText"/>
        <w:rPr>
          <w:rFonts w:ascii="Baskerville" w:hAnsi="Baskerville"/>
        </w:rPr>
      </w:pPr>
    </w:p>
    <w:p w14:paraId="44363071" w14:textId="58CC3AD5" w:rsidR="00973AA9" w:rsidRDefault="00973AA9" w:rsidP="00973AA9">
      <w:pPr>
        <w:rPr>
          <w:rFonts w:ascii="Baskerville" w:hAnsi="Baskerville"/>
          <w:sz w:val="20"/>
          <w:szCs w:val="20"/>
        </w:rPr>
      </w:pPr>
      <w:r>
        <w:rPr>
          <w:rFonts w:ascii="Baskerville" w:hAnsi="Baskerville"/>
          <w:sz w:val="20"/>
          <w:szCs w:val="20"/>
        </w:rPr>
        <w:t>Smith C (ed</w:t>
      </w:r>
      <w:r w:rsidR="00CC57F2">
        <w:rPr>
          <w:rFonts w:ascii="Baskerville" w:hAnsi="Baskerville"/>
          <w:sz w:val="20"/>
          <w:szCs w:val="20"/>
        </w:rPr>
        <w:t>.</w:t>
      </w:r>
      <w:r w:rsidRPr="00CA7D22">
        <w:rPr>
          <w:rFonts w:ascii="Baskerville" w:hAnsi="Baskerville"/>
          <w:sz w:val="20"/>
          <w:szCs w:val="20"/>
        </w:rPr>
        <w:t>), ‘T</w:t>
      </w:r>
      <w:r w:rsidRPr="00CA7D22">
        <w:rPr>
          <w:rFonts w:ascii="Baskerville" w:hAnsi="Baskerville"/>
          <w:bCs/>
          <w:sz w:val="20"/>
          <w:szCs w:val="20"/>
        </w:rPr>
        <w:t>he Precautionary Principle and Environmental Policy: Science, Uncertainty, and Sustainability’</w:t>
      </w:r>
      <w:r>
        <w:rPr>
          <w:rFonts w:ascii="Baskerville" w:hAnsi="Baskerville"/>
          <w:bCs/>
          <w:sz w:val="20"/>
          <w:szCs w:val="20"/>
        </w:rPr>
        <w:t xml:space="preserve"> (2000) 6 (4)</w:t>
      </w:r>
      <w:r w:rsidRPr="00CA7D22">
        <w:rPr>
          <w:rFonts w:ascii="Baskerville" w:hAnsi="Baskerville"/>
          <w:bCs/>
          <w:i/>
          <w:sz w:val="20"/>
          <w:szCs w:val="20"/>
        </w:rPr>
        <w:t xml:space="preserve"> </w:t>
      </w:r>
      <w:r w:rsidRPr="00463C92">
        <w:rPr>
          <w:rFonts w:ascii="Baskerville" w:hAnsi="Baskerville"/>
          <w:bCs/>
          <w:sz w:val="20"/>
          <w:szCs w:val="20"/>
          <w:lang w:val="en-US"/>
        </w:rPr>
        <w:t>International Journal of Occupational and Environmental Health</w:t>
      </w:r>
      <w:r w:rsidRPr="00CA7D22">
        <w:rPr>
          <w:rFonts w:ascii="Baskerville" w:hAnsi="Baskerville"/>
          <w:bCs/>
          <w:sz w:val="20"/>
          <w:szCs w:val="20"/>
          <w:lang w:val="en-US"/>
        </w:rPr>
        <w:t xml:space="preserve"> </w:t>
      </w:r>
      <w:r w:rsidRPr="00CA7D22">
        <w:rPr>
          <w:rFonts w:ascii="Baskerville" w:hAnsi="Baskerville"/>
          <w:sz w:val="20"/>
          <w:szCs w:val="20"/>
        </w:rPr>
        <w:t>263</w:t>
      </w:r>
    </w:p>
    <w:p w14:paraId="6DED4985" w14:textId="77777777" w:rsidR="00973AA9" w:rsidRDefault="00973AA9" w:rsidP="00973AA9">
      <w:pPr>
        <w:rPr>
          <w:rFonts w:ascii="Baskerville" w:hAnsi="Baskerville"/>
          <w:sz w:val="20"/>
          <w:szCs w:val="20"/>
        </w:rPr>
      </w:pPr>
    </w:p>
    <w:p w14:paraId="432A77CA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6F15A0">
        <w:rPr>
          <w:rFonts w:ascii="Baskerville" w:hAnsi="Baskerville"/>
          <w:sz w:val="20"/>
          <w:szCs w:val="20"/>
          <w:lang w:val="en-US"/>
        </w:rPr>
        <w:t>Soule</w:t>
      </w:r>
      <w:r>
        <w:rPr>
          <w:rFonts w:ascii="Baskerville" w:hAnsi="Baskerville"/>
          <w:sz w:val="20"/>
          <w:szCs w:val="20"/>
          <w:lang w:val="en-US"/>
        </w:rPr>
        <w:t xml:space="preserve"> E</w:t>
      </w:r>
      <w:r w:rsidRPr="006F15A0">
        <w:rPr>
          <w:rFonts w:ascii="Baskerville" w:hAnsi="Baskerville"/>
          <w:sz w:val="20"/>
          <w:szCs w:val="20"/>
          <w:lang w:val="en-US"/>
        </w:rPr>
        <w:t>, ‘Assessing the Precautionary Principle in the Regulation of Genetically Modif</w:t>
      </w:r>
      <w:r>
        <w:rPr>
          <w:rFonts w:ascii="Baskerville" w:hAnsi="Baskerville"/>
          <w:sz w:val="20"/>
          <w:szCs w:val="20"/>
          <w:lang w:val="en-US"/>
        </w:rPr>
        <w:t xml:space="preserve">ied Organisms’ (2002) 4 (1) </w:t>
      </w:r>
      <w:r w:rsidRPr="00463C92">
        <w:rPr>
          <w:rFonts w:ascii="Baskerville" w:hAnsi="Baskerville"/>
          <w:iCs/>
          <w:sz w:val="20"/>
          <w:szCs w:val="20"/>
          <w:lang w:val="en-US"/>
        </w:rPr>
        <w:t>International Journal of Biotechnology</w:t>
      </w:r>
      <w:r w:rsidRPr="006F15A0">
        <w:rPr>
          <w:rFonts w:ascii="Baskerville" w:hAnsi="Baskerville"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21</w:t>
      </w:r>
      <w:r w:rsidRPr="006F15A0">
        <w:rPr>
          <w:rFonts w:ascii="Baskerville" w:hAnsi="Baskerville"/>
          <w:sz w:val="20"/>
          <w:szCs w:val="20"/>
          <w:lang w:val="en-US"/>
        </w:rPr>
        <w:t xml:space="preserve"> </w:t>
      </w:r>
    </w:p>
    <w:p w14:paraId="4F425F9E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405B0511" w14:textId="77777777" w:rsidR="00973AA9" w:rsidRPr="007C628B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>
        <w:rPr>
          <w:rFonts w:ascii="Baskerville" w:hAnsi="Baskerville"/>
          <w:sz w:val="20"/>
          <w:szCs w:val="20"/>
        </w:rPr>
        <w:t>Stevens M, ‘</w:t>
      </w:r>
      <w:r w:rsidRPr="00A05297">
        <w:rPr>
          <w:rFonts w:ascii="Baskerville" w:hAnsi="Baskerville"/>
          <w:sz w:val="20"/>
          <w:szCs w:val="20"/>
          <w:lang w:val="en-US"/>
        </w:rPr>
        <w:t>The Precautionary Principle in the International Arena</w:t>
      </w:r>
      <w:r>
        <w:rPr>
          <w:rFonts w:ascii="Baskerville" w:hAnsi="Baskerville"/>
          <w:sz w:val="20"/>
          <w:szCs w:val="20"/>
          <w:lang w:val="en-US"/>
        </w:rPr>
        <w:t xml:space="preserve">’ (2002) 2 (2) </w:t>
      </w:r>
      <w:r w:rsidRPr="000C53F4">
        <w:rPr>
          <w:rFonts w:ascii="Baskerville" w:hAnsi="Baskerville"/>
          <w:sz w:val="20"/>
          <w:szCs w:val="20"/>
          <w:lang w:val="en-US"/>
        </w:rPr>
        <w:t>Sustainable Development</w:t>
      </w:r>
      <w:r>
        <w:rPr>
          <w:rFonts w:ascii="Baskerville" w:hAnsi="Baskerville"/>
          <w:i/>
          <w:sz w:val="20"/>
          <w:szCs w:val="20"/>
          <w:lang w:val="en-US"/>
        </w:rPr>
        <w:t xml:space="preserve"> </w:t>
      </w:r>
      <w:r w:rsidRPr="000C53F4">
        <w:rPr>
          <w:rFonts w:ascii="Baskerville" w:hAnsi="Baskerville"/>
          <w:sz w:val="20"/>
          <w:szCs w:val="20"/>
          <w:lang w:val="en-US"/>
        </w:rPr>
        <w:t>Law &amp; Policy</w:t>
      </w:r>
      <w:r>
        <w:rPr>
          <w:rFonts w:ascii="Baskerville" w:hAnsi="Baskerville"/>
          <w:i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</w:rPr>
        <w:t>15</w:t>
      </w:r>
    </w:p>
    <w:p w14:paraId="7EDE40C1" w14:textId="77777777" w:rsidR="00973AA9" w:rsidRPr="006F15A0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2F671550" w14:textId="07C9E04C" w:rsidR="00973AA9" w:rsidRPr="000A4983" w:rsidRDefault="00CC57F2" w:rsidP="00973AA9">
      <w:pPr>
        <w:rPr>
          <w:rFonts w:ascii="Baskerville" w:hAnsi="Baskerville"/>
          <w:b/>
          <w:u w:val="single"/>
        </w:rPr>
      </w:pPr>
      <w:r>
        <w:rPr>
          <w:rFonts w:ascii="Baskerville" w:hAnsi="Baskerville"/>
          <w:sz w:val="20"/>
          <w:szCs w:val="20"/>
          <w:lang w:val="en-US"/>
        </w:rPr>
        <w:t xml:space="preserve">Levidow L, </w:t>
      </w:r>
      <w:r w:rsidR="00973AA9">
        <w:rPr>
          <w:rFonts w:ascii="Baskerville" w:hAnsi="Baskerville"/>
          <w:sz w:val="20"/>
          <w:szCs w:val="20"/>
          <w:lang w:val="en-US"/>
        </w:rPr>
        <w:t>Carr S and</w:t>
      </w:r>
      <w:r w:rsidR="00973AA9" w:rsidRPr="00294766">
        <w:rPr>
          <w:rFonts w:ascii="Baskerville" w:hAnsi="Baskerville"/>
          <w:sz w:val="20"/>
          <w:szCs w:val="20"/>
          <w:lang w:val="en-US"/>
        </w:rPr>
        <w:t xml:space="preserve"> </w:t>
      </w:r>
      <w:r w:rsidR="00973AA9">
        <w:rPr>
          <w:rFonts w:ascii="Baskerville" w:hAnsi="Baskerville"/>
          <w:sz w:val="20"/>
          <w:szCs w:val="20"/>
          <w:lang w:val="en-US"/>
        </w:rPr>
        <w:t>Wield D, ‘</w:t>
      </w:r>
      <w:r w:rsidR="00973AA9" w:rsidRPr="00294766">
        <w:rPr>
          <w:rFonts w:ascii="Baskerville" w:hAnsi="Baskerville"/>
          <w:sz w:val="20"/>
          <w:szCs w:val="20"/>
          <w:lang w:val="en-US"/>
        </w:rPr>
        <w:t>European Union Regulation of Agri-Biotechnology: Precautionary Links betwee</w:t>
      </w:r>
      <w:r w:rsidR="00973AA9">
        <w:rPr>
          <w:rFonts w:ascii="Baskerville" w:hAnsi="Baskerville"/>
          <w:sz w:val="20"/>
          <w:szCs w:val="20"/>
          <w:lang w:val="en-US"/>
        </w:rPr>
        <w:t xml:space="preserve">n Science, Expertise and Policy’ (2005) </w:t>
      </w:r>
      <w:r w:rsidR="00973AA9" w:rsidRPr="005B0E79">
        <w:rPr>
          <w:rFonts w:ascii="Baskerville" w:hAnsi="Baskerville"/>
          <w:iCs/>
          <w:sz w:val="20"/>
          <w:szCs w:val="20"/>
          <w:lang w:val="en-US"/>
        </w:rPr>
        <w:t>Science and Public Policy</w:t>
      </w:r>
      <w:r w:rsidR="00973AA9">
        <w:rPr>
          <w:rFonts w:ascii="Baskerville" w:hAnsi="Baskerville"/>
          <w:sz w:val="20"/>
          <w:szCs w:val="20"/>
          <w:lang w:val="en-US"/>
        </w:rPr>
        <w:t xml:space="preserve"> </w:t>
      </w:r>
      <w:r w:rsidR="00973AA9" w:rsidRPr="00294766">
        <w:rPr>
          <w:rFonts w:ascii="Baskerville" w:hAnsi="Baskerville"/>
          <w:sz w:val="20"/>
          <w:szCs w:val="20"/>
          <w:lang w:val="en-US"/>
        </w:rPr>
        <w:t>32 (4)</w:t>
      </w:r>
    </w:p>
    <w:p w14:paraId="20A978CE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</w:rPr>
      </w:pPr>
    </w:p>
    <w:p w14:paraId="208C290A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EF177E">
        <w:rPr>
          <w:rFonts w:ascii="Baskerville" w:hAnsi="Baskerville"/>
          <w:sz w:val="20"/>
          <w:szCs w:val="20"/>
          <w:lang w:val="en-US"/>
        </w:rPr>
        <w:t>Douma</w:t>
      </w:r>
      <w:r>
        <w:rPr>
          <w:rFonts w:ascii="Baskerville" w:hAnsi="Baskerville"/>
          <w:sz w:val="20"/>
          <w:szCs w:val="20"/>
          <w:lang w:val="en-US"/>
        </w:rPr>
        <w:t xml:space="preserve"> WT</w:t>
      </w:r>
      <w:r w:rsidRPr="00EF177E">
        <w:rPr>
          <w:rFonts w:ascii="Baskerville" w:hAnsi="Baskerville"/>
          <w:sz w:val="20"/>
          <w:szCs w:val="20"/>
          <w:lang w:val="en-US"/>
        </w:rPr>
        <w:t>,  </w:t>
      </w:r>
      <w:r>
        <w:rPr>
          <w:rFonts w:ascii="Baskerville" w:hAnsi="Baskerville"/>
          <w:sz w:val="20"/>
          <w:szCs w:val="20"/>
          <w:lang w:val="en-US"/>
        </w:rPr>
        <w:t>’</w:t>
      </w:r>
      <w:r w:rsidRPr="00EF177E">
        <w:rPr>
          <w:rFonts w:ascii="Baskerville" w:hAnsi="Baskerville"/>
          <w:i/>
          <w:sz w:val="20"/>
          <w:szCs w:val="20"/>
          <w:lang w:val="en-US"/>
        </w:rPr>
        <w:t>The Precautionary Principle</w:t>
      </w:r>
      <w:r>
        <w:rPr>
          <w:rFonts w:ascii="Baskerville" w:hAnsi="Baskerville"/>
          <w:i/>
          <w:sz w:val="20"/>
          <w:szCs w:val="20"/>
          <w:lang w:val="en-US"/>
        </w:rPr>
        <w:t>’</w:t>
      </w:r>
      <w:r w:rsidRPr="00EF177E">
        <w:rPr>
          <w:rFonts w:ascii="Baskerville" w:hAnsi="Baskerville"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 xml:space="preserve">(1996) 49 Ulfljotur </w:t>
      </w:r>
      <w:r w:rsidRPr="00EF177E">
        <w:rPr>
          <w:rFonts w:ascii="Baskerville" w:hAnsi="Baskerville"/>
          <w:sz w:val="20"/>
          <w:szCs w:val="20"/>
          <w:lang w:val="en-US"/>
        </w:rPr>
        <w:t>(</w:t>
      </w:r>
      <w:r>
        <w:rPr>
          <w:rFonts w:ascii="Baskerville" w:hAnsi="Baskerville"/>
          <w:sz w:val="20"/>
          <w:szCs w:val="20"/>
          <w:lang w:val="en-US"/>
        </w:rPr>
        <w:t xml:space="preserve">TMC </w:t>
      </w:r>
      <w:r w:rsidRPr="00EF177E">
        <w:rPr>
          <w:rFonts w:ascii="Baskerville" w:hAnsi="Baskerville"/>
          <w:sz w:val="20"/>
          <w:szCs w:val="20"/>
          <w:lang w:val="en-US"/>
        </w:rPr>
        <w:t>Asser Institute</w:t>
      </w:r>
      <w:r>
        <w:rPr>
          <w:rFonts w:ascii="Baskerville" w:hAnsi="Baskerville"/>
          <w:sz w:val="20"/>
          <w:szCs w:val="20"/>
          <w:lang w:val="en-US"/>
        </w:rPr>
        <w:t>) 417</w:t>
      </w:r>
    </w:p>
    <w:p w14:paraId="3C0F32EF" w14:textId="77777777" w:rsidR="00973AA9" w:rsidRPr="00F761DF" w:rsidRDefault="00973AA9" w:rsidP="00973AA9">
      <w:pPr>
        <w:pStyle w:val="FootnoteText"/>
        <w:rPr>
          <w:rFonts w:ascii="Baskerville" w:hAnsi="Baskerville"/>
        </w:rPr>
      </w:pPr>
    </w:p>
    <w:p w14:paraId="2E21CD8C" w14:textId="77777777" w:rsidR="00973AA9" w:rsidRPr="00B04631" w:rsidRDefault="00973AA9" w:rsidP="00973AA9">
      <w:pPr>
        <w:rPr>
          <w:rFonts w:ascii="Baskerville" w:hAnsi="Baskerville"/>
          <w:b/>
          <w:u w:val="single"/>
        </w:rPr>
      </w:pPr>
      <w:r w:rsidRPr="00B04631">
        <w:rPr>
          <w:rFonts w:ascii="Baskerville" w:hAnsi="Baskerville"/>
          <w:b/>
          <w:u w:val="single"/>
        </w:rPr>
        <w:t>Other secondary sources</w:t>
      </w:r>
    </w:p>
    <w:p w14:paraId="61D73BB7" w14:textId="77777777" w:rsidR="00973AA9" w:rsidRDefault="00973AA9" w:rsidP="00973AA9">
      <w:pPr>
        <w:rPr>
          <w:rFonts w:ascii="Baskerville" w:hAnsi="Baskerville"/>
          <w:b/>
        </w:rPr>
      </w:pPr>
    </w:p>
    <w:p w14:paraId="191ABCBD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D97B21">
        <w:rPr>
          <w:rFonts w:ascii="Baskerville" w:hAnsi="Baskerville"/>
          <w:sz w:val="20"/>
          <w:szCs w:val="20"/>
          <w:lang w:val="en-US"/>
        </w:rPr>
        <w:t>Campbell</w:t>
      </w:r>
      <w:r>
        <w:rPr>
          <w:rFonts w:ascii="Baskerville" w:hAnsi="Baskerville"/>
          <w:sz w:val="20"/>
          <w:szCs w:val="20"/>
          <w:lang w:val="en-US"/>
        </w:rPr>
        <w:t xml:space="preserve"> A</w:t>
      </w:r>
      <w:r w:rsidRPr="00D97B21">
        <w:rPr>
          <w:rFonts w:ascii="Baskerville" w:hAnsi="Baskerville"/>
          <w:sz w:val="20"/>
          <w:szCs w:val="20"/>
          <w:lang w:val="en-US"/>
        </w:rPr>
        <w:t xml:space="preserve">, </w:t>
      </w:r>
      <w:r>
        <w:rPr>
          <w:rFonts w:ascii="Baskerville" w:hAnsi="Baskerville"/>
          <w:sz w:val="20"/>
          <w:szCs w:val="20"/>
          <w:lang w:val="en-US"/>
        </w:rPr>
        <w:t>‘</w:t>
      </w:r>
      <w:r w:rsidRPr="00D97B21">
        <w:rPr>
          <w:rFonts w:ascii="Baskerville" w:hAnsi="Baskerville"/>
          <w:sz w:val="20"/>
          <w:szCs w:val="20"/>
          <w:lang w:val="en-US"/>
        </w:rPr>
        <w:t>Symposium on Application and Enforcement of Environmental Law</w:t>
      </w:r>
      <w:r>
        <w:rPr>
          <w:rFonts w:ascii="Baskerville" w:hAnsi="Baskerville"/>
          <w:sz w:val="20"/>
          <w:szCs w:val="20"/>
          <w:lang w:val="en-US"/>
        </w:rPr>
        <w:t>’ (</w:t>
      </w:r>
      <w:r w:rsidRPr="00D97B21">
        <w:rPr>
          <w:rFonts w:ascii="Baskerville" w:hAnsi="Baskerville"/>
          <w:sz w:val="20"/>
          <w:szCs w:val="20"/>
          <w:lang w:val="en-US"/>
        </w:rPr>
        <w:t xml:space="preserve">Department of the Environment </w:t>
      </w:r>
      <w:r>
        <w:rPr>
          <w:rFonts w:ascii="Baskerville" w:hAnsi="Baskerville"/>
          <w:sz w:val="20"/>
          <w:szCs w:val="20"/>
          <w:lang w:val="en-US"/>
        </w:rPr>
        <w:t xml:space="preserve">address, </w:t>
      </w:r>
      <w:r w:rsidRPr="00D97B21">
        <w:rPr>
          <w:rFonts w:ascii="Baskerville" w:hAnsi="Baskerville"/>
          <w:sz w:val="20"/>
          <w:szCs w:val="20"/>
          <w:lang w:val="en-US"/>
        </w:rPr>
        <w:t>King</w:t>
      </w:r>
      <w:r>
        <w:rPr>
          <w:rFonts w:ascii="Baskerville" w:hAnsi="Baskerville"/>
          <w:sz w:val="20"/>
          <w:szCs w:val="20"/>
          <w:lang w:val="en-US"/>
        </w:rPr>
        <w:t>’</w:t>
      </w:r>
      <w:r w:rsidRPr="00D97B21">
        <w:rPr>
          <w:rFonts w:ascii="Baskerville" w:hAnsi="Baskerville"/>
          <w:sz w:val="20"/>
          <w:szCs w:val="20"/>
          <w:lang w:val="en-US"/>
        </w:rPr>
        <w:t xml:space="preserve">s College, London </w:t>
      </w:r>
      <w:r>
        <w:rPr>
          <w:rFonts w:ascii="Baskerville" w:hAnsi="Baskerville"/>
          <w:sz w:val="20"/>
          <w:szCs w:val="20"/>
          <w:lang w:val="en-US"/>
        </w:rPr>
        <w:t>30 May 1990</w:t>
      </w:r>
    </w:p>
    <w:p w14:paraId="31C76FA9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4B13676F" w14:textId="77777777" w:rsidR="00973AA9" w:rsidRPr="0051339F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51339F">
        <w:rPr>
          <w:rFonts w:ascii="Baskerville" w:hAnsi="Baskerville"/>
          <w:sz w:val="20"/>
          <w:szCs w:val="20"/>
          <w:lang w:val="en-US"/>
        </w:rPr>
        <w:t>Address by Secretary of State Baker</w:t>
      </w:r>
      <w:r>
        <w:rPr>
          <w:rFonts w:ascii="Baskerville" w:hAnsi="Baskerville"/>
          <w:sz w:val="20"/>
          <w:szCs w:val="20"/>
          <w:lang w:val="en-US"/>
        </w:rPr>
        <w:t xml:space="preserve"> J</w:t>
      </w:r>
      <w:r w:rsidRPr="0051339F">
        <w:rPr>
          <w:rFonts w:ascii="Baskerville" w:hAnsi="Baskerville"/>
          <w:sz w:val="20"/>
          <w:szCs w:val="20"/>
          <w:lang w:val="en-US"/>
        </w:rPr>
        <w:t xml:space="preserve">, </w:t>
      </w:r>
      <w:r>
        <w:rPr>
          <w:rFonts w:ascii="Baskerville" w:hAnsi="Baskerville"/>
          <w:sz w:val="20"/>
          <w:szCs w:val="20"/>
          <w:lang w:val="en-US"/>
        </w:rPr>
        <w:t>(</w:t>
      </w:r>
      <w:r w:rsidRPr="0051339F">
        <w:rPr>
          <w:rFonts w:ascii="Baskerville" w:hAnsi="Baskerville"/>
          <w:sz w:val="20"/>
          <w:szCs w:val="20"/>
          <w:lang w:val="en-US"/>
        </w:rPr>
        <w:t>National Governors A</w:t>
      </w:r>
      <w:r>
        <w:rPr>
          <w:rFonts w:ascii="Baskerville" w:hAnsi="Baskerville"/>
          <w:sz w:val="20"/>
          <w:szCs w:val="20"/>
          <w:lang w:val="en-US"/>
        </w:rPr>
        <w:t>ssociation, Washington DC 26</w:t>
      </w:r>
      <w:r>
        <w:rPr>
          <w:rFonts w:ascii="Baskerville" w:hAnsi="Baskerville"/>
          <w:sz w:val="20"/>
          <w:szCs w:val="20"/>
          <w:vertAlign w:val="superscript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February 1990)</w:t>
      </w:r>
      <w:r w:rsidRPr="0051339F">
        <w:rPr>
          <w:rFonts w:ascii="Baskerville" w:hAnsi="Baskerville"/>
          <w:sz w:val="20"/>
          <w:szCs w:val="20"/>
          <w:lang w:val="en-US"/>
        </w:rPr>
        <w:t xml:space="preserve"> </w:t>
      </w:r>
    </w:p>
    <w:p w14:paraId="71899E2C" w14:textId="77777777" w:rsidR="00973AA9" w:rsidRPr="00F761DF" w:rsidRDefault="00973AA9" w:rsidP="00973AA9">
      <w:pPr>
        <w:rPr>
          <w:rFonts w:ascii="Baskerville" w:hAnsi="Baskerville"/>
          <w:b/>
        </w:rPr>
      </w:pPr>
    </w:p>
    <w:p w14:paraId="4F045731" w14:textId="77777777" w:rsidR="00A24786" w:rsidRDefault="00A24786" w:rsidP="00A24786">
      <w:pPr>
        <w:pStyle w:val="FootnoteText"/>
        <w:rPr>
          <w:rFonts w:ascii="Baskerville" w:hAnsi="Baskerville"/>
          <w:sz w:val="20"/>
          <w:szCs w:val="20"/>
        </w:rPr>
      </w:pPr>
      <w:r>
        <w:rPr>
          <w:rFonts w:ascii="Baskerville" w:hAnsi="Baskerville"/>
          <w:sz w:val="20"/>
          <w:szCs w:val="20"/>
        </w:rPr>
        <w:t>European Commission</w:t>
      </w:r>
      <w:r w:rsidRPr="00EB54D2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and European Environment Agency </w:t>
      </w:r>
      <w:r w:rsidRPr="00EB54D2">
        <w:rPr>
          <w:rFonts w:ascii="Baskerville" w:hAnsi="Baskerville"/>
          <w:sz w:val="20"/>
          <w:szCs w:val="20"/>
        </w:rPr>
        <w:t>‘Workshop on EU Legislation: Prin</w:t>
      </w:r>
      <w:r>
        <w:rPr>
          <w:rFonts w:ascii="Baskerville" w:hAnsi="Baskerville"/>
          <w:sz w:val="20"/>
          <w:szCs w:val="20"/>
        </w:rPr>
        <w:t>ciples of EU Environmental Law’</w:t>
      </w:r>
      <w:r w:rsidRPr="00EB54D2">
        <w:rPr>
          <w:rFonts w:ascii="Baskerville" w:hAnsi="Baskerville"/>
          <w:i/>
          <w:sz w:val="20"/>
          <w:szCs w:val="20"/>
        </w:rPr>
        <w:t xml:space="preserve"> </w:t>
      </w:r>
      <w:r w:rsidRPr="00EB54D2">
        <w:rPr>
          <w:rFonts w:ascii="Baskerville" w:hAnsi="Baskerville"/>
          <w:sz w:val="20"/>
          <w:szCs w:val="20"/>
        </w:rPr>
        <w:t>(</w:t>
      </w:r>
      <w:r>
        <w:rPr>
          <w:rFonts w:ascii="Baskerville" w:hAnsi="Baskerville"/>
          <w:sz w:val="20"/>
          <w:szCs w:val="20"/>
        </w:rPr>
        <w:t>2012)</w:t>
      </w:r>
    </w:p>
    <w:p w14:paraId="7491D7E0" w14:textId="77777777" w:rsidR="00A24786" w:rsidRDefault="00A24786" w:rsidP="00A24786">
      <w:pPr>
        <w:pStyle w:val="FootnoteText"/>
        <w:rPr>
          <w:rFonts w:ascii="Baskerville" w:hAnsi="Baskerville"/>
          <w:sz w:val="20"/>
          <w:szCs w:val="20"/>
        </w:rPr>
      </w:pPr>
    </w:p>
    <w:p w14:paraId="6FFE784E" w14:textId="0AF8B6C8" w:rsidR="00CC57F2" w:rsidRDefault="00CC57F2" w:rsidP="00CC57F2">
      <w:pPr>
        <w:pStyle w:val="FootnoteText"/>
        <w:rPr>
          <w:rFonts w:ascii="Baskerville" w:hAnsi="Baskerville"/>
          <w:sz w:val="20"/>
          <w:szCs w:val="20"/>
        </w:rPr>
      </w:pPr>
      <w:r w:rsidRPr="00E37C9B">
        <w:rPr>
          <w:rFonts w:ascii="Baskerville" w:hAnsi="Baskerville"/>
          <w:sz w:val="20"/>
          <w:szCs w:val="20"/>
          <w:lang w:val="en-US"/>
        </w:rPr>
        <w:t>World Commission on the Ethics of Scientific Knowledge and Technology</w:t>
      </w:r>
      <w:r>
        <w:rPr>
          <w:rFonts w:ascii="Baskerville" w:hAnsi="Baskerville"/>
          <w:sz w:val="20"/>
          <w:szCs w:val="20"/>
          <w:lang w:val="en-US"/>
        </w:rPr>
        <w:t>,</w:t>
      </w:r>
      <w:r w:rsidRPr="00E37C9B">
        <w:rPr>
          <w:rFonts w:ascii="Baskerville" w:hAnsi="Baskerville"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‘</w:t>
      </w:r>
      <w:r w:rsidRPr="004B37D7">
        <w:rPr>
          <w:rFonts w:ascii="Baskerville" w:hAnsi="Baskerville"/>
          <w:sz w:val="20"/>
          <w:szCs w:val="20"/>
        </w:rPr>
        <w:t>The Precautionary Principle</w:t>
      </w:r>
      <w:r>
        <w:rPr>
          <w:rFonts w:ascii="Baskerville" w:hAnsi="Baskerville"/>
          <w:sz w:val="20"/>
          <w:szCs w:val="20"/>
        </w:rPr>
        <w:t>’ (</w:t>
      </w:r>
      <w:r w:rsidR="00875288" w:rsidRPr="00875288">
        <w:rPr>
          <w:rFonts w:ascii="Baskerville" w:hAnsi="Baskerville"/>
          <w:bCs/>
          <w:sz w:val="20"/>
          <w:szCs w:val="20"/>
          <w:lang w:val="en-US"/>
        </w:rPr>
        <w:t>United Nations Educational, Scientific and Cultural Organization</w:t>
      </w:r>
      <w:r w:rsidR="00875288" w:rsidRPr="00875288">
        <w:rPr>
          <w:rFonts w:ascii="Baskerville" w:hAnsi="Baskerville"/>
          <w:sz w:val="20"/>
          <w:szCs w:val="20"/>
          <w:lang w:val="en-US"/>
        </w:rPr>
        <w:t xml:space="preserve"> (</w:t>
      </w:r>
      <w:r w:rsidR="00875288" w:rsidRPr="00875288">
        <w:rPr>
          <w:rFonts w:ascii="Baskerville" w:hAnsi="Baskerville"/>
          <w:bCs/>
          <w:sz w:val="20"/>
          <w:szCs w:val="20"/>
          <w:lang w:val="en-US"/>
        </w:rPr>
        <w:t>UNESCO</w:t>
      </w:r>
      <w:r w:rsidR="00875288" w:rsidRPr="00875288">
        <w:rPr>
          <w:rFonts w:ascii="Baskerville" w:hAnsi="Baskerville"/>
          <w:sz w:val="20"/>
          <w:szCs w:val="20"/>
          <w:lang w:val="en-US"/>
        </w:rPr>
        <w:t>)</w:t>
      </w:r>
      <w:r>
        <w:rPr>
          <w:rFonts w:ascii="Baskerville" w:hAnsi="Baskerville"/>
          <w:sz w:val="20"/>
          <w:szCs w:val="20"/>
        </w:rPr>
        <w:t xml:space="preserve"> 2005)</w:t>
      </w:r>
    </w:p>
    <w:p w14:paraId="1EDC7B81" w14:textId="77777777" w:rsidR="00A24786" w:rsidRDefault="00A24786" w:rsidP="00CC57F2">
      <w:pPr>
        <w:pStyle w:val="FootnoteText"/>
        <w:rPr>
          <w:rFonts w:ascii="Baskerville" w:hAnsi="Baskerville"/>
          <w:sz w:val="20"/>
          <w:szCs w:val="20"/>
        </w:rPr>
      </w:pPr>
    </w:p>
    <w:p w14:paraId="0B7AB818" w14:textId="7DF514FB" w:rsidR="00A24786" w:rsidRDefault="00A24786" w:rsidP="00CC57F2">
      <w:pPr>
        <w:pStyle w:val="FootnoteText"/>
        <w:rPr>
          <w:rFonts w:ascii="Baskerville" w:hAnsi="Baskerville"/>
          <w:sz w:val="20"/>
          <w:szCs w:val="20"/>
        </w:rPr>
      </w:pPr>
      <w:r w:rsidRPr="00A24786">
        <w:rPr>
          <w:rFonts w:ascii="Baskerville" w:hAnsi="Baskerville"/>
          <w:sz w:val="20"/>
          <w:szCs w:val="20"/>
          <w:lang w:val="en-US"/>
        </w:rPr>
        <w:t xml:space="preserve">1992 United Nations Conference on Environment and Development. </w:t>
      </w:r>
      <w:r w:rsidRPr="00A24786">
        <w:rPr>
          <w:rFonts w:ascii="Baskerville" w:hAnsi="Baskerville"/>
          <w:i/>
          <w:iCs/>
          <w:sz w:val="20"/>
          <w:szCs w:val="20"/>
          <w:lang w:val="en-US"/>
        </w:rPr>
        <w:t xml:space="preserve">Bergen Conference, Bergen Ministerial Declaration on Sustainable Development in the ECE Region </w:t>
      </w:r>
      <w:r w:rsidRPr="00A24786">
        <w:rPr>
          <w:rFonts w:ascii="Baskerville" w:hAnsi="Baskerville"/>
          <w:sz w:val="20"/>
          <w:szCs w:val="20"/>
          <w:lang w:val="en-US"/>
        </w:rPr>
        <w:t>(16</w:t>
      </w:r>
      <w:r w:rsidRPr="00A24786">
        <w:rPr>
          <w:rFonts w:ascii="Baskerville" w:hAnsi="Baskerville"/>
          <w:sz w:val="20"/>
          <w:szCs w:val="20"/>
          <w:vertAlign w:val="superscript"/>
          <w:lang w:val="en-US"/>
        </w:rPr>
        <w:t xml:space="preserve"> </w:t>
      </w:r>
      <w:r w:rsidRPr="00A24786">
        <w:rPr>
          <w:rFonts w:ascii="Baskerville" w:hAnsi="Baskerville"/>
          <w:sz w:val="20"/>
          <w:szCs w:val="20"/>
          <w:lang w:val="en-US"/>
        </w:rPr>
        <w:t>May 1990)</w:t>
      </w:r>
    </w:p>
    <w:p w14:paraId="6F70CEA6" w14:textId="77777777" w:rsidR="00A24786" w:rsidRDefault="00A24786" w:rsidP="00A24786">
      <w:pPr>
        <w:pStyle w:val="FootnoteText"/>
        <w:rPr>
          <w:rFonts w:ascii="Baskerville" w:hAnsi="Baskerville"/>
          <w:sz w:val="20"/>
          <w:szCs w:val="20"/>
        </w:rPr>
      </w:pPr>
    </w:p>
    <w:p w14:paraId="55B4AB57" w14:textId="77777777" w:rsidR="00A24786" w:rsidRDefault="00A24786" w:rsidP="00A24786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C20E53">
        <w:rPr>
          <w:rFonts w:ascii="Baskerville" w:hAnsi="Baskerville"/>
          <w:sz w:val="20"/>
          <w:szCs w:val="20"/>
          <w:lang w:val="en-US"/>
        </w:rPr>
        <w:t>The Government of Norway, in cooperation with the United Nations Economic Commission for Europ</w:t>
      </w:r>
      <w:r>
        <w:rPr>
          <w:rFonts w:ascii="Baskerville" w:hAnsi="Baskerville"/>
          <w:sz w:val="20"/>
          <w:szCs w:val="20"/>
          <w:lang w:val="en-US"/>
        </w:rPr>
        <w:t>e, ‘</w:t>
      </w:r>
      <w:r w:rsidRPr="00C20E53">
        <w:rPr>
          <w:rFonts w:ascii="Baskerville" w:hAnsi="Baskerville"/>
          <w:sz w:val="20"/>
          <w:szCs w:val="20"/>
          <w:lang w:val="en-US"/>
        </w:rPr>
        <w:t>Conference on Action for a Common Future</w:t>
      </w:r>
      <w:r>
        <w:rPr>
          <w:rFonts w:ascii="Baskerville" w:hAnsi="Baskerville"/>
          <w:sz w:val="20"/>
          <w:szCs w:val="20"/>
          <w:lang w:val="en-US"/>
        </w:rPr>
        <w:t>’</w:t>
      </w:r>
      <w:r w:rsidRPr="00C20E53">
        <w:rPr>
          <w:rFonts w:ascii="Baskerville" w:hAnsi="Baskerville"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(</w:t>
      </w:r>
      <w:r w:rsidRPr="00C20E53">
        <w:rPr>
          <w:rFonts w:ascii="Baskerville" w:hAnsi="Baskerville"/>
          <w:sz w:val="20"/>
          <w:szCs w:val="20"/>
          <w:lang w:val="en-US"/>
        </w:rPr>
        <w:t>1990)</w:t>
      </w:r>
    </w:p>
    <w:p w14:paraId="577D6326" w14:textId="77777777" w:rsidR="000225C5" w:rsidRDefault="000225C5" w:rsidP="00A24786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00518379" w14:textId="18A182A3" w:rsidR="000225C5" w:rsidRDefault="000225C5" w:rsidP="00A24786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0225C5">
        <w:rPr>
          <w:rFonts w:ascii="Baskerville" w:hAnsi="Baskerville"/>
          <w:sz w:val="20"/>
          <w:szCs w:val="20"/>
        </w:rPr>
        <w:t>‘Guidelines for Applying the Precautionary Principle to Biodiversity Conservation and Natural Resource Management’</w:t>
      </w:r>
      <w:r w:rsidRPr="000225C5">
        <w:rPr>
          <w:rFonts w:ascii="Baskerville" w:hAnsi="Baskerville"/>
          <w:bCs/>
          <w:iCs/>
          <w:sz w:val="20"/>
          <w:szCs w:val="20"/>
          <w:lang w:val="en-US"/>
        </w:rPr>
        <w:t>, as approved by the 67th meeting of th</w:t>
      </w:r>
      <w:r>
        <w:rPr>
          <w:rFonts w:ascii="Baskerville" w:hAnsi="Baskerville"/>
          <w:bCs/>
          <w:iCs/>
          <w:sz w:val="20"/>
          <w:szCs w:val="20"/>
          <w:lang w:val="en-US"/>
        </w:rPr>
        <w:t>e IUCN Council (14-16 May 2007)</w:t>
      </w:r>
    </w:p>
    <w:p w14:paraId="117DF0FB" w14:textId="77777777" w:rsidR="00A24786" w:rsidRDefault="00A24786" w:rsidP="00A24786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4785E9A8" w14:textId="77777777" w:rsidR="00973AA9" w:rsidRPr="00F761DF" w:rsidRDefault="00973AA9" w:rsidP="00973AA9">
      <w:pPr>
        <w:rPr>
          <w:rFonts w:ascii="Baskerville" w:hAnsi="Baskerville"/>
          <w:b/>
          <w:lang w:val="en-US"/>
        </w:rPr>
      </w:pPr>
      <w:r w:rsidRPr="00F761DF">
        <w:rPr>
          <w:rFonts w:ascii="Baskerville" w:hAnsi="Baskerville"/>
          <w:b/>
          <w:lang w:val="en-US"/>
        </w:rPr>
        <w:t>Websites and blogs</w:t>
      </w:r>
    </w:p>
    <w:p w14:paraId="7761AC9E" w14:textId="77777777" w:rsidR="00973AA9" w:rsidRDefault="00973AA9" w:rsidP="00973AA9">
      <w:pPr>
        <w:pStyle w:val="FootnoteText"/>
        <w:rPr>
          <w:rFonts w:ascii="Baskerville" w:hAnsi="Baskerville"/>
          <w:b/>
          <w:lang w:val="en-US"/>
        </w:rPr>
      </w:pPr>
    </w:p>
    <w:p w14:paraId="79281A63" w14:textId="77777777" w:rsidR="00973AA9" w:rsidRDefault="00973AA9" w:rsidP="00973AA9">
      <w:pPr>
        <w:pStyle w:val="FootnoteText"/>
        <w:rPr>
          <w:rFonts w:ascii="Baskerville" w:hAnsi="Baskerville"/>
          <w:i/>
          <w:sz w:val="20"/>
          <w:szCs w:val="20"/>
          <w:lang w:val="en-US"/>
        </w:rPr>
      </w:pPr>
      <w:r>
        <w:rPr>
          <w:rFonts w:ascii="Baskerville" w:hAnsi="Baskerville"/>
          <w:sz w:val="20"/>
          <w:szCs w:val="20"/>
          <w:lang w:val="en-US"/>
        </w:rPr>
        <w:t>Kruhly M, ‘</w:t>
      </w:r>
      <w:r w:rsidRPr="007C401E">
        <w:rPr>
          <w:rFonts w:ascii="Baskerville" w:hAnsi="Baskerville"/>
          <w:sz w:val="20"/>
          <w:szCs w:val="20"/>
          <w:lang w:val="en-US"/>
        </w:rPr>
        <w:t>From the Archives, 1990: U.S. Deemed a Wastrel of Energy</w:t>
      </w:r>
      <w:r>
        <w:rPr>
          <w:rFonts w:ascii="Baskerville" w:hAnsi="Baskerville"/>
          <w:sz w:val="20"/>
          <w:szCs w:val="20"/>
          <w:lang w:val="en-US"/>
        </w:rPr>
        <w:t>’ (</w:t>
      </w:r>
      <w:r>
        <w:rPr>
          <w:rFonts w:ascii="Baskerville" w:hAnsi="Baskerville"/>
          <w:i/>
          <w:sz w:val="20"/>
          <w:szCs w:val="20"/>
          <w:lang w:val="en-US"/>
        </w:rPr>
        <w:t xml:space="preserve">The New York Times </w:t>
      </w:r>
    </w:p>
    <w:p w14:paraId="128944E0" w14:textId="77777777" w:rsidR="00973AA9" w:rsidRDefault="00973AA9" w:rsidP="00973AA9">
      <w:pPr>
        <w:pStyle w:val="FootnoteText"/>
        <w:rPr>
          <w:rFonts w:ascii="Baskerville" w:hAnsi="Baskerville"/>
          <w:sz w:val="20"/>
          <w:szCs w:val="20"/>
          <w:lang w:val="en-US"/>
        </w:rPr>
      </w:pPr>
      <w:r>
        <w:rPr>
          <w:rFonts w:ascii="Baskerville" w:hAnsi="Baskerville"/>
          <w:sz w:val="20"/>
          <w:szCs w:val="20"/>
          <w:lang w:val="en-US"/>
        </w:rPr>
        <w:t>2 December 2015) &lt;</w:t>
      </w:r>
      <w:r w:rsidRPr="001F1A66">
        <w:rPr>
          <w:rFonts w:ascii="Baskerville" w:hAnsi="Baskerville"/>
          <w:sz w:val="20"/>
          <w:szCs w:val="20"/>
          <w:lang w:val="en-US"/>
        </w:rPr>
        <w:t>https://www.nytimes.com/interactive/projects/cp/climate/2015-paris-climate-talks/from-the-archives-1990-us-energy</w:t>
      </w:r>
      <w:r>
        <w:rPr>
          <w:rFonts w:ascii="Baskerville" w:hAnsi="Baskerville"/>
          <w:sz w:val="20"/>
          <w:szCs w:val="20"/>
          <w:lang w:val="en-US"/>
        </w:rPr>
        <w:t>&gt;accessed 18</w:t>
      </w:r>
      <w:r>
        <w:rPr>
          <w:rFonts w:ascii="Baskerville" w:hAnsi="Baskerville"/>
          <w:sz w:val="20"/>
          <w:szCs w:val="20"/>
          <w:vertAlign w:val="superscript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January 2017</w:t>
      </w:r>
    </w:p>
    <w:p w14:paraId="3723F10F" w14:textId="77777777" w:rsidR="00973AA9" w:rsidRPr="00EE2244" w:rsidRDefault="00973AA9" w:rsidP="00973AA9">
      <w:pPr>
        <w:pStyle w:val="FootnoteText"/>
        <w:rPr>
          <w:rFonts w:ascii="Baskerville" w:hAnsi="Baskerville"/>
          <w:b/>
          <w:lang w:val="en-US"/>
        </w:rPr>
      </w:pPr>
    </w:p>
    <w:p w14:paraId="78E3A250" w14:textId="77777777" w:rsidR="00973AA9" w:rsidRDefault="00973AA9" w:rsidP="00973AA9">
      <w:pPr>
        <w:pStyle w:val="FootnoteText"/>
        <w:rPr>
          <w:rFonts w:ascii="Baskerville" w:hAnsi="Baskerville"/>
          <w:b/>
        </w:rPr>
      </w:pPr>
      <w:r w:rsidRPr="00F761DF">
        <w:rPr>
          <w:rFonts w:ascii="Baskerville" w:hAnsi="Baskerville"/>
          <w:b/>
        </w:rPr>
        <w:t xml:space="preserve">Papers </w:t>
      </w:r>
    </w:p>
    <w:p w14:paraId="497986AB" w14:textId="77777777" w:rsidR="00B04631" w:rsidRPr="00F761DF" w:rsidRDefault="00B04631" w:rsidP="00973AA9">
      <w:pPr>
        <w:pStyle w:val="FootnoteText"/>
        <w:rPr>
          <w:rFonts w:ascii="Baskerville" w:hAnsi="Baskerville"/>
          <w:b/>
        </w:rPr>
      </w:pPr>
    </w:p>
    <w:p w14:paraId="565301D1" w14:textId="77777777" w:rsidR="00B04631" w:rsidRDefault="00B04631" w:rsidP="00B04631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BE5372">
        <w:rPr>
          <w:rFonts w:ascii="Baskerville" w:hAnsi="Baskerville"/>
          <w:sz w:val="20"/>
          <w:szCs w:val="20"/>
          <w:lang w:val="en-US"/>
        </w:rPr>
        <w:t>Canadian Government Discussion Paper</w:t>
      </w:r>
      <w:r>
        <w:rPr>
          <w:rFonts w:ascii="Baskerville" w:hAnsi="Baskerville"/>
          <w:sz w:val="20"/>
          <w:szCs w:val="20"/>
          <w:lang w:val="en-US"/>
        </w:rPr>
        <w:t xml:space="preserve">, </w:t>
      </w:r>
      <w:r w:rsidRPr="00BE5372">
        <w:rPr>
          <w:rFonts w:ascii="Baskerville" w:hAnsi="Baskerville"/>
          <w:sz w:val="20"/>
          <w:szCs w:val="20"/>
          <w:lang w:val="en-US"/>
        </w:rPr>
        <w:t>‘A Canadian Perspective on the Pre</w:t>
      </w:r>
      <w:r>
        <w:rPr>
          <w:rFonts w:ascii="Baskerville" w:hAnsi="Baskerville"/>
          <w:sz w:val="20"/>
          <w:szCs w:val="20"/>
          <w:lang w:val="en-US"/>
        </w:rPr>
        <w:t xml:space="preserve">cautionary Approach/Principle’ </w:t>
      </w:r>
      <w:r w:rsidRPr="00BE5372">
        <w:rPr>
          <w:rFonts w:ascii="Baskerville" w:hAnsi="Baskerville"/>
          <w:sz w:val="20"/>
          <w:szCs w:val="20"/>
          <w:lang w:val="en-US"/>
        </w:rPr>
        <w:t>(2001)</w:t>
      </w:r>
    </w:p>
    <w:p w14:paraId="4F38B024" w14:textId="77777777" w:rsidR="003C26F6" w:rsidRDefault="003C26F6" w:rsidP="00B04631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4CCA2FE4" w14:textId="039C1D5E" w:rsidR="003C26F6" w:rsidRPr="0095395D" w:rsidRDefault="003C26F6" w:rsidP="00B04631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3C26F6">
        <w:rPr>
          <w:rFonts w:ascii="Baskerville" w:hAnsi="Baskerville"/>
          <w:sz w:val="20"/>
          <w:szCs w:val="20"/>
        </w:rPr>
        <w:t xml:space="preserve">R.R. </w:t>
      </w:r>
      <w:r w:rsidRPr="003C26F6">
        <w:rPr>
          <w:rFonts w:ascii="Baskerville" w:hAnsi="Baskerville"/>
          <w:sz w:val="20"/>
          <w:szCs w:val="20"/>
          <w:lang w:val="en-US"/>
        </w:rPr>
        <w:t xml:space="preserve">Churchill &amp; J. Gibson, </w:t>
      </w:r>
      <w:r w:rsidRPr="003C26F6">
        <w:rPr>
          <w:rFonts w:ascii="Baskerville" w:hAnsi="Baskerville"/>
          <w:i/>
          <w:iCs/>
          <w:sz w:val="20"/>
          <w:szCs w:val="20"/>
          <w:lang w:val="en-US"/>
        </w:rPr>
        <w:t xml:space="preserve">The Implementation of the North Sea Declarations by the United Kingdom: An Assessment, </w:t>
      </w:r>
      <w:r w:rsidRPr="003C26F6">
        <w:rPr>
          <w:rFonts w:ascii="Baskerville" w:hAnsi="Baskerville"/>
          <w:sz w:val="20"/>
          <w:szCs w:val="20"/>
          <w:lang w:val="en-US"/>
        </w:rPr>
        <w:t>in Third North Sea Conference: Greenpeace Paper (1990) 17</w:t>
      </w:r>
    </w:p>
    <w:p w14:paraId="4FD6DD69" w14:textId="77777777" w:rsidR="00973AA9" w:rsidRPr="00F761DF" w:rsidRDefault="00973AA9" w:rsidP="00973AA9">
      <w:pPr>
        <w:pStyle w:val="FootnoteText"/>
        <w:rPr>
          <w:rFonts w:ascii="Baskerville" w:hAnsi="Baskerville"/>
          <w:lang w:val="en-US"/>
        </w:rPr>
      </w:pPr>
    </w:p>
    <w:p w14:paraId="00F8D2D9" w14:textId="77777777" w:rsidR="00973AA9" w:rsidRDefault="00973AA9" w:rsidP="00973AA9">
      <w:pPr>
        <w:pStyle w:val="FootnoteText"/>
        <w:rPr>
          <w:rFonts w:ascii="Baskerville" w:hAnsi="Baskerville"/>
          <w:b/>
        </w:rPr>
      </w:pPr>
      <w:r>
        <w:rPr>
          <w:rFonts w:ascii="Baskerville" w:hAnsi="Baskerville"/>
          <w:b/>
        </w:rPr>
        <w:t>Reports</w:t>
      </w:r>
    </w:p>
    <w:p w14:paraId="64BD902B" w14:textId="77777777" w:rsidR="00973AA9" w:rsidRDefault="00973AA9" w:rsidP="00973AA9">
      <w:pPr>
        <w:pStyle w:val="FootnoteText"/>
        <w:rPr>
          <w:rFonts w:ascii="Baskerville" w:hAnsi="Baskerville"/>
          <w:b/>
        </w:rPr>
      </w:pPr>
    </w:p>
    <w:p w14:paraId="72B2FE86" w14:textId="4B85461D" w:rsidR="00B04631" w:rsidRDefault="00B04631" w:rsidP="00B04631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0851BA">
        <w:rPr>
          <w:rFonts w:ascii="Baskerville" w:hAnsi="Baskerville"/>
          <w:i/>
          <w:sz w:val="20"/>
          <w:szCs w:val="20"/>
        </w:rPr>
        <w:t>Appellate Body Report on EC Measures Concerning Meat and Meat Products (Hormones)</w:t>
      </w:r>
      <w:r w:rsidRPr="000851BA">
        <w:rPr>
          <w:rFonts w:ascii="Baskerville" w:hAnsi="Baskerville"/>
          <w:sz w:val="20"/>
          <w:szCs w:val="20"/>
        </w:rPr>
        <w:t xml:space="preserve"> WT/DS48/AB/R, 123 </w:t>
      </w:r>
      <w:r>
        <w:rPr>
          <w:rFonts w:ascii="Baskerville" w:hAnsi="Baskerville"/>
          <w:sz w:val="20"/>
          <w:szCs w:val="20"/>
        </w:rPr>
        <w:t>[1998]</w:t>
      </w:r>
      <w:r>
        <w:rPr>
          <w:rFonts w:ascii="Baskerville" w:hAnsi="Baskerville"/>
          <w:sz w:val="20"/>
          <w:szCs w:val="20"/>
          <w:lang w:val="en-US"/>
        </w:rPr>
        <w:t xml:space="preserve"> ICJ</w:t>
      </w:r>
    </w:p>
    <w:p w14:paraId="1EBE8302" w14:textId="77777777" w:rsidR="003C26F6" w:rsidRDefault="003C26F6" w:rsidP="00B04631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0DB4B600" w14:textId="68B6E268" w:rsidR="003C26F6" w:rsidRPr="00353ACB" w:rsidRDefault="003C26F6" w:rsidP="00B04631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3C26F6">
        <w:rPr>
          <w:rFonts w:ascii="Baskerville" w:hAnsi="Baskerville"/>
          <w:i/>
          <w:iCs/>
          <w:sz w:val="20"/>
          <w:szCs w:val="20"/>
          <w:lang w:val="en-US"/>
        </w:rPr>
        <w:t xml:space="preserve">Focus Report, </w:t>
      </w:r>
      <w:r w:rsidRPr="003C26F6">
        <w:rPr>
          <w:rFonts w:ascii="Baskerville" w:hAnsi="Baskerville"/>
          <w:iCs/>
          <w:sz w:val="20"/>
          <w:szCs w:val="20"/>
          <w:lang w:val="en-US"/>
        </w:rPr>
        <w:t>‘Global Environmental Change Rep.’ (25/5/1990)</w:t>
      </w:r>
    </w:p>
    <w:p w14:paraId="5750AA72" w14:textId="77777777" w:rsidR="00973AA9" w:rsidRPr="00595FB7" w:rsidRDefault="00973AA9" w:rsidP="00973AA9">
      <w:pPr>
        <w:rPr>
          <w:rFonts w:ascii="Baskerville" w:hAnsi="Baskerville"/>
          <w:b/>
        </w:rPr>
      </w:pPr>
    </w:p>
    <w:p w14:paraId="637B56F2" w14:textId="77777777" w:rsidR="00AF185C" w:rsidRDefault="00AF185C" w:rsidP="00AF185C">
      <w:pPr>
        <w:pStyle w:val="FootnoteText"/>
        <w:rPr>
          <w:rFonts w:ascii="Baskerville" w:hAnsi="Baskerville"/>
          <w:sz w:val="20"/>
          <w:szCs w:val="20"/>
        </w:rPr>
      </w:pPr>
      <w:r w:rsidRPr="00CA7D22">
        <w:rPr>
          <w:rFonts w:ascii="Baskerville" w:hAnsi="Baskerville"/>
          <w:sz w:val="20"/>
          <w:szCs w:val="20"/>
        </w:rPr>
        <w:t xml:space="preserve">Shaw </w:t>
      </w:r>
      <w:r>
        <w:rPr>
          <w:rFonts w:ascii="Baskerville" w:hAnsi="Baskerville"/>
          <w:sz w:val="20"/>
          <w:szCs w:val="20"/>
        </w:rPr>
        <w:t xml:space="preserve">S </w:t>
      </w:r>
      <w:r w:rsidRPr="00CA7D22">
        <w:rPr>
          <w:rFonts w:ascii="Baskerville" w:hAnsi="Baskerville"/>
          <w:sz w:val="20"/>
          <w:szCs w:val="20"/>
        </w:rPr>
        <w:t>and Schwartz</w:t>
      </w:r>
      <w:r>
        <w:rPr>
          <w:rFonts w:ascii="Baskerville" w:hAnsi="Baskerville"/>
          <w:sz w:val="20"/>
          <w:szCs w:val="20"/>
        </w:rPr>
        <w:t xml:space="preserve"> R</w:t>
      </w:r>
      <w:r w:rsidRPr="00CA7D22">
        <w:rPr>
          <w:rFonts w:ascii="Baskerville" w:hAnsi="Baskerville"/>
          <w:sz w:val="20"/>
          <w:szCs w:val="20"/>
        </w:rPr>
        <w:t>, ‘</w:t>
      </w:r>
      <w:r w:rsidRPr="00CA7D22">
        <w:rPr>
          <w:rFonts w:ascii="Baskerville" w:hAnsi="Baskerville"/>
          <w:bCs/>
          <w:sz w:val="20"/>
          <w:szCs w:val="20"/>
        </w:rPr>
        <w:t>Trading Precaution: The Preca</w:t>
      </w:r>
      <w:r>
        <w:rPr>
          <w:rFonts w:ascii="Baskerville" w:hAnsi="Baskerville"/>
          <w:bCs/>
          <w:sz w:val="20"/>
          <w:szCs w:val="20"/>
        </w:rPr>
        <w:t>utionary Principle and the WTO’ (2005)</w:t>
      </w:r>
      <w:r w:rsidRPr="00CA7D22">
        <w:rPr>
          <w:rFonts w:ascii="Baskerville" w:hAnsi="Baskerville"/>
          <w:bCs/>
          <w:sz w:val="20"/>
          <w:szCs w:val="20"/>
        </w:rPr>
        <w:t xml:space="preserve"> </w:t>
      </w:r>
      <w:r>
        <w:rPr>
          <w:rFonts w:ascii="Baskerville" w:hAnsi="Baskerville"/>
          <w:bCs/>
          <w:sz w:val="20"/>
          <w:szCs w:val="20"/>
        </w:rPr>
        <w:t>(</w:t>
      </w:r>
      <w:r w:rsidRPr="00CA7D22">
        <w:rPr>
          <w:rFonts w:ascii="Baskerville" w:hAnsi="Baskerville"/>
          <w:bCs/>
          <w:sz w:val="20"/>
          <w:szCs w:val="20"/>
        </w:rPr>
        <w:t>Unit</w:t>
      </w:r>
      <w:r>
        <w:rPr>
          <w:rFonts w:ascii="Baskerville" w:hAnsi="Baskerville"/>
          <w:bCs/>
          <w:sz w:val="20"/>
          <w:szCs w:val="20"/>
        </w:rPr>
        <w:t>ed Nations University,</w:t>
      </w:r>
      <w:r w:rsidRPr="00CA7D22">
        <w:rPr>
          <w:rFonts w:ascii="Baskerville" w:hAnsi="Baskerville"/>
          <w:bCs/>
          <w:sz w:val="20"/>
          <w:szCs w:val="20"/>
        </w:rPr>
        <w:t xml:space="preserve"> Institute of Advanced Studies Report</w:t>
      </w:r>
      <w:r>
        <w:rPr>
          <w:rFonts w:ascii="Baskerville" w:hAnsi="Baskerville"/>
          <w:sz w:val="20"/>
          <w:szCs w:val="20"/>
        </w:rPr>
        <w:t>)</w:t>
      </w:r>
    </w:p>
    <w:p w14:paraId="2FF62158" w14:textId="77777777" w:rsidR="00420BC1" w:rsidRDefault="00420BC1" w:rsidP="00AF185C">
      <w:pPr>
        <w:pStyle w:val="FootnoteText"/>
        <w:rPr>
          <w:rFonts w:ascii="Baskerville" w:hAnsi="Baskerville"/>
          <w:sz w:val="20"/>
          <w:szCs w:val="20"/>
        </w:rPr>
      </w:pPr>
    </w:p>
    <w:p w14:paraId="1069FCFF" w14:textId="4D1B75D0" w:rsidR="00420BC1" w:rsidRPr="00CA7D22" w:rsidRDefault="00420BC1" w:rsidP="00AF185C">
      <w:pPr>
        <w:pStyle w:val="FootnoteText"/>
        <w:rPr>
          <w:rFonts w:ascii="Baskerville" w:hAnsi="Baskerville"/>
          <w:sz w:val="20"/>
          <w:szCs w:val="20"/>
        </w:rPr>
      </w:pPr>
      <w:r w:rsidRPr="00420BC1">
        <w:rPr>
          <w:rFonts w:ascii="Baskerville" w:hAnsi="Baskerville"/>
          <w:sz w:val="20"/>
          <w:szCs w:val="20"/>
        </w:rPr>
        <w:t>Report of the UNCED, UN Doc.A/CONF.151/26 (1992)</w:t>
      </w:r>
    </w:p>
    <w:p w14:paraId="4CA7C123" w14:textId="77777777" w:rsidR="00F24624" w:rsidRDefault="00F24624"/>
    <w:p w14:paraId="6DA28E4D" w14:textId="103A0055" w:rsidR="00420BC1" w:rsidRDefault="00420BC1">
      <w:pPr>
        <w:rPr>
          <w:rFonts w:ascii="Baskerville" w:hAnsi="Baskerville"/>
          <w:b/>
        </w:rPr>
      </w:pPr>
      <w:r w:rsidRPr="00420BC1">
        <w:rPr>
          <w:rFonts w:ascii="Baskerville" w:hAnsi="Baskerville"/>
          <w:b/>
        </w:rPr>
        <w:t>Protocols</w:t>
      </w:r>
    </w:p>
    <w:p w14:paraId="1C2B8723" w14:textId="77777777" w:rsidR="00420BC1" w:rsidRDefault="00420BC1">
      <w:pPr>
        <w:rPr>
          <w:rFonts w:ascii="Baskerville" w:hAnsi="Baskerville"/>
          <w:b/>
        </w:rPr>
      </w:pPr>
    </w:p>
    <w:p w14:paraId="4CEBFD6A" w14:textId="6B47F8BF" w:rsidR="00420BC1" w:rsidRPr="00420BC1" w:rsidRDefault="00420BC1" w:rsidP="00420BC1">
      <w:pPr>
        <w:rPr>
          <w:rFonts w:ascii="Baskerville" w:hAnsi="Baskerville"/>
          <w:sz w:val="20"/>
          <w:szCs w:val="20"/>
          <w:lang w:val="en-US"/>
        </w:rPr>
      </w:pPr>
      <w:r w:rsidRPr="00420BC1">
        <w:rPr>
          <w:rFonts w:ascii="Baskerville" w:hAnsi="Baskerville"/>
          <w:sz w:val="20"/>
          <w:szCs w:val="20"/>
        </w:rPr>
        <w:t xml:space="preserve">Cartagena Protocol on Biosafety to the Convention on Biodiversity, </w:t>
      </w:r>
      <w:r w:rsidRPr="00420BC1">
        <w:rPr>
          <w:rFonts w:ascii="Baskerville" w:hAnsi="Baskerville"/>
          <w:sz w:val="20"/>
          <w:szCs w:val="20"/>
          <w:lang w:val="en-US"/>
        </w:rPr>
        <w:t>2226 U.N.T.S. 208; 39 ILM 1027</w:t>
      </w:r>
      <w:r>
        <w:rPr>
          <w:rFonts w:ascii="Baskerville" w:hAnsi="Baskerville"/>
          <w:sz w:val="20"/>
          <w:szCs w:val="20"/>
          <w:lang w:val="en-US"/>
        </w:rPr>
        <w:t xml:space="preserve"> </w:t>
      </w:r>
      <w:r w:rsidRPr="005A1558">
        <w:rPr>
          <w:rFonts w:ascii="Baskerville" w:hAnsi="Baskerville"/>
          <w:sz w:val="20"/>
          <w:szCs w:val="20"/>
          <w:lang w:val="en-US"/>
        </w:rPr>
        <w:t>(2000); UN Doc. UNEP/CBD/ExCOP/1/3 (2000)</w:t>
      </w:r>
      <w:bookmarkStart w:id="0" w:name="_GoBack"/>
      <w:bookmarkEnd w:id="0"/>
    </w:p>
    <w:sectPr w:rsidR="00420BC1" w:rsidRPr="00420BC1" w:rsidSect="00013AF3">
      <w:headerReference w:type="default" r:id="rId7"/>
      <w:footerReference w:type="even" r:id="rId8"/>
      <w:footerReference w:type="default" r:id="rId9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A43258" w14:textId="77777777" w:rsidR="00000000" w:rsidRDefault="00A60DAC">
      <w:r>
        <w:separator/>
      </w:r>
    </w:p>
  </w:endnote>
  <w:endnote w:type="continuationSeparator" w:id="0">
    <w:p w14:paraId="15DFFA70" w14:textId="77777777" w:rsidR="00000000" w:rsidRDefault="00A60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Baskerville">
    <w:panose1 w:val="02020502070401020303"/>
    <w:charset w:val="00"/>
    <w:family w:val="auto"/>
    <w:pitch w:val="variable"/>
    <w:sig w:usb0="8000006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798C02" w14:textId="77777777" w:rsidR="00160EFA" w:rsidRDefault="00973AA9" w:rsidP="006E40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CFCF1C8" w14:textId="77777777" w:rsidR="00160EFA" w:rsidRDefault="00A60DA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F2F637" w14:textId="77777777" w:rsidR="00160EFA" w:rsidRPr="001763F8" w:rsidRDefault="00973AA9" w:rsidP="006E40C9">
    <w:pPr>
      <w:pStyle w:val="Footer"/>
      <w:framePr w:wrap="around" w:vAnchor="text" w:hAnchor="margin" w:xAlign="center" w:y="1"/>
      <w:rPr>
        <w:rStyle w:val="PageNumber"/>
        <w:rFonts w:ascii="Baskerville" w:hAnsi="Baskerville"/>
      </w:rPr>
    </w:pPr>
    <w:r w:rsidRPr="001763F8">
      <w:rPr>
        <w:rStyle w:val="PageNumber"/>
        <w:rFonts w:ascii="Baskerville" w:hAnsi="Baskerville"/>
      </w:rPr>
      <w:fldChar w:fldCharType="begin"/>
    </w:r>
    <w:r w:rsidRPr="001763F8">
      <w:rPr>
        <w:rStyle w:val="PageNumber"/>
        <w:rFonts w:ascii="Baskerville" w:hAnsi="Baskerville"/>
      </w:rPr>
      <w:instrText xml:space="preserve">PAGE  </w:instrText>
    </w:r>
    <w:r w:rsidRPr="001763F8">
      <w:rPr>
        <w:rStyle w:val="PageNumber"/>
        <w:rFonts w:ascii="Baskerville" w:hAnsi="Baskerville"/>
      </w:rPr>
      <w:fldChar w:fldCharType="separate"/>
    </w:r>
    <w:r w:rsidR="00A60DAC">
      <w:rPr>
        <w:rStyle w:val="PageNumber"/>
        <w:rFonts w:ascii="Baskerville" w:hAnsi="Baskerville"/>
        <w:noProof/>
      </w:rPr>
      <w:t>1</w:t>
    </w:r>
    <w:r w:rsidRPr="001763F8">
      <w:rPr>
        <w:rStyle w:val="PageNumber"/>
        <w:rFonts w:ascii="Baskerville" w:hAnsi="Baskerville"/>
      </w:rPr>
      <w:fldChar w:fldCharType="end"/>
    </w:r>
  </w:p>
  <w:p w14:paraId="67DC6316" w14:textId="77777777" w:rsidR="00160EFA" w:rsidRDefault="00A60DA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A940DE" w14:textId="77777777" w:rsidR="00000000" w:rsidRDefault="00A60DAC">
      <w:r>
        <w:separator/>
      </w:r>
    </w:p>
  </w:footnote>
  <w:footnote w:type="continuationSeparator" w:id="0">
    <w:p w14:paraId="37B3E4DB" w14:textId="77777777" w:rsidR="00000000" w:rsidRDefault="00A60DA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CECE33" w14:textId="77777777" w:rsidR="00160EFA" w:rsidRPr="00622177" w:rsidRDefault="00973AA9">
    <w:pPr>
      <w:pStyle w:val="Header"/>
      <w:rPr>
        <w:rFonts w:ascii="Baskerville" w:hAnsi="Baskerville"/>
      </w:rPr>
    </w:pPr>
    <w:r>
      <w:rPr>
        <w:rFonts w:ascii="Baskerville" w:hAnsi="Baskerville"/>
      </w:rPr>
      <w:t>Christopher Olsen                                                                                          17/1/2017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AA9"/>
    <w:rsid w:val="000225C5"/>
    <w:rsid w:val="000B5C46"/>
    <w:rsid w:val="00124179"/>
    <w:rsid w:val="0013037D"/>
    <w:rsid w:val="00141AA8"/>
    <w:rsid w:val="001774C6"/>
    <w:rsid w:val="002662B0"/>
    <w:rsid w:val="002F2BA8"/>
    <w:rsid w:val="003C26F6"/>
    <w:rsid w:val="003C4711"/>
    <w:rsid w:val="00420BC1"/>
    <w:rsid w:val="005318BC"/>
    <w:rsid w:val="0065214A"/>
    <w:rsid w:val="006B5AF8"/>
    <w:rsid w:val="006F45F2"/>
    <w:rsid w:val="00737FBA"/>
    <w:rsid w:val="007C61A2"/>
    <w:rsid w:val="007D3B93"/>
    <w:rsid w:val="00875288"/>
    <w:rsid w:val="00973AA9"/>
    <w:rsid w:val="00A24786"/>
    <w:rsid w:val="00A60DAC"/>
    <w:rsid w:val="00AF185C"/>
    <w:rsid w:val="00B04631"/>
    <w:rsid w:val="00C47AA8"/>
    <w:rsid w:val="00CA5E58"/>
    <w:rsid w:val="00CC57F2"/>
    <w:rsid w:val="00D4734B"/>
    <w:rsid w:val="00E72609"/>
    <w:rsid w:val="00F2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E5AB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AA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3AA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3AA9"/>
  </w:style>
  <w:style w:type="paragraph" w:styleId="Footer">
    <w:name w:val="footer"/>
    <w:basedOn w:val="Normal"/>
    <w:link w:val="FooterChar"/>
    <w:uiPriority w:val="99"/>
    <w:unhideWhenUsed/>
    <w:rsid w:val="00973AA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3AA9"/>
  </w:style>
  <w:style w:type="paragraph" w:styleId="FootnoteText">
    <w:name w:val="footnote text"/>
    <w:basedOn w:val="Normal"/>
    <w:link w:val="FootnoteTextChar"/>
    <w:uiPriority w:val="99"/>
    <w:unhideWhenUsed/>
    <w:rsid w:val="00973AA9"/>
  </w:style>
  <w:style w:type="character" w:customStyle="1" w:styleId="FootnoteTextChar">
    <w:name w:val="Footnote Text Char"/>
    <w:basedOn w:val="DefaultParagraphFont"/>
    <w:link w:val="FootnoteText"/>
    <w:uiPriority w:val="99"/>
    <w:rsid w:val="00973AA9"/>
  </w:style>
  <w:style w:type="character" w:styleId="FootnoteReference">
    <w:name w:val="footnote reference"/>
    <w:basedOn w:val="DefaultParagraphFont"/>
    <w:uiPriority w:val="99"/>
    <w:unhideWhenUsed/>
    <w:rsid w:val="00973AA9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973AA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AA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3AA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3AA9"/>
  </w:style>
  <w:style w:type="paragraph" w:styleId="Footer">
    <w:name w:val="footer"/>
    <w:basedOn w:val="Normal"/>
    <w:link w:val="FooterChar"/>
    <w:uiPriority w:val="99"/>
    <w:unhideWhenUsed/>
    <w:rsid w:val="00973AA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3AA9"/>
  </w:style>
  <w:style w:type="paragraph" w:styleId="FootnoteText">
    <w:name w:val="footnote text"/>
    <w:basedOn w:val="Normal"/>
    <w:link w:val="FootnoteTextChar"/>
    <w:uiPriority w:val="99"/>
    <w:unhideWhenUsed/>
    <w:rsid w:val="00973AA9"/>
  </w:style>
  <w:style w:type="character" w:customStyle="1" w:styleId="FootnoteTextChar">
    <w:name w:val="Footnote Text Char"/>
    <w:basedOn w:val="DefaultParagraphFont"/>
    <w:link w:val="FootnoteText"/>
    <w:uiPriority w:val="99"/>
    <w:rsid w:val="00973AA9"/>
  </w:style>
  <w:style w:type="character" w:styleId="FootnoteReference">
    <w:name w:val="footnote reference"/>
    <w:basedOn w:val="DefaultParagraphFont"/>
    <w:uiPriority w:val="99"/>
    <w:unhideWhenUsed/>
    <w:rsid w:val="00973AA9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973A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1143</Words>
  <Characters>6521</Characters>
  <Application>Microsoft Macintosh Word</Application>
  <DocSecurity>0</DocSecurity>
  <Lines>54</Lines>
  <Paragraphs>15</Paragraphs>
  <ScaleCrop>false</ScaleCrop>
  <Company>Home</Company>
  <LinksUpToDate>false</LinksUpToDate>
  <CharactersWithSpaces>7649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Olsen</dc:creator>
  <cp:keywords/>
  <dc:description/>
  <cp:lastModifiedBy>Christopher Olsen</cp:lastModifiedBy>
  <cp:revision>36</cp:revision>
  <dcterms:created xsi:type="dcterms:W3CDTF">2017-01-31T11:06:00Z</dcterms:created>
  <dcterms:modified xsi:type="dcterms:W3CDTF">2017-01-31T11:29:00Z</dcterms:modified>
</cp:coreProperties>
</file>