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5E02" w:rsidRDefault="00465E02" w:rsidP="00465E02">
      <w:pPr>
        <w:pStyle w:val="FootnoteText"/>
        <w:rPr>
          <w:rFonts w:ascii="Baskerville" w:hAnsi="Baskerville"/>
          <w:b/>
          <w:sz w:val="20"/>
          <w:szCs w:val="20"/>
        </w:rPr>
      </w:pPr>
      <w:r>
        <w:rPr>
          <w:rFonts w:ascii="Baskerville" w:hAnsi="Baskerville"/>
          <w:b/>
          <w:sz w:val="20"/>
          <w:szCs w:val="20"/>
        </w:rPr>
        <w:t>Still to be added from these footnotes</w:t>
      </w:r>
    </w:p>
    <w:p w:rsidR="00465E02" w:rsidRPr="00D5728A" w:rsidRDefault="00465E02" w:rsidP="00465E02">
      <w:pPr>
        <w:pStyle w:val="FootnoteText"/>
        <w:rPr>
          <w:rFonts w:ascii="Baskerville" w:hAnsi="Baskerville"/>
          <w:strike/>
          <w:sz w:val="20"/>
          <w:szCs w:val="20"/>
        </w:rPr>
      </w:pPr>
      <w:r w:rsidRPr="00D5728A">
        <w:rPr>
          <w:rStyle w:val="FootnoteReference"/>
          <w:rFonts w:ascii="Baskerville" w:hAnsi="Baskerville"/>
          <w:strike/>
          <w:sz w:val="20"/>
          <w:szCs w:val="20"/>
        </w:rPr>
        <w:footnoteRef/>
      </w:r>
      <w:r w:rsidRPr="00D5728A">
        <w:rPr>
          <w:rFonts w:ascii="Baskerville" w:hAnsi="Baskerville"/>
          <w:strike/>
          <w:sz w:val="20"/>
          <w:szCs w:val="20"/>
        </w:rPr>
        <w:t xml:space="preserve"> </w:t>
      </w:r>
      <w:r w:rsidRPr="00D5728A">
        <w:rPr>
          <w:rFonts w:ascii="Baskerville" w:hAnsi="Baskerville"/>
          <w:bCs/>
          <w:strike/>
          <w:sz w:val="20"/>
          <w:szCs w:val="20"/>
          <w:lang w:val="en-US"/>
        </w:rPr>
        <w:t xml:space="preserve">Iron Rhine Arbitration, </w:t>
      </w:r>
      <w:r w:rsidRPr="00D5728A">
        <w:rPr>
          <w:rFonts w:ascii="Baskerville" w:hAnsi="Baskerville"/>
          <w:bCs/>
          <w:i/>
          <w:strike/>
          <w:sz w:val="20"/>
          <w:szCs w:val="20"/>
          <w:lang w:val="en-US"/>
        </w:rPr>
        <w:t>Belgium</w:t>
      </w:r>
      <w:r w:rsidRPr="00D5728A">
        <w:rPr>
          <w:rFonts w:ascii="Baskerville" w:hAnsi="Baskerville"/>
          <w:bCs/>
          <w:strike/>
          <w:sz w:val="20"/>
          <w:szCs w:val="20"/>
          <w:lang w:val="en-US"/>
        </w:rPr>
        <w:t xml:space="preserve"> v </w:t>
      </w:r>
      <w:r w:rsidRPr="00D5728A">
        <w:rPr>
          <w:rFonts w:ascii="Baskerville" w:hAnsi="Baskerville"/>
          <w:bCs/>
          <w:i/>
          <w:strike/>
          <w:sz w:val="20"/>
          <w:szCs w:val="20"/>
          <w:lang w:val="en-US"/>
        </w:rPr>
        <w:t>Netherlands</w:t>
      </w:r>
      <w:r w:rsidRPr="00D5728A">
        <w:rPr>
          <w:rFonts w:ascii="Baskerville" w:hAnsi="Baskerville"/>
          <w:bCs/>
          <w:strike/>
          <w:sz w:val="20"/>
          <w:szCs w:val="20"/>
          <w:lang w:val="en-US"/>
        </w:rPr>
        <w:t>, Award, ICGJ 373 (PCA 2005), 24th May 2005, Permanent Court of Arbitration [PCA].</w:t>
      </w:r>
    </w:p>
    <w:p w:rsidR="00465E02" w:rsidRPr="0008163A" w:rsidRDefault="00465E02" w:rsidP="00465E02">
      <w:pPr>
        <w:pStyle w:val="FootnoteText"/>
        <w:rPr>
          <w:rFonts w:ascii="Baskerville" w:hAnsi="Baskerville"/>
          <w:sz w:val="20"/>
          <w:szCs w:val="20"/>
          <w:lang w:val="en-US"/>
        </w:rPr>
      </w:pPr>
      <w:r w:rsidRPr="0008163A">
        <w:rPr>
          <w:rStyle w:val="FootnoteReference"/>
          <w:rFonts w:ascii="Baskerville" w:hAnsi="Baskerville"/>
          <w:sz w:val="20"/>
          <w:szCs w:val="20"/>
        </w:rPr>
        <w:footnoteRef/>
      </w:r>
      <w:r w:rsidRPr="0008163A">
        <w:rPr>
          <w:rFonts w:ascii="Baskerville" w:hAnsi="Baskerville"/>
          <w:sz w:val="20"/>
          <w:szCs w:val="20"/>
        </w:rPr>
        <w:t xml:space="preserve"> </w:t>
      </w:r>
      <w:r w:rsidRPr="00D5728A">
        <w:rPr>
          <w:rFonts w:ascii="Baskerville" w:hAnsi="Baskerville"/>
          <w:strike/>
          <w:sz w:val="20"/>
          <w:szCs w:val="20"/>
        </w:rPr>
        <w:t>‘Guidelines for Applying the Precautionary Principle to Biodiversity Conservation and Natural Resource Management’</w:t>
      </w:r>
      <w:r w:rsidRPr="00D5728A">
        <w:rPr>
          <w:rFonts w:ascii="Baskerville" w:hAnsi="Baskerville"/>
          <w:bCs/>
          <w:iCs/>
          <w:strike/>
          <w:sz w:val="20"/>
          <w:szCs w:val="20"/>
          <w:lang w:val="en-US"/>
        </w:rPr>
        <w:t xml:space="preserve">, as approved by the 67th meeting of the IUCN Council (14-16 May 2007), </w:t>
      </w:r>
      <w:r w:rsidRPr="0008163A">
        <w:rPr>
          <w:rFonts w:ascii="Baskerville" w:hAnsi="Baskerville"/>
          <w:bCs/>
          <w:iCs/>
          <w:sz w:val="20"/>
          <w:szCs w:val="20"/>
          <w:lang w:val="en-US"/>
        </w:rPr>
        <w:t xml:space="preserve">p 2. </w:t>
      </w:r>
    </w:p>
    <w:p w:rsidR="00465E02" w:rsidRPr="00EF7020" w:rsidRDefault="00465E02" w:rsidP="00465E02">
      <w:pPr>
        <w:pStyle w:val="FootnoteText"/>
        <w:rPr>
          <w:rFonts w:ascii="Baskerville" w:hAnsi="Baskerville"/>
          <w:color w:val="FF0000"/>
          <w:sz w:val="20"/>
          <w:szCs w:val="20"/>
          <w:lang w:val="en-US"/>
        </w:rPr>
      </w:pPr>
      <w:r w:rsidRPr="00B55ED4">
        <w:rPr>
          <w:rFonts w:ascii="Baskerville" w:hAnsi="Baskerville"/>
          <w:sz w:val="20"/>
          <w:szCs w:val="20"/>
          <w:highlight w:val="darkGreen"/>
          <w:lang w:val="en-US"/>
        </w:rPr>
        <w:t>.</w:t>
      </w:r>
      <w:r w:rsidRPr="00B25C42">
        <w:rPr>
          <w:rFonts w:ascii="Baskerville" w:hAnsi="Baskerville"/>
          <w:sz w:val="20"/>
          <w:szCs w:val="20"/>
          <w:lang w:val="en-US"/>
        </w:rPr>
        <w:t xml:space="preserve"> </w:t>
      </w:r>
    </w:p>
    <w:p w:rsidR="00465E02" w:rsidRPr="00966E6C" w:rsidRDefault="00465E02" w:rsidP="00465E02">
      <w:pPr>
        <w:pStyle w:val="FootnoteText"/>
        <w:rPr>
          <w:rFonts w:ascii="Baskerville" w:hAnsi="Baskerville"/>
          <w:bCs/>
          <w:strike/>
          <w:color w:val="FF0000"/>
          <w:sz w:val="20"/>
          <w:szCs w:val="20"/>
        </w:rPr>
      </w:pPr>
      <w:r w:rsidRPr="00966E6C">
        <w:rPr>
          <w:rStyle w:val="FootnoteReference"/>
          <w:rFonts w:ascii="Baskerville" w:hAnsi="Baskerville"/>
          <w:strike/>
          <w:sz w:val="20"/>
          <w:szCs w:val="20"/>
        </w:rPr>
        <w:footnoteRef/>
      </w:r>
      <w:r w:rsidRPr="00966E6C">
        <w:rPr>
          <w:rFonts w:ascii="Baskerville" w:hAnsi="Baskerville"/>
          <w:strike/>
          <w:sz w:val="20"/>
          <w:szCs w:val="20"/>
        </w:rPr>
        <w:t xml:space="preserve"> </w:t>
      </w:r>
      <w:r w:rsidRPr="00966E6C">
        <w:rPr>
          <w:rFonts w:ascii="Baskerville" w:hAnsi="Baskerville"/>
          <w:strike/>
          <w:sz w:val="20"/>
          <w:szCs w:val="20"/>
          <w:lang w:val="en-US"/>
        </w:rPr>
        <w:t>M. Ahteensuu</w:t>
      </w:r>
      <w:r w:rsidRPr="00966E6C">
        <w:rPr>
          <w:rFonts w:ascii="Baskerville" w:hAnsi="Baskerville"/>
          <w:strike/>
          <w:sz w:val="20"/>
          <w:szCs w:val="20"/>
        </w:rPr>
        <w:t>, ‘</w:t>
      </w:r>
      <w:r w:rsidRPr="00966E6C">
        <w:rPr>
          <w:rFonts w:ascii="Baskerville" w:hAnsi="Baskerville"/>
          <w:bCs/>
          <w:strike/>
          <w:sz w:val="20"/>
          <w:szCs w:val="20"/>
          <w:lang w:val="en-US"/>
        </w:rPr>
        <w:t>Rationale for Taking Precautions: Normative Choices and Commitments in the Implementation of the P</w:t>
      </w:r>
      <w:bookmarkStart w:id="0" w:name="_GoBack"/>
      <w:bookmarkEnd w:id="0"/>
      <w:r w:rsidRPr="00966E6C">
        <w:rPr>
          <w:rFonts w:ascii="Baskerville" w:hAnsi="Baskerville"/>
          <w:bCs/>
          <w:strike/>
          <w:sz w:val="20"/>
          <w:szCs w:val="20"/>
          <w:lang w:val="en-US"/>
        </w:rPr>
        <w:t>recautionary Principle’, (</w:t>
      </w:r>
      <w:r w:rsidRPr="00966E6C">
        <w:rPr>
          <w:rFonts w:ascii="Baskerville" w:hAnsi="Baskerville"/>
          <w:bCs/>
          <w:iCs/>
          <w:strike/>
          <w:sz w:val="20"/>
          <w:szCs w:val="20"/>
        </w:rPr>
        <w:t xml:space="preserve">University of Turku: </w:t>
      </w:r>
      <w:r w:rsidRPr="00966E6C">
        <w:rPr>
          <w:rFonts w:ascii="Baskerville" w:hAnsi="Baskerville"/>
          <w:bCs/>
          <w:strike/>
          <w:sz w:val="20"/>
          <w:szCs w:val="20"/>
        </w:rPr>
        <w:t>TRAMES 2007), 11(61/56), 4, pp. 367</w:t>
      </w:r>
      <w:r w:rsidRPr="00966E6C">
        <w:rPr>
          <w:rFonts w:ascii="Baskerville" w:hAnsi="Baskerville"/>
          <w:strike/>
          <w:sz w:val="20"/>
          <w:szCs w:val="20"/>
        </w:rPr>
        <w:t>.</w:t>
      </w:r>
    </w:p>
    <w:p w:rsidR="00465E02" w:rsidRDefault="00465E02" w:rsidP="00465E02">
      <w:pPr>
        <w:pStyle w:val="FootnoteText"/>
        <w:rPr>
          <w:rFonts w:ascii="Baskerville" w:hAnsi="Baskerville"/>
          <w:sz w:val="20"/>
          <w:szCs w:val="20"/>
        </w:rPr>
      </w:pPr>
    </w:p>
    <w:p w:rsidR="00465E02" w:rsidRPr="00D5728A" w:rsidRDefault="00465E02" w:rsidP="00465E02">
      <w:pPr>
        <w:pStyle w:val="FootnoteText"/>
        <w:rPr>
          <w:rFonts w:ascii="Baskerville" w:hAnsi="Baskerville"/>
          <w:strike/>
          <w:sz w:val="20"/>
          <w:szCs w:val="20"/>
          <w:lang w:val="en-US"/>
        </w:rPr>
      </w:pPr>
      <w:proofErr w:type="gramStart"/>
      <w:r w:rsidRPr="00D5728A">
        <w:rPr>
          <w:rFonts w:ascii="Baskerville" w:hAnsi="Baskerville"/>
          <w:strike/>
          <w:sz w:val="20"/>
          <w:szCs w:val="20"/>
          <w:lang w:val="en-US"/>
        </w:rPr>
        <w:t>1992 United Nations Conference on Environment and Development.</w:t>
      </w:r>
      <w:proofErr w:type="gramEnd"/>
      <w:r w:rsidRPr="00D5728A">
        <w:rPr>
          <w:rFonts w:ascii="Baskerville" w:hAnsi="Baskerville"/>
          <w:strike/>
          <w:color w:val="FF0000"/>
          <w:sz w:val="20"/>
          <w:szCs w:val="20"/>
          <w:lang w:val="en-US"/>
        </w:rPr>
        <w:t xml:space="preserve"> </w:t>
      </w:r>
      <w:proofErr w:type="gramStart"/>
      <w:r w:rsidRPr="00D5728A">
        <w:rPr>
          <w:rFonts w:ascii="Baskerville" w:hAnsi="Baskerville"/>
          <w:i/>
          <w:iCs/>
          <w:strike/>
          <w:sz w:val="20"/>
          <w:szCs w:val="20"/>
          <w:lang w:val="en-US"/>
        </w:rPr>
        <w:t xml:space="preserve">Bergen Conference, Bergen Ministerial Declaration on Sustainable Development in the ECE Region </w:t>
      </w:r>
      <w:r w:rsidRPr="00D5728A">
        <w:rPr>
          <w:rFonts w:ascii="Baskerville" w:hAnsi="Baskerville"/>
          <w:strike/>
          <w:sz w:val="20"/>
          <w:szCs w:val="20"/>
          <w:lang w:val="en-US"/>
        </w:rPr>
        <w:t>(16</w:t>
      </w:r>
      <w:r w:rsidRPr="00D5728A">
        <w:rPr>
          <w:rFonts w:ascii="Baskerville" w:hAnsi="Baskerville"/>
          <w:strike/>
          <w:sz w:val="20"/>
          <w:szCs w:val="20"/>
          <w:vertAlign w:val="superscript"/>
          <w:lang w:val="en-US"/>
        </w:rPr>
        <w:t xml:space="preserve"> </w:t>
      </w:r>
      <w:r w:rsidRPr="00D5728A">
        <w:rPr>
          <w:rFonts w:ascii="Baskerville" w:hAnsi="Baskerville"/>
          <w:strike/>
          <w:sz w:val="20"/>
          <w:szCs w:val="20"/>
          <w:lang w:val="en-US"/>
        </w:rPr>
        <w:t>May 1990)</w:t>
      </w:r>
      <w:r w:rsidRPr="00D5728A">
        <w:rPr>
          <w:rFonts w:ascii="Baskerville" w:hAnsi="Baskerville"/>
          <w:i/>
          <w:iCs/>
          <w:strike/>
          <w:sz w:val="20"/>
          <w:szCs w:val="20"/>
          <w:lang w:val="en-US"/>
        </w:rPr>
        <w:t xml:space="preserve">, </w:t>
      </w:r>
      <w:r w:rsidRPr="00D5728A">
        <w:rPr>
          <w:rFonts w:ascii="Baskerville" w:hAnsi="Baskerville"/>
          <w:strike/>
          <w:sz w:val="20"/>
          <w:szCs w:val="20"/>
          <w:lang w:val="en-US"/>
        </w:rPr>
        <w:t>at Art.</w:t>
      </w:r>
      <w:proofErr w:type="gramEnd"/>
      <w:r w:rsidRPr="00D5728A">
        <w:rPr>
          <w:rFonts w:ascii="Baskerville" w:hAnsi="Baskerville"/>
          <w:strike/>
          <w:sz w:val="20"/>
          <w:szCs w:val="20"/>
          <w:lang w:val="en-US"/>
        </w:rPr>
        <w:t xml:space="preserve"> 7. Environment ministers and officials from thirty-four ECE countries attended the Bergen Conference. </w:t>
      </w:r>
    </w:p>
    <w:p w:rsidR="00D5728A" w:rsidRDefault="00D5728A" w:rsidP="00465E02">
      <w:pPr>
        <w:pStyle w:val="FootnoteText"/>
        <w:rPr>
          <w:rFonts w:ascii="Baskerville" w:hAnsi="Baskerville"/>
          <w:sz w:val="20"/>
          <w:szCs w:val="20"/>
          <w:lang w:val="en-US"/>
        </w:rPr>
      </w:pPr>
    </w:p>
    <w:p w:rsidR="00465E02" w:rsidRPr="00D5728A" w:rsidRDefault="00465E02" w:rsidP="00465E02">
      <w:pPr>
        <w:pStyle w:val="FootnoteText"/>
        <w:rPr>
          <w:rFonts w:ascii="Baskerville" w:hAnsi="Baskerville"/>
          <w:strike/>
          <w:sz w:val="20"/>
          <w:szCs w:val="20"/>
          <w:lang w:val="en-US"/>
        </w:rPr>
      </w:pPr>
      <w:r w:rsidRPr="00D5728A">
        <w:rPr>
          <w:rStyle w:val="FootnoteReference"/>
          <w:rFonts w:ascii="Baskerville" w:hAnsi="Baskerville"/>
          <w:strike/>
          <w:sz w:val="20"/>
          <w:szCs w:val="20"/>
        </w:rPr>
        <w:footnoteRef/>
      </w:r>
      <w:r w:rsidRPr="00D5728A">
        <w:rPr>
          <w:rFonts w:ascii="Baskerville" w:hAnsi="Baskerville"/>
          <w:strike/>
          <w:sz w:val="20"/>
          <w:szCs w:val="20"/>
        </w:rPr>
        <w:t xml:space="preserve"> See the Report of the UNCED, UN </w:t>
      </w:r>
      <w:proofErr w:type="spellStart"/>
      <w:r w:rsidRPr="00D5728A">
        <w:rPr>
          <w:rFonts w:ascii="Baskerville" w:hAnsi="Baskerville"/>
          <w:strike/>
          <w:sz w:val="20"/>
          <w:szCs w:val="20"/>
        </w:rPr>
        <w:t>Doc.A</w:t>
      </w:r>
      <w:proofErr w:type="spellEnd"/>
      <w:r w:rsidRPr="00D5728A">
        <w:rPr>
          <w:rFonts w:ascii="Baskerville" w:hAnsi="Baskerville"/>
          <w:strike/>
          <w:sz w:val="20"/>
          <w:szCs w:val="20"/>
        </w:rPr>
        <w:t xml:space="preserve">/CONF.151/26 (1992), Chapter 17.22; the preamble to the Cartagena Protocol on Biosafety to the Convention on Biodiversity, </w:t>
      </w:r>
      <w:r w:rsidRPr="00D5728A">
        <w:rPr>
          <w:rFonts w:ascii="Baskerville" w:hAnsi="Baskerville"/>
          <w:strike/>
          <w:sz w:val="20"/>
          <w:szCs w:val="20"/>
          <w:lang w:val="en-US"/>
        </w:rPr>
        <w:t>2226 U.N.T.S. 208; 39 ILM 1027 (2000); UN Doc. UNEP/CBD/ExCOP/1/3, at 42 (2000)</w:t>
      </w:r>
      <w:r w:rsidRPr="00D5728A">
        <w:rPr>
          <w:rFonts w:ascii="Baskerville" w:hAnsi="Baskerville"/>
          <w:strike/>
          <w:sz w:val="20"/>
          <w:szCs w:val="20"/>
        </w:rPr>
        <w:t>;</w:t>
      </w:r>
      <w:r w:rsidRPr="00D5728A">
        <w:rPr>
          <w:rFonts w:ascii="Baskerville" w:hAnsi="Baskerville"/>
          <w:strike/>
          <w:color w:val="FF0000"/>
          <w:sz w:val="20"/>
          <w:szCs w:val="20"/>
        </w:rPr>
        <w:t xml:space="preserve"> </w:t>
      </w:r>
      <w:r w:rsidRPr="00D5728A">
        <w:rPr>
          <w:rFonts w:ascii="Baskerville" w:hAnsi="Baskerville"/>
          <w:strike/>
          <w:sz w:val="20"/>
          <w:szCs w:val="20"/>
        </w:rPr>
        <w:t>the Stockholm Convention on</w:t>
      </w:r>
    </w:p>
    <w:p w:rsidR="00465E02" w:rsidRPr="00D5728A" w:rsidRDefault="00465E02" w:rsidP="00465E02">
      <w:pPr>
        <w:pStyle w:val="FootnoteText"/>
        <w:rPr>
          <w:rFonts w:ascii="Baskerville" w:hAnsi="Baskerville"/>
          <w:strike/>
          <w:sz w:val="20"/>
          <w:szCs w:val="20"/>
          <w:lang w:val="en-US"/>
        </w:rPr>
      </w:pPr>
    </w:p>
    <w:p w:rsidR="00465E02" w:rsidRPr="00D5728A" w:rsidRDefault="00465E02" w:rsidP="00465E02">
      <w:pPr>
        <w:pStyle w:val="FootnoteText"/>
        <w:rPr>
          <w:rFonts w:ascii="Baskerville" w:hAnsi="Baskerville"/>
          <w:strike/>
          <w:sz w:val="20"/>
          <w:szCs w:val="20"/>
          <w:lang w:val="en-US"/>
        </w:rPr>
      </w:pPr>
      <w:proofErr w:type="gramStart"/>
      <w:r w:rsidRPr="00D5728A">
        <w:rPr>
          <w:rFonts w:ascii="Baskerville" w:hAnsi="Baskerville"/>
          <w:strike/>
          <w:sz w:val="20"/>
          <w:szCs w:val="20"/>
        </w:rPr>
        <w:t xml:space="preserve">Persistent Organic Pollutants, </w:t>
      </w:r>
      <w:r w:rsidRPr="00D5728A">
        <w:rPr>
          <w:rFonts w:ascii="Baskerville" w:hAnsi="Baskerville"/>
          <w:strike/>
          <w:sz w:val="20"/>
          <w:szCs w:val="20"/>
          <w:lang w:val="en-US"/>
        </w:rPr>
        <w:t>2256 UNTS 119; 40 ILM 532 (2001)</w:t>
      </w:r>
      <w:r w:rsidRPr="00D5728A">
        <w:rPr>
          <w:rFonts w:ascii="Baskerville" w:hAnsi="Baskerville"/>
          <w:strike/>
          <w:sz w:val="20"/>
          <w:szCs w:val="20"/>
        </w:rPr>
        <w:t>, Arts.</w:t>
      </w:r>
      <w:proofErr w:type="gramEnd"/>
      <w:r w:rsidRPr="00D5728A">
        <w:rPr>
          <w:rFonts w:ascii="Baskerville" w:hAnsi="Baskerville"/>
          <w:strike/>
          <w:sz w:val="20"/>
          <w:szCs w:val="20"/>
        </w:rPr>
        <w:t xml:space="preserve"> 1, 8-9, and the United Nations Framework Convention on Climate Change (UNFCCC), </w:t>
      </w:r>
      <w:r w:rsidRPr="00D5728A">
        <w:rPr>
          <w:rFonts w:ascii="Baskerville" w:hAnsi="Baskerville"/>
          <w:strike/>
          <w:sz w:val="20"/>
          <w:szCs w:val="20"/>
          <w:lang w:val="en-US"/>
        </w:rPr>
        <w:t xml:space="preserve">1771 UNTS 107; S. Treaty Doc No. 102-38; U.N. Doc. </w:t>
      </w:r>
      <w:proofErr w:type="gramStart"/>
      <w:r w:rsidRPr="00D5728A">
        <w:rPr>
          <w:rFonts w:ascii="Baskerville" w:hAnsi="Baskerville"/>
          <w:strike/>
          <w:sz w:val="20"/>
          <w:szCs w:val="20"/>
          <w:lang w:val="en-US"/>
        </w:rPr>
        <w:t>A/AC.237/18 (Part II)/Add.1; 31 ILM 849 (1992)</w:t>
      </w:r>
      <w:r w:rsidRPr="00D5728A">
        <w:rPr>
          <w:rFonts w:ascii="Baskerville" w:hAnsi="Baskerville"/>
          <w:strike/>
          <w:sz w:val="20"/>
          <w:szCs w:val="20"/>
        </w:rPr>
        <w:t>, Art.</w:t>
      </w:r>
      <w:proofErr w:type="gramEnd"/>
      <w:r w:rsidRPr="00D5728A">
        <w:rPr>
          <w:rFonts w:ascii="Baskerville" w:hAnsi="Baskerville"/>
          <w:strike/>
          <w:sz w:val="20"/>
          <w:szCs w:val="20"/>
        </w:rPr>
        <w:t xml:space="preserve"> 3.</w:t>
      </w:r>
      <w:r w:rsidRPr="00D5728A">
        <w:rPr>
          <w:rFonts w:ascii="Baskerville" w:hAnsi="Baskerville"/>
          <w:strike/>
          <w:color w:val="FF0000"/>
          <w:sz w:val="20"/>
          <w:szCs w:val="20"/>
        </w:rPr>
        <w:t xml:space="preserve"> </w:t>
      </w:r>
    </w:p>
    <w:p w:rsidR="00465E02" w:rsidRPr="00D5728A" w:rsidRDefault="00465E02" w:rsidP="00465E02">
      <w:pPr>
        <w:pStyle w:val="FootnoteText"/>
        <w:rPr>
          <w:rFonts w:ascii="Baskerville" w:hAnsi="Baskerville"/>
          <w:strike/>
          <w:sz w:val="20"/>
          <w:szCs w:val="20"/>
          <w:lang w:val="en-US"/>
        </w:rPr>
      </w:pPr>
      <w:r w:rsidRPr="00D5728A">
        <w:rPr>
          <w:rStyle w:val="FootnoteReference"/>
          <w:rFonts w:ascii="Baskerville" w:hAnsi="Baskerville"/>
          <w:strike/>
          <w:sz w:val="20"/>
          <w:szCs w:val="20"/>
        </w:rPr>
        <w:footnoteRef/>
      </w:r>
      <w:r w:rsidRPr="00D5728A">
        <w:rPr>
          <w:rFonts w:ascii="Baskerville" w:hAnsi="Baskerville"/>
          <w:strike/>
          <w:sz w:val="20"/>
          <w:szCs w:val="20"/>
        </w:rPr>
        <w:t xml:space="preserve"> </w:t>
      </w:r>
      <w:r w:rsidRPr="00D5728A">
        <w:rPr>
          <w:rFonts w:ascii="Baskerville" w:hAnsi="Baskerville"/>
          <w:strike/>
          <w:sz w:val="20"/>
          <w:szCs w:val="20"/>
          <w:lang w:val="en-US"/>
        </w:rPr>
        <w:t>Pest Control Products Act S.C. 2002, c. 28; Canada Marine Conservation Areas Act 2002.</w:t>
      </w:r>
    </w:p>
    <w:p w:rsidR="00465E02" w:rsidRPr="00D5728A" w:rsidRDefault="00465E02" w:rsidP="00465E02">
      <w:pPr>
        <w:pStyle w:val="FootnoteText"/>
        <w:rPr>
          <w:rFonts w:ascii="Baskerville" w:hAnsi="Baskerville"/>
          <w:strike/>
          <w:sz w:val="20"/>
          <w:szCs w:val="20"/>
          <w:lang w:val="en-US"/>
        </w:rPr>
      </w:pPr>
    </w:p>
    <w:p w:rsidR="00465E02" w:rsidRPr="00D5728A" w:rsidRDefault="00465E02" w:rsidP="00465E02">
      <w:pPr>
        <w:pStyle w:val="FootnoteText"/>
        <w:rPr>
          <w:rFonts w:ascii="Baskerville" w:hAnsi="Baskerville"/>
          <w:strike/>
          <w:sz w:val="20"/>
          <w:szCs w:val="20"/>
          <w:lang w:val="en-US"/>
        </w:rPr>
      </w:pPr>
      <w:r w:rsidRPr="00D5728A">
        <w:rPr>
          <w:rStyle w:val="FootnoteReference"/>
          <w:rFonts w:ascii="Baskerville" w:hAnsi="Baskerville"/>
          <w:strike/>
          <w:sz w:val="20"/>
          <w:szCs w:val="20"/>
        </w:rPr>
        <w:footnoteRef/>
      </w:r>
      <w:r w:rsidRPr="00D5728A">
        <w:rPr>
          <w:rFonts w:ascii="Baskerville" w:hAnsi="Baskerville"/>
          <w:strike/>
          <w:sz w:val="20"/>
          <w:szCs w:val="20"/>
        </w:rPr>
        <w:t xml:space="preserve"> </w:t>
      </w:r>
      <w:r w:rsidR="00D5728A" w:rsidRPr="00D5728A">
        <w:rPr>
          <w:rFonts w:ascii="Baskerville" w:hAnsi="Baskerville"/>
          <w:strike/>
          <w:sz w:val="20"/>
          <w:szCs w:val="20"/>
        </w:rPr>
        <w:t xml:space="preserve">R.R. </w:t>
      </w:r>
      <w:r w:rsidRPr="00D5728A">
        <w:rPr>
          <w:rFonts w:ascii="Baskerville" w:hAnsi="Baskerville"/>
          <w:strike/>
          <w:sz w:val="20"/>
          <w:szCs w:val="20"/>
          <w:lang w:val="en-US"/>
        </w:rPr>
        <w:t xml:space="preserve">Churchill &amp; </w:t>
      </w:r>
      <w:r w:rsidR="00D5728A" w:rsidRPr="00D5728A">
        <w:rPr>
          <w:rFonts w:ascii="Baskerville" w:hAnsi="Baskerville"/>
          <w:strike/>
          <w:sz w:val="20"/>
          <w:szCs w:val="20"/>
          <w:lang w:val="en-US"/>
        </w:rPr>
        <w:t xml:space="preserve">J. </w:t>
      </w:r>
      <w:r w:rsidRPr="00D5728A">
        <w:rPr>
          <w:rFonts w:ascii="Baskerville" w:hAnsi="Baskerville"/>
          <w:strike/>
          <w:sz w:val="20"/>
          <w:szCs w:val="20"/>
          <w:lang w:val="en-US"/>
        </w:rPr>
        <w:t xml:space="preserve">Gibson, </w:t>
      </w:r>
      <w:r w:rsidRPr="00D5728A">
        <w:rPr>
          <w:rFonts w:ascii="Baskerville" w:hAnsi="Baskerville"/>
          <w:i/>
          <w:iCs/>
          <w:strike/>
          <w:sz w:val="20"/>
          <w:szCs w:val="20"/>
          <w:lang w:val="en-US"/>
        </w:rPr>
        <w:t xml:space="preserve">The Implementation of the North Sea Declarations by the United Kingdom: An Assessment, </w:t>
      </w:r>
      <w:r w:rsidRPr="00D5728A">
        <w:rPr>
          <w:rFonts w:ascii="Baskerville" w:hAnsi="Baskerville"/>
          <w:strike/>
          <w:sz w:val="20"/>
          <w:szCs w:val="20"/>
          <w:lang w:val="en-US"/>
        </w:rPr>
        <w:t xml:space="preserve">in Third North Sea Conference: Greenpeace Paper (1990) 17, at 40. The Red List contains 23 substances, including mercury, cadmium, and DDT (at 46). </w:t>
      </w:r>
    </w:p>
    <w:p w:rsidR="00465E02" w:rsidRDefault="00465E02" w:rsidP="00465E02">
      <w:pPr>
        <w:pStyle w:val="FootnoteText"/>
        <w:rPr>
          <w:rFonts w:ascii="Baskerville" w:hAnsi="Baskerville"/>
          <w:sz w:val="20"/>
          <w:szCs w:val="20"/>
          <w:lang w:val="en-US"/>
        </w:rPr>
      </w:pPr>
    </w:p>
    <w:p w:rsidR="00465E02" w:rsidRPr="00D5728A" w:rsidRDefault="00465E02" w:rsidP="00465E02">
      <w:pPr>
        <w:pStyle w:val="FootnoteText"/>
        <w:rPr>
          <w:rFonts w:ascii="Baskerville" w:hAnsi="Baskerville"/>
          <w:strike/>
          <w:sz w:val="20"/>
          <w:szCs w:val="20"/>
          <w:lang w:val="en-US"/>
        </w:rPr>
      </w:pPr>
      <w:r w:rsidRPr="00D5728A">
        <w:rPr>
          <w:rStyle w:val="FootnoteReference"/>
          <w:rFonts w:ascii="Baskerville" w:hAnsi="Baskerville"/>
          <w:strike/>
          <w:sz w:val="20"/>
          <w:szCs w:val="20"/>
        </w:rPr>
        <w:footnoteRef/>
      </w:r>
      <w:r w:rsidRPr="00D5728A">
        <w:rPr>
          <w:rFonts w:ascii="Baskerville" w:hAnsi="Baskerville"/>
          <w:strike/>
          <w:sz w:val="20"/>
          <w:szCs w:val="20"/>
        </w:rPr>
        <w:t xml:space="preserve"> </w:t>
      </w:r>
      <w:r w:rsidRPr="00D5728A">
        <w:rPr>
          <w:rFonts w:ascii="Baskerville" w:hAnsi="Baskerville"/>
          <w:i/>
          <w:iCs/>
          <w:strike/>
          <w:sz w:val="20"/>
          <w:szCs w:val="20"/>
          <w:lang w:val="en-US"/>
        </w:rPr>
        <w:t xml:space="preserve">Focus Report, </w:t>
      </w:r>
      <w:r w:rsidRPr="00D5728A">
        <w:rPr>
          <w:rFonts w:ascii="Baskerville" w:hAnsi="Baskerville"/>
          <w:iCs/>
          <w:strike/>
          <w:sz w:val="20"/>
          <w:szCs w:val="20"/>
          <w:lang w:val="en-US"/>
        </w:rPr>
        <w:t>‘Global Environmental Change Rep.’ (25/5/1990)</w:t>
      </w:r>
      <w:r w:rsidRPr="00D5728A">
        <w:rPr>
          <w:rFonts w:ascii="Baskerville" w:hAnsi="Baskerville"/>
          <w:i/>
          <w:iCs/>
          <w:strike/>
          <w:sz w:val="20"/>
          <w:szCs w:val="20"/>
          <w:lang w:val="en-US"/>
        </w:rPr>
        <w:t>,</w:t>
      </w:r>
      <w:r w:rsidRPr="00D5728A">
        <w:rPr>
          <w:rFonts w:ascii="Baskerville" w:hAnsi="Baskerville"/>
          <w:strike/>
          <w:sz w:val="20"/>
          <w:szCs w:val="20"/>
          <w:lang w:val="en-US"/>
        </w:rPr>
        <w:t xml:space="preserve"> at 2. A U.S. communique indicated that the United States “does not believe, as apparently some do, that we can lightly accept the ... language in the expectation that it will be forgotten with the passage of time”. </w:t>
      </w:r>
    </w:p>
    <w:p w:rsidR="00465E02" w:rsidRPr="00D5728A" w:rsidRDefault="00465E02" w:rsidP="00465E02">
      <w:pPr>
        <w:pStyle w:val="FootnoteText"/>
        <w:rPr>
          <w:rFonts w:ascii="Baskerville" w:hAnsi="Baskerville"/>
          <w:strike/>
          <w:sz w:val="20"/>
          <w:szCs w:val="20"/>
          <w:lang w:val="en-US"/>
        </w:rPr>
      </w:pPr>
      <w:r w:rsidRPr="00D5728A">
        <w:rPr>
          <w:rFonts w:ascii="Baskerville" w:hAnsi="Baskerville"/>
          <w:strike/>
          <w:sz w:val="20"/>
          <w:szCs w:val="20"/>
          <w:lang w:val="en-US"/>
        </w:rPr>
        <w:t xml:space="preserve">. Ministers from more than 100  countries participated in the 1990 Second World Climate Conference in Geneva, Switzerland and debated strategies to respond to global climate change. The overwhelming majority of countries were united in calling for immediate action. The United States, however, was strongly opposed to committing itself to cutbacks. </w:t>
      </w:r>
    </w:p>
    <w:p w:rsidR="00465E02" w:rsidRPr="00D5728A" w:rsidRDefault="00465E02" w:rsidP="00465E02">
      <w:pPr>
        <w:pStyle w:val="FootnoteText"/>
        <w:rPr>
          <w:rFonts w:ascii="Baskerville" w:hAnsi="Baskerville"/>
          <w:strike/>
          <w:sz w:val="20"/>
          <w:szCs w:val="20"/>
          <w:lang w:val="en-US"/>
        </w:rPr>
      </w:pPr>
      <w:r w:rsidRPr="00D5728A">
        <w:rPr>
          <w:rStyle w:val="FootnoteReference"/>
          <w:rFonts w:ascii="Baskerville" w:hAnsi="Baskerville"/>
          <w:strike/>
          <w:sz w:val="20"/>
          <w:szCs w:val="20"/>
        </w:rPr>
        <w:footnoteRef/>
      </w:r>
      <w:r w:rsidRPr="00D5728A">
        <w:rPr>
          <w:rFonts w:ascii="Baskerville" w:hAnsi="Baskerville"/>
          <w:strike/>
          <w:sz w:val="20"/>
          <w:szCs w:val="20"/>
        </w:rPr>
        <w:t xml:space="preserve"> </w:t>
      </w:r>
      <w:proofErr w:type="gramStart"/>
      <w:r w:rsidRPr="00D5728A">
        <w:rPr>
          <w:rFonts w:ascii="Baskerville" w:hAnsi="Baskerville"/>
          <w:strike/>
          <w:sz w:val="20"/>
          <w:szCs w:val="20"/>
          <w:lang w:val="en-US"/>
        </w:rPr>
        <w:t>Conversation with Ludwig Kramer, Directorate General XI, in Brussels (2</w:t>
      </w:r>
      <w:r w:rsidRPr="00D5728A">
        <w:rPr>
          <w:rFonts w:ascii="Baskerville" w:hAnsi="Baskerville"/>
          <w:strike/>
          <w:sz w:val="20"/>
          <w:szCs w:val="20"/>
          <w:vertAlign w:val="superscript"/>
          <w:lang w:val="en-US"/>
        </w:rPr>
        <w:t>nd</w:t>
      </w:r>
      <w:r w:rsidRPr="00D5728A">
        <w:rPr>
          <w:rFonts w:ascii="Baskerville" w:hAnsi="Baskerville"/>
          <w:strike/>
          <w:sz w:val="20"/>
          <w:szCs w:val="20"/>
          <w:lang w:val="en-US"/>
        </w:rPr>
        <w:t xml:space="preserve"> October 1990).</w:t>
      </w:r>
      <w:proofErr w:type="gramEnd"/>
      <w:r w:rsidRPr="00D5728A">
        <w:rPr>
          <w:rFonts w:ascii="Baskerville" w:hAnsi="Baskerville"/>
          <w:strike/>
          <w:sz w:val="20"/>
          <w:szCs w:val="20"/>
          <w:lang w:val="en-US"/>
        </w:rPr>
        <w:t xml:space="preserve"> </w:t>
      </w:r>
    </w:p>
    <w:p w:rsidR="00465E02" w:rsidRDefault="00465E02" w:rsidP="00465E02">
      <w:pPr>
        <w:pStyle w:val="FootnoteText"/>
        <w:rPr>
          <w:rFonts w:ascii="Baskerville" w:hAnsi="Baskerville"/>
          <w:sz w:val="20"/>
          <w:szCs w:val="20"/>
        </w:rPr>
      </w:pPr>
    </w:p>
    <w:p w:rsidR="00465E02" w:rsidRPr="00D5728A" w:rsidRDefault="00465E02" w:rsidP="00465E02">
      <w:pPr>
        <w:pStyle w:val="FootnoteText"/>
        <w:rPr>
          <w:rFonts w:ascii="Baskerville" w:hAnsi="Baskerville"/>
          <w:strike/>
          <w:sz w:val="20"/>
          <w:szCs w:val="20"/>
          <w:lang w:val="en-US"/>
        </w:rPr>
      </w:pPr>
      <w:r w:rsidRPr="00D5728A">
        <w:rPr>
          <w:rStyle w:val="FootnoteReference"/>
          <w:rFonts w:ascii="Baskerville" w:hAnsi="Baskerville"/>
          <w:strike/>
          <w:sz w:val="20"/>
          <w:szCs w:val="20"/>
        </w:rPr>
        <w:footnoteRef/>
      </w:r>
      <w:r w:rsidRPr="00D5728A">
        <w:rPr>
          <w:rFonts w:ascii="Baskerville" w:hAnsi="Baskerville"/>
          <w:strike/>
          <w:sz w:val="20"/>
          <w:szCs w:val="20"/>
        </w:rPr>
        <w:t xml:space="preserve"> </w:t>
      </w:r>
      <w:r w:rsidRPr="00D5728A">
        <w:rPr>
          <w:rFonts w:ascii="Baskerville" w:hAnsi="Baskerville"/>
          <w:strike/>
          <w:sz w:val="20"/>
          <w:szCs w:val="20"/>
          <w:lang w:val="en-US"/>
        </w:rPr>
        <w:t xml:space="preserve">For example, the Declaration of </w:t>
      </w:r>
      <w:proofErr w:type="gramStart"/>
      <w:r w:rsidRPr="00D5728A">
        <w:rPr>
          <w:rFonts w:ascii="Baskerville" w:hAnsi="Baskerville"/>
          <w:strike/>
          <w:sz w:val="20"/>
          <w:szCs w:val="20"/>
          <w:lang w:val="en-US"/>
        </w:rPr>
        <w:t>the</w:t>
      </w:r>
      <w:proofErr w:type="gramEnd"/>
      <w:r w:rsidRPr="00D5728A">
        <w:rPr>
          <w:rFonts w:ascii="Baskerville" w:hAnsi="Baskerville"/>
          <w:strike/>
          <w:sz w:val="20"/>
          <w:szCs w:val="20"/>
          <w:lang w:val="en-US"/>
        </w:rPr>
        <w:t xml:space="preserve"> Hague, March 11, 1989, asserts that “the duty of the community of nations vis-a-vis present and future generations to do all that can be done to preserve the quality of the atmosphere”. </w:t>
      </w:r>
      <w:proofErr w:type="gramStart"/>
      <w:r w:rsidRPr="00D5728A">
        <w:rPr>
          <w:rFonts w:ascii="Baskerville" w:hAnsi="Baskerville"/>
          <w:i/>
          <w:iCs/>
          <w:strike/>
          <w:sz w:val="20"/>
          <w:szCs w:val="20"/>
          <w:lang w:val="en-US"/>
        </w:rPr>
        <w:t xml:space="preserve">Hague Declaration on the Environment, </w:t>
      </w:r>
      <w:r w:rsidRPr="00D5728A">
        <w:rPr>
          <w:rFonts w:ascii="Baskerville" w:hAnsi="Baskerville"/>
          <w:iCs/>
          <w:strike/>
          <w:sz w:val="20"/>
          <w:szCs w:val="20"/>
          <w:lang w:val="en-US"/>
        </w:rPr>
        <w:t>28</w:t>
      </w:r>
      <w:r w:rsidRPr="00D5728A">
        <w:rPr>
          <w:rFonts w:ascii="Baskerville" w:hAnsi="Baskerville"/>
          <w:i/>
          <w:iCs/>
          <w:strike/>
          <w:sz w:val="20"/>
          <w:szCs w:val="20"/>
          <w:lang w:val="en-US"/>
        </w:rPr>
        <w:t xml:space="preserve"> </w:t>
      </w:r>
      <w:r w:rsidRPr="00D5728A">
        <w:rPr>
          <w:rFonts w:ascii="Baskerville" w:hAnsi="Baskerville"/>
          <w:strike/>
          <w:sz w:val="20"/>
          <w:szCs w:val="20"/>
          <w:lang w:val="en-US"/>
        </w:rPr>
        <w:t>I.L.M. 1308 (1989).</w:t>
      </w:r>
      <w:proofErr w:type="gramEnd"/>
      <w:r w:rsidRPr="00D5728A">
        <w:rPr>
          <w:rFonts w:ascii="Baskerville" w:hAnsi="Baskerville"/>
          <w:strike/>
          <w:sz w:val="20"/>
          <w:szCs w:val="20"/>
          <w:lang w:val="en-US"/>
        </w:rPr>
        <w:t xml:space="preserve"> </w:t>
      </w:r>
    </w:p>
    <w:p w:rsidR="00465E02" w:rsidRPr="00966E6C" w:rsidRDefault="00465E02" w:rsidP="00465E02">
      <w:pPr>
        <w:pStyle w:val="FootnoteText"/>
        <w:rPr>
          <w:rFonts w:ascii="Baskerville" w:hAnsi="Baskerville"/>
          <w:strike/>
          <w:sz w:val="20"/>
          <w:szCs w:val="20"/>
        </w:rPr>
      </w:pPr>
      <w:r w:rsidRPr="00D5728A">
        <w:rPr>
          <w:rStyle w:val="FootnoteReference"/>
          <w:rFonts w:ascii="Baskerville" w:hAnsi="Baskerville"/>
          <w:strike/>
          <w:sz w:val="20"/>
          <w:szCs w:val="20"/>
        </w:rPr>
        <w:footnoteRef/>
      </w:r>
      <w:r w:rsidRPr="00D5728A">
        <w:rPr>
          <w:rFonts w:ascii="Baskerville" w:hAnsi="Baskerville"/>
          <w:strike/>
          <w:sz w:val="20"/>
          <w:szCs w:val="20"/>
        </w:rPr>
        <w:t xml:space="preserve"> Some experts argue that there is sufficient state practice to support the emergence of the precautionary principle as a principle of customary international law. See T. Christoforou, “The Precautionary Principle in EC Law and Science” in J. </w:t>
      </w:r>
      <w:proofErr w:type="spellStart"/>
      <w:r w:rsidRPr="00D5728A">
        <w:rPr>
          <w:rFonts w:ascii="Baskerville" w:hAnsi="Baskerville"/>
          <w:strike/>
          <w:sz w:val="20"/>
          <w:szCs w:val="20"/>
        </w:rPr>
        <w:t>Tickner</w:t>
      </w:r>
      <w:proofErr w:type="spellEnd"/>
      <w:r w:rsidRPr="00D5728A">
        <w:rPr>
          <w:rFonts w:ascii="Baskerville" w:hAnsi="Baskerville"/>
          <w:strike/>
          <w:sz w:val="20"/>
          <w:szCs w:val="20"/>
        </w:rPr>
        <w:t xml:space="preserve"> (ed.), </w:t>
      </w:r>
      <w:r w:rsidRPr="00D5728A">
        <w:rPr>
          <w:rFonts w:ascii="Baskerville" w:hAnsi="Baskerville"/>
          <w:i/>
          <w:iCs/>
          <w:strike/>
          <w:sz w:val="20"/>
          <w:szCs w:val="20"/>
        </w:rPr>
        <w:t>Environmental Science and Preventive Public Policy</w:t>
      </w:r>
      <w:r w:rsidRPr="00D5728A">
        <w:rPr>
          <w:rFonts w:ascii="Baskerville" w:hAnsi="Baskerville"/>
          <w:strike/>
          <w:sz w:val="20"/>
          <w:szCs w:val="20"/>
        </w:rPr>
        <w:t xml:space="preserve"> (Island Press 2003), Chapter 16</w:t>
      </w:r>
      <w:proofErr w:type="gramStart"/>
      <w:r w:rsidRPr="00CA7D22">
        <w:rPr>
          <w:rFonts w:ascii="Baskerville" w:hAnsi="Baskerville"/>
          <w:sz w:val="20"/>
          <w:szCs w:val="20"/>
        </w:rPr>
        <w:t>;</w:t>
      </w:r>
      <w:proofErr w:type="gramEnd"/>
      <w:r w:rsidRPr="00CA7D22">
        <w:rPr>
          <w:rFonts w:ascii="Baskerville" w:hAnsi="Baskerville"/>
          <w:sz w:val="20"/>
          <w:szCs w:val="20"/>
        </w:rPr>
        <w:t xml:space="preserve"> J</w:t>
      </w:r>
      <w:r w:rsidRPr="00966E6C">
        <w:rPr>
          <w:rFonts w:ascii="Baskerville" w:hAnsi="Baskerville"/>
          <w:strike/>
          <w:sz w:val="20"/>
          <w:szCs w:val="20"/>
        </w:rPr>
        <w:t xml:space="preserve">. Cameron and J. Abouchar, “The Status of the Precautionary Principle in International Law,” in D. Freestone and E. Hey (eds.), </w:t>
      </w:r>
      <w:r w:rsidRPr="00966E6C">
        <w:rPr>
          <w:rFonts w:ascii="Baskerville" w:hAnsi="Baskerville"/>
          <w:i/>
          <w:iCs/>
          <w:strike/>
          <w:sz w:val="20"/>
          <w:szCs w:val="20"/>
        </w:rPr>
        <w:t>The Precautionary Principle in International Law</w:t>
      </w:r>
      <w:r w:rsidRPr="00966E6C">
        <w:rPr>
          <w:rFonts w:ascii="Baskerville" w:hAnsi="Baskerville"/>
          <w:strike/>
          <w:sz w:val="20"/>
          <w:szCs w:val="20"/>
        </w:rPr>
        <w:t xml:space="preserve"> (Kluwer 1996), p 52. However, other academics consider that the precautionary principle is not yet a principle of international law particularly given the variety of interpretations </w:t>
      </w:r>
    </w:p>
    <w:p w:rsidR="00465E02" w:rsidRPr="00D5728A" w:rsidRDefault="00465E02" w:rsidP="00465E02">
      <w:pPr>
        <w:pStyle w:val="FootnoteText"/>
        <w:rPr>
          <w:rFonts w:ascii="Baskerville" w:hAnsi="Baskerville"/>
          <w:strike/>
          <w:sz w:val="20"/>
          <w:szCs w:val="20"/>
        </w:rPr>
      </w:pPr>
      <w:r w:rsidRPr="00D5728A">
        <w:rPr>
          <w:rStyle w:val="FootnoteReference"/>
          <w:rFonts w:ascii="Baskerville" w:hAnsi="Baskerville"/>
          <w:strike/>
          <w:sz w:val="20"/>
          <w:szCs w:val="20"/>
        </w:rPr>
        <w:footnoteRef/>
      </w:r>
      <w:r w:rsidRPr="00D5728A">
        <w:rPr>
          <w:rFonts w:ascii="Baskerville" w:hAnsi="Baskerville"/>
          <w:strike/>
          <w:sz w:val="20"/>
          <w:szCs w:val="20"/>
        </w:rPr>
        <w:t xml:space="preserve"> </w:t>
      </w:r>
      <w:proofErr w:type="gramStart"/>
      <w:r w:rsidRPr="00D5728A">
        <w:rPr>
          <w:rFonts w:ascii="Baskerville" w:hAnsi="Baskerville"/>
          <w:strike/>
          <w:sz w:val="20"/>
          <w:szCs w:val="20"/>
        </w:rPr>
        <w:t>Treaty Establishing the European Economic Community, (25/3/1957), 298 U.N.T.S. 11.</w:t>
      </w:r>
      <w:proofErr w:type="gramEnd"/>
    </w:p>
    <w:p w:rsidR="00465E02" w:rsidRPr="00430B90" w:rsidRDefault="00465E02" w:rsidP="00465E02">
      <w:pPr>
        <w:pStyle w:val="FootnoteText"/>
        <w:rPr>
          <w:rFonts w:ascii="Baskerville" w:hAnsi="Baskerville"/>
          <w:sz w:val="20"/>
          <w:szCs w:val="20"/>
          <w:lang w:val="en-US"/>
        </w:rPr>
      </w:pPr>
    </w:p>
    <w:p w:rsidR="00465E02" w:rsidRPr="00D5728A" w:rsidRDefault="00465E02" w:rsidP="00465E02">
      <w:pPr>
        <w:pStyle w:val="FootnoteText"/>
        <w:rPr>
          <w:rFonts w:ascii="Baskerville" w:hAnsi="Baskerville"/>
          <w:strike/>
          <w:sz w:val="20"/>
          <w:szCs w:val="20"/>
          <w:highlight w:val="darkGreen"/>
        </w:rPr>
      </w:pPr>
      <w:r w:rsidRPr="00D5728A">
        <w:rPr>
          <w:rStyle w:val="FootnoteReference"/>
          <w:rFonts w:ascii="Baskerville" w:hAnsi="Baskerville"/>
          <w:strike/>
          <w:sz w:val="20"/>
          <w:szCs w:val="20"/>
        </w:rPr>
        <w:footnoteRef/>
      </w:r>
      <w:r w:rsidRPr="00D5728A">
        <w:rPr>
          <w:rFonts w:ascii="Baskerville" w:hAnsi="Baskerville"/>
          <w:strike/>
          <w:sz w:val="20"/>
          <w:szCs w:val="20"/>
        </w:rPr>
        <w:t xml:space="preserve"> </w:t>
      </w:r>
      <w:proofErr w:type="gramStart"/>
      <w:r w:rsidRPr="00D5728A">
        <w:rPr>
          <w:rFonts w:ascii="Baskerville" w:hAnsi="Baskerville"/>
          <w:strike/>
          <w:sz w:val="20"/>
          <w:szCs w:val="20"/>
        </w:rPr>
        <w:t xml:space="preserve">Case C-157/96 </w:t>
      </w:r>
      <w:r w:rsidRPr="00D5728A">
        <w:rPr>
          <w:rFonts w:ascii="Baskerville" w:hAnsi="Baskerville"/>
          <w:i/>
          <w:strike/>
          <w:sz w:val="20"/>
          <w:szCs w:val="20"/>
        </w:rPr>
        <w:t>BSE</w:t>
      </w:r>
      <w:r w:rsidRPr="00D5728A">
        <w:rPr>
          <w:rFonts w:ascii="Baskerville" w:hAnsi="Baskerville"/>
          <w:strike/>
          <w:sz w:val="20"/>
          <w:szCs w:val="20"/>
        </w:rPr>
        <w:t xml:space="preserve"> (1998) ECR1-2211; Case T-13/99 </w:t>
      </w:r>
      <w:proofErr w:type="spellStart"/>
      <w:r w:rsidRPr="00D5728A">
        <w:rPr>
          <w:rFonts w:ascii="Baskerville" w:hAnsi="Baskerville"/>
          <w:i/>
          <w:strike/>
          <w:sz w:val="20"/>
          <w:szCs w:val="20"/>
        </w:rPr>
        <w:t>Pifzer</w:t>
      </w:r>
      <w:proofErr w:type="spellEnd"/>
      <w:r w:rsidRPr="00D5728A">
        <w:rPr>
          <w:rFonts w:ascii="Baskerville" w:hAnsi="Baskerville"/>
          <w:strike/>
          <w:sz w:val="20"/>
          <w:szCs w:val="20"/>
        </w:rPr>
        <w:t xml:space="preserve"> (2002) ECR 11-3305, and Case T-70/99 </w:t>
      </w:r>
      <w:proofErr w:type="spellStart"/>
      <w:r w:rsidRPr="00D5728A">
        <w:rPr>
          <w:rFonts w:ascii="Baskerville" w:hAnsi="Baskerville"/>
          <w:i/>
          <w:strike/>
          <w:sz w:val="20"/>
          <w:szCs w:val="20"/>
        </w:rPr>
        <w:t>Alpharama</w:t>
      </w:r>
      <w:proofErr w:type="spellEnd"/>
      <w:r w:rsidRPr="00D5728A">
        <w:rPr>
          <w:rFonts w:ascii="Baskerville" w:hAnsi="Baskerville"/>
          <w:strike/>
          <w:sz w:val="20"/>
          <w:szCs w:val="20"/>
        </w:rPr>
        <w:t xml:space="preserve"> (2002) ECR 11-3945.</w:t>
      </w:r>
      <w:proofErr w:type="gramEnd"/>
      <w:r w:rsidRPr="00D5728A">
        <w:rPr>
          <w:rFonts w:ascii="Baskerville" w:hAnsi="Baskerville"/>
          <w:strike/>
          <w:sz w:val="20"/>
          <w:szCs w:val="20"/>
        </w:rPr>
        <w:t xml:space="preserve"> For an in-depth treatment of these cases</w:t>
      </w:r>
    </w:p>
    <w:p w:rsidR="00465E02" w:rsidRPr="006F15A0" w:rsidRDefault="00465E02" w:rsidP="00465E02">
      <w:pPr>
        <w:pStyle w:val="FootnoteText"/>
        <w:rPr>
          <w:rFonts w:ascii="Baskerville" w:hAnsi="Baskerville"/>
          <w:sz w:val="20"/>
          <w:szCs w:val="20"/>
          <w:lang w:val="en-US"/>
        </w:rPr>
      </w:pPr>
    </w:p>
    <w:p w:rsidR="00F24624" w:rsidRDefault="00F24624"/>
    <w:sectPr w:rsidR="00F24624" w:rsidSect="000B5C4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Baskerville">
    <w:panose1 w:val="02020502070401020303"/>
    <w:charset w:val="00"/>
    <w:family w:val="auto"/>
    <w:pitch w:val="variable"/>
    <w:sig w:usb0="80000067" w:usb1="00000000"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E02"/>
    <w:rsid w:val="000B5C46"/>
    <w:rsid w:val="00465E02"/>
    <w:rsid w:val="00966E6C"/>
    <w:rsid w:val="00D5728A"/>
    <w:rsid w:val="00F2462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465E02"/>
  </w:style>
  <w:style w:type="character" w:customStyle="1" w:styleId="FootnoteTextChar">
    <w:name w:val="Footnote Text Char"/>
    <w:basedOn w:val="DefaultParagraphFont"/>
    <w:link w:val="FootnoteText"/>
    <w:uiPriority w:val="99"/>
    <w:rsid w:val="00465E02"/>
  </w:style>
  <w:style w:type="character" w:styleId="FootnoteReference">
    <w:name w:val="footnote reference"/>
    <w:basedOn w:val="DefaultParagraphFont"/>
    <w:uiPriority w:val="99"/>
    <w:unhideWhenUsed/>
    <w:rsid w:val="00465E02"/>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465E02"/>
  </w:style>
  <w:style w:type="character" w:customStyle="1" w:styleId="FootnoteTextChar">
    <w:name w:val="Footnote Text Char"/>
    <w:basedOn w:val="DefaultParagraphFont"/>
    <w:link w:val="FootnoteText"/>
    <w:uiPriority w:val="99"/>
    <w:rsid w:val="00465E02"/>
  </w:style>
  <w:style w:type="character" w:styleId="FootnoteReference">
    <w:name w:val="footnote reference"/>
    <w:basedOn w:val="DefaultParagraphFont"/>
    <w:uiPriority w:val="99"/>
    <w:unhideWhenUsed/>
    <w:rsid w:val="00465E0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552</Words>
  <Characters>3153</Characters>
  <Application>Microsoft Macintosh Word</Application>
  <DocSecurity>0</DocSecurity>
  <Lines>26</Lines>
  <Paragraphs>7</Paragraphs>
  <ScaleCrop>false</ScaleCrop>
  <Company>Home</Company>
  <LinksUpToDate>false</LinksUpToDate>
  <CharactersWithSpaces>3698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Olsen</dc:creator>
  <cp:keywords/>
  <dc:description/>
  <cp:lastModifiedBy>Christopher Olsen</cp:lastModifiedBy>
  <cp:revision>2</cp:revision>
  <dcterms:created xsi:type="dcterms:W3CDTF">2017-01-31T11:25:00Z</dcterms:created>
  <dcterms:modified xsi:type="dcterms:W3CDTF">2017-01-31T11:25:00Z</dcterms:modified>
</cp:coreProperties>
</file>