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43E4BD" w14:textId="77777777" w:rsidR="009665A9" w:rsidRDefault="009665A9" w:rsidP="00B23823">
      <w:pPr>
        <w:rPr>
          <w:rFonts w:asciiTheme="majorHAnsi" w:hAnsiTheme="majorHAnsi"/>
          <w:b/>
          <w:sz w:val="28"/>
          <w:szCs w:val="28"/>
        </w:rPr>
      </w:pPr>
      <w:bookmarkStart w:id="0" w:name="_GoBack"/>
      <w:bookmarkEnd w:id="0"/>
    </w:p>
    <w:p w14:paraId="0DAB1209" w14:textId="77777777" w:rsidR="00B23823" w:rsidRDefault="00B23823" w:rsidP="00B23823">
      <w:pPr>
        <w:rPr>
          <w:rFonts w:asciiTheme="majorHAnsi" w:hAnsiTheme="majorHAnsi"/>
          <w:b/>
          <w:sz w:val="28"/>
          <w:szCs w:val="28"/>
        </w:rPr>
      </w:pPr>
      <w:r w:rsidRPr="005C572C">
        <w:rPr>
          <w:rFonts w:asciiTheme="majorHAnsi" w:hAnsiTheme="majorHAnsi"/>
          <w:b/>
          <w:sz w:val="28"/>
          <w:szCs w:val="28"/>
        </w:rPr>
        <w:t>“Assess whether there is a right to self-defence against non-state actors. Illustrate your answer, in particular refer to the Islamic State in Iraq and the Levant.”</w:t>
      </w:r>
    </w:p>
    <w:p w14:paraId="76DFA1FB" w14:textId="77777777" w:rsidR="009665A9" w:rsidRDefault="009665A9" w:rsidP="00B23823">
      <w:pPr>
        <w:rPr>
          <w:rFonts w:asciiTheme="majorHAnsi" w:hAnsiTheme="majorHAnsi"/>
          <w:b/>
          <w:sz w:val="28"/>
          <w:szCs w:val="28"/>
        </w:rPr>
      </w:pPr>
    </w:p>
    <w:p w14:paraId="7C561BA8" w14:textId="77777777" w:rsidR="009665A9" w:rsidRPr="00612594" w:rsidRDefault="009665A9" w:rsidP="00B23823">
      <w:pPr>
        <w:rPr>
          <w:rFonts w:asciiTheme="majorHAnsi" w:hAnsiTheme="majorHAnsi"/>
          <w:b/>
          <w:sz w:val="28"/>
          <w:szCs w:val="28"/>
          <w:u w:val="single"/>
        </w:rPr>
      </w:pPr>
    </w:p>
    <w:p w14:paraId="0E6FF771" w14:textId="77777777" w:rsidR="005B2596" w:rsidRPr="00612594" w:rsidRDefault="00612594">
      <w:pPr>
        <w:rPr>
          <w:b/>
          <w:u w:val="single"/>
        </w:rPr>
      </w:pPr>
      <w:r w:rsidRPr="00612594">
        <w:rPr>
          <w:b/>
          <w:u w:val="single"/>
        </w:rPr>
        <w:t>Introduction:</w:t>
      </w:r>
    </w:p>
    <w:p w14:paraId="787463D1" w14:textId="77777777" w:rsidR="009665A9" w:rsidRDefault="009665A9"/>
    <w:p w14:paraId="24264ADA" w14:textId="39BE331E" w:rsidR="00872520" w:rsidRDefault="00E55EDF" w:rsidP="005A4218">
      <w:pPr>
        <w:spacing w:line="360" w:lineRule="auto"/>
        <w:jc w:val="both"/>
      </w:pPr>
      <w:r>
        <w:t>The debate concerning the use of self-defence against non-state history has</w:t>
      </w:r>
      <w:r w:rsidR="000A5F1C">
        <w:t xml:space="preserve"> a long history. Although there might have hardly been anyone during the UN Charter drafting period, who might have assumed that an armed attack could be initiated by someone other than State, the nature of the Cold War and continuing decolonization </w:t>
      </w:r>
      <w:r w:rsidR="000A5F1C">
        <w:rPr>
          <w:lang w:val="en-US"/>
        </w:rPr>
        <w:t>forced the international community to return to this topi</w:t>
      </w:r>
      <w:r w:rsidR="00C15C5D">
        <w:rPr>
          <w:lang w:val="en-US"/>
        </w:rPr>
        <w:t>c.</w:t>
      </w:r>
      <w:r w:rsidR="00EF6C9D">
        <w:rPr>
          <w:lang w:val="en-US"/>
        </w:rPr>
        <w:t xml:space="preserve"> The first incidents of self-defense against non-state actors during the 1950’s and 1960’s</w:t>
      </w:r>
      <w:r w:rsidR="00B83D9F">
        <w:rPr>
          <w:lang w:val="en-US"/>
        </w:rPr>
        <w:t>, and</w:t>
      </w:r>
      <w:r w:rsidR="00EF6C9D">
        <w:rPr>
          <w:lang w:val="en-US"/>
        </w:rPr>
        <w:t xml:space="preserve"> led to important disputes </w:t>
      </w:r>
      <w:r w:rsidR="00B83D9F">
        <w:rPr>
          <w:lang w:val="en-US"/>
        </w:rPr>
        <w:t>considering</w:t>
      </w:r>
      <w:r w:rsidR="00EF6C9D">
        <w:rPr>
          <w:lang w:val="en-US"/>
        </w:rPr>
        <w:t xml:space="preserve"> </w:t>
      </w:r>
      <w:r w:rsidR="00B83D9F">
        <w:rPr>
          <w:lang w:val="en-US"/>
        </w:rPr>
        <w:t>the use of self-defence against the acts</w:t>
      </w:r>
      <w:r w:rsidR="00E60FD7">
        <w:rPr>
          <w:lang w:val="en-US"/>
        </w:rPr>
        <w:t xml:space="preserve"> of indirect aggression. At the same time, it was largely accepted that in order to amount to an armed attack under Article 51 UN Charter, the actions of a non-state actor should not only be of a sufficient gravity, but also be attributed to a State to a significant extent. </w:t>
      </w:r>
      <w:r w:rsidR="00553963">
        <w:rPr>
          <w:lang w:val="en-US"/>
        </w:rPr>
        <w:t xml:space="preserve">It was, perhaps, only after the </w:t>
      </w:r>
      <w:r w:rsidR="0007253E">
        <w:rPr>
          <w:lang w:val="en-US"/>
        </w:rPr>
        <w:t>September 11</w:t>
      </w:r>
      <w:r w:rsidR="00553963">
        <w:rPr>
          <w:lang w:val="en-US"/>
        </w:rPr>
        <w:t xml:space="preserve"> </w:t>
      </w:r>
      <w:r w:rsidR="0007253E">
        <w:rPr>
          <w:lang w:val="en-US"/>
        </w:rPr>
        <w:t xml:space="preserve">terrorist </w:t>
      </w:r>
      <w:r w:rsidR="00553963">
        <w:rPr>
          <w:lang w:val="en-US"/>
        </w:rPr>
        <w:t xml:space="preserve">attacks and the subsequent </w:t>
      </w:r>
      <w:r w:rsidR="00553963">
        <w:t>UN Security Council Resolutions 1368 and 1373, when the position that Article 51 UN Charter may be in certain circumstances invoked directly against a non-state actor started to gai</w:t>
      </w:r>
      <w:r w:rsidR="0007253E">
        <w:t>n wider support among the States</w:t>
      </w:r>
      <w:r w:rsidR="00553963">
        <w:t>. The aim of this essay is therefore to assess whether</w:t>
      </w:r>
      <w:r w:rsidR="0007253E">
        <w:t xml:space="preserve"> an</w:t>
      </w:r>
      <w:r w:rsidR="007644FA">
        <w:t>d</w:t>
      </w:r>
      <w:r w:rsidR="0007253E">
        <w:t xml:space="preserve"> in which cases</w:t>
      </w:r>
      <w:r w:rsidR="00553963">
        <w:t xml:space="preserve"> there is a right to self-defence against non-state actors.</w:t>
      </w:r>
      <w:r w:rsidR="0040387A">
        <w:t xml:space="preserve"> </w:t>
      </w:r>
      <w:r w:rsidR="004E000A">
        <w:t xml:space="preserve">The essay will go through the different categories of law sources in order to depict the major arguments of this debate. </w:t>
      </w:r>
      <w:r w:rsidR="0040387A">
        <w:t>It</w:t>
      </w:r>
      <w:r w:rsidR="007C5937">
        <w:t xml:space="preserve"> will firstly</w:t>
      </w:r>
      <w:r w:rsidR="006A156A">
        <w:t xml:space="preserve"> provide interpretation of Art 2(4) and 51 and look at methodological approaches</w:t>
      </w:r>
      <w:r w:rsidR="007C5937">
        <w:t xml:space="preserve">. It will afterwards take into account relevant case law, including the </w:t>
      </w:r>
      <w:r w:rsidR="007C5937" w:rsidRPr="001225BC">
        <w:rPr>
          <w:i/>
        </w:rPr>
        <w:t>Nicaragua</w:t>
      </w:r>
      <w:r w:rsidR="00D060F7">
        <w:t xml:space="preserve"> case (1986)</w:t>
      </w:r>
      <w:r w:rsidR="007C5937">
        <w:t xml:space="preserve">, </w:t>
      </w:r>
      <w:r w:rsidR="001225BC" w:rsidRPr="001225BC">
        <w:rPr>
          <w:i/>
        </w:rPr>
        <w:t>Palestinian Wall Advisory Opinion</w:t>
      </w:r>
      <w:r w:rsidR="007C5937">
        <w:t xml:space="preserve"> (2004) and </w:t>
      </w:r>
      <w:r w:rsidR="001225BC" w:rsidRPr="001225BC">
        <w:rPr>
          <w:i/>
        </w:rPr>
        <w:t>DRC v Uganda</w:t>
      </w:r>
      <w:r w:rsidR="002257B1">
        <w:t xml:space="preserve"> (2005). Thirdly, the essay will consider</w:t>
      </w:r>
      <w:r w:rsidR="00193601">
        <w:t xml:space="preserve"> certain examples of</w:t>
      </w:r>
      <w:r w:rsidR="002257B1">
        <w:t xml:space="preserve"> state practice </w:t>
      </w:r>
      <w:r w:rsidR="00EA41F7">
        <w:t>and the reactions of States towards the use of self-defence against non-state actors. Lastly, a closer look to a particular case of using self-defence against the Islamic State in Iraq and the Levant will be</w:t>
      </w:r>
      <w:r w:rsidR="006A156A">
        <w:t xml:space="preserve"> taken</w:t>
      </w:r>
      <w:r w:rsidR="00EA41F7">
        <w:t xml:space="preserve"> in order to</w:t>
      </w:r>
      <w:r w:rsidR="006A156A">
        <w:t xml:space="preserve"> </w:t>
      </w:r>
      <w:r w:rsidR="00AB00E0">
        <w:t>better</w:t>
      </w:r>
      <w:r w:rsidR="006A156A">
        <w:t xml:space="preserve"> illustrate contemporary changes and tendencies in customary law</w:t>
      </w:r>
      <w:r w:rsidR="00EA41F7">
        <w:t xml:space="preserve">. The </w:t>
      </w:r>
      <w:r w:rsidR="00764720">
        <w:t>final conclusion of this essay is based on two main points. Firstly,</w:t>
      </w:r>
      <w:r w:rsidR="00EA41F7">
        <w:t xml:space="preserve"> </w:t>
      </w:r>
      <w:r w:rsidR="006F0636">
        <w:t xml:space="preserve">self-defence may certainly be used against non-state actors, </w:t>
      </w:r>
      <w:r w:rsidR="006F0636">
        <w:lastRenderedPageBreak/>
        <w:t>in case if their actions are of a significant gravity and if there is a significant amount of State involvement.</w:t>
      </w:r>
      <w:r w:rsidR="006F0636">
        <w:rPr>
          <w:rStyle w:val="FootnoteReference"/>
        </w:rPr>
        <w:footnoteReference w:id="1"/>
      </w:r>
      <w:r w:rsidR="0057411F">
        <w:t xml:space="preserve"> </w:t>
      </w:r>
      <w:r w:rsidR="00764720">
        <w:t xml:space="preserve">Secondly, </w:t>
      </w:r>
      <w:r w:rsidR="00F34002">
        <w:t>although there are some strong arguments including the ICJ judgements</w:t>
      </w:r>
      <w:r w:rsidR="006A156A">
        <w:t xml:space="preserve"> and previous state practice</w:t>
      </w:r>
      <w:r w:rsidR="00F34002">
        <w:t xml:space="preserve">, the more recent state practice and </w:t>
      </w:r>
      <w:r w:rsidR="006A156A">
        <w:t>state opinion</w:t>
      </w:r>
      <w:r w:rsidR="00F34002">
        <w:t xml:space="preserve"> (although being </w:t>
      </w:r>
      <w:r w:rsidR="006A156A">
        <w:t xml:space="preserve">quite mixed and </w:t>
      </w:r>
      <w:r w:rsidR="00F34002">
        <w:t xml:space="preserve">ambiguous) suggests that the international community </w:t>
      </w:r>
      <w:r w:rsidR="00FB399F">
        <w:t>might be slowly</w:t>
      </w:r>
      <w:r w:rsidR="00F34002">
        <w:t xml:space="preserve"> </w:t>
      </w:r>
      <w:r w:rsidR="006A156A">
        <w:t>moving towards</w:t>
      </w:r>
      <w:r w:rsidR="00FB399F">
        <w:t xml:space="preserve"> accepting</w:t>
      </w:r>
      <w:r w:rsidR="006A156A">
        <w:t xml:space="preserve"> a broader interpretation of Art 51</w:t>
      </w:r>
      <w:r w:rsidR="00FB399F">
        <w:t xml:space="preserve">. </w:t>
      </w:r>
    </w:p>
    <w:p w14:paraId="6C1265D5" w14:textId="77777777" w:rsidR="00CB7FE5" w:rsidRDefault="00CB7FE5" w:rsidP="005A4218">
      <w:pPr>
        <w:spacing w:line="360" w:lineRule="auto"/>
        <w:jc w:val="both"/>
      </w:pPr>
    </w:p>
    <w:p w14:paraId="6EA979D6" w14:textId="77777777" w:rsidR="00612594" w:rsidRDefault="00612594" w:rsidP="005A4218">
      <w:pPr>
        <w:spacing w:line="360" w:lineRule="auto"/>
        <w:jc w:val="both"/>
      </w:pPr>
    </w:p>
    <w:p w14:paraId="76B40345" w14:textId="77777777" w:rsidR="00612594" w:rsidRPr="00612594" w:rsidRDefault="00612594" w:rsidP="005A4218">
      <w:pPr>
        <w:spacing w:line="360" w:lineRule="auto"/>
        <w:jc w:val="both"/>
        <w:rPr>
          <w:b/>
          <w:u w:val="single"/>
        </w:rPr>
      </w:pPr>
      <w:r w:rsidRPr="00612594">
        <w:rPr>
          <w:b/>
          <w:u w:val="single"/>
        </w:rPr>
        <w:t>Interpretation of Art 2(4) and 51 of the UN Charter and Methodological Approach to the Topic:</w:t>
      </w:r>
    </w:p>
    <w:p w14:paraId="72EE6A12" w14:textId="77777777" w:rsidR="00612594" w:rsidRDefault="00612594" w:rsidP="005A4218">
      <w:pPr>
        <w:spacing w:line="360" w:lineRule="auto"/>
        <w:jc w:val="both"/>
      </w:pPr>
    </w:p>
    <w:p w14:paraId="3F68260E" w14:textId="77777777" w:rsidR="00692E4B" w:rsidRPr="00692E4B" w:rsidRDefault="00B14C7E" w:rsidP="005A4218">
      <w:pPr>
        <w:spacing w:line="360" w:lineRule="auto"/>
        <w:jc w:val="both"/>
        <w:rPr>
          <w:rFonts w:eastAsia="Times New Roman" w:cs="Times New Roman"/>
        </w:rPr>
      </w:pPr>
      <w:r>
        <w:t>In order to address the issue raised in this essay, it is first of all important to decide how to approach the interpretation of the relevant Articles of the UN Charter and to clarify certain issues concerning them.</w:t>
      </w:r>
      <w:r w:rsidR="00B91A1C">
        <w:t xml:space="preserve"> It is mentioned in the Article 51 of the Charter that self-defence has a</w:t>
      </w:r>
      <w:r w:rsidR="00BE4A8D">
        <w:t xml:space="preserve">n inherent nature, a reference, which </w:t>
      </w:r>
      <w:r w:rsidR="00BE4A8D" w:rsidRPr="00692E4B">
        <w:t>is almost always regarded as underlining the customary nature of this right</w:t>
      </w:r>
      <w:r w:rsidR="00BE4A8D" w:rsidRPr="00692E4B">
        <w:rPr>
          <w:rStyle w:val="FootnoteReference"/>
        </w:rPr>
        <w:footnoteReference w:id="2"/>
      </w:r>
      <w:r w:rsidR="00BE4A8D" w:rsidRPr="00692E4B">
        <w:t xml:space="preserve">. </w:t>
      </w:r>
      <w:r w:rsidR="00692E4B" w:rsidRPr="00692E4B">
        <w:t xml:space="preserve">The ICJ recognized in </w:t>
      </w:r>
      <w:r w:rsidR="00692E4B" w:rsidRPr="00607AAD">
        <w:rPr>
          <w:i/>
        </w:rPr>
        <w:t>Nicaragua</w:t>
      </w:r>
      <w:r w:rsidR="00692E4B" w:rsidRPr="00692E4B">
        <w:t xml:space="preserve"> judgement that </w:t>
      </w:r>
      <w:r w:rsidR="00692E4B" w:rsidRPr="00AB00E0">
        <w:rPr>
          <w:b/>
        </w:rPr>
        <w:t>the UN Charter “</w:t>
      </w:r>
      <w:r w:rsidR="00692E4B" w:rsidRPr="00AB00E0">
        <w:rPr>
          <w:rFonts w:eastAsia="Times New Roman" w:cs="Times New Roman"/>
          <w:b/>
        </w:rPr>
        <w:t>by no means covers the whole area of the regulation of the use of force in international relations”.</w:t>
      </w:r>
      <w:r w:rsidR="00692E4B" w:rsidRPr="00AB00E0">
        <w:rPr>
          <w:rStyle w:val="FootnoteReference"/>
          <w:rFonts w:eastAsia="Times New Roman" w:cs="Times New Roman"/>
          <w:b/>
        </w:rPr>
        <w:footnoteReference w:id="3"/>
      </w:r>
      <w:r w:rsidR="00692E4B" w:rsidRPr="00AB00E0">
        <w:rPr>
          <w:rFonts w:eastAsia="Times New Roman" w:cs="Times New Roman"/>
          <w:b/>
        </w:rPr>
        <w:t xml:space="preserve"> </w:t>
      </w:r>
      <w:r w:rsidR="00F6350F">
        <w:rPr>
          <w:rFonts w:eastAsia="Times New Roman" w:cs="Times New Roman"/>
        </w:rPr>
        <w:t>The examples, as mentioned by the Court include the fact that the definition of  ‘</w:t>
      </w:r>
      <w:r w:rsidR="00F6350F" w:rsidRPr="00AB00E0">
        <w:rPr>
          <w:rFonts w:eastAsia="Times New Roman" w:cs="Times New Roman"/>
          <w:u w:val="single"/>
        </w:rPr>
        <w:t>armed attack’</w:t>
      </w:r>
      <w:r w:rsidR="00F6350F">
        <w:rPr>
          <w:rFonts w:eastAsia="Times New Roman" w:cs="Times New Roman"/>
        </w:rPr>
        <w:t xml:space="preserve"> is not given by the UN Charter or any other treaty and therefore it should be sought in custom. Moreover, the criteria of </w:t>
      </w:r>
      <w:r w:rsidR="00F6350F" w:rsidRPr="00AB00E0">
        <w:rPr>
          <w:rFonts w:eastAsia="Times New Roman" w:cs="Times New Roman"/>
          <w:u w:val="single"/>
        </w:rPr>
        <w:t>necessity and proportionality</w:t>
      </w:r>
      <w:r w:rsidR="00F6350F">
        <w:rPr>
          <w:rFonts w:eastAsia="Times New Roman" w:cs="Times New Roman"/>
        </w:rPr>
        <w:t xml:space="preserve">, which </w:t>
      </w:r>
      <w:r w:rsidR="004669FC">
        <w:rPr>
          <w:rFonts w:eastAsia="Times New Roman" w:cs="Times New Roman"/>
        </w:rPr>
        <w:t>was confirmed</w:t>
      </w:r>
      <w:r w:rsidR="007B42A0">
        <w:rPr>
          <w:rStyle w:val="FootnoteReference"/>
          <w:rFonts w:eastAsia="Times New Roman" w:cs="Times New Roman"/>
        </w:rPr>
        <w:footnoteReference w:id="4"/>
      </w:r>
      <w:r w:rsidR="004669FC">
        <w:rPr>
          <w:rFonts w:eastAsia="Times New Roman" w:cs="Times New Roman"/>
        </w:rPr>
        <w:t xml:space="preserve"> by</w:t>
      </w:r>
      <w:r w:rsidR="00607AAD">
        <w:rPr>
          <w:rFonts w:eastAsia="Times New Roman" w:cs="Times New Roman"/>
        </w:rPr>
        <w:t xml:space="preserve"> the </w:t>
      </w:r>
      <w:r w:rsidR="00607AAD" w:rsidRPr="00607AAD">
        <w:rPr>
          <w:rFonts w:eastAsia="Times New Roman" w:cs="Times New Roman"/>
          <w:i/>
        </w:rPr>
        <w:t>Caroline</w:t>
      </w:r>
      <w:r w:rsidR="004669FC">
        <w:rPr>
          <w:rFonts w:eastAsia="Times New Roman" w:cs="Times New Roman"/>
        </w:rPr>
        <w:t xml:space="preserve"> case</w:t>
      </w:r>
      <w:r w:rsidR="007B42A0">
        <w:rPr>
          <w:rStyle w:val="FootnoteReference"/>
          <w:rFonts w:eastAsia="Times New Roman" w:cs="Times New Roman"/>
        </w:rPr>
        <w:footnoteReference w:id="5"/>
      </w:r>
      <w:r w:rsidR="004669FC">
        <w:rPr>
          <w:rFonts w:eastAsia="Times New Roman" w:cs="Times New Roman"/>
        </w:rPr>
        <w:t>, existed long before the creation of the Charter and continue to be the part of customary law.</w:t>
      </w:r>
      <w:r w:rsidR="005B4B9E">
        <w:rPr>
          <w:rStyle w:val="FootnoteReference"/>
          <w:rFonts w:eastAsia="Times New Roman" w:cs="Times New Roman"/>
        </w:rPr>
        <w:footnoteReference w:id="6"/>
      </w:r>
      <w:r w:rsidR="004669FC">
        <w:rPr>
          <w:rFonts w:eastAsia="Times New Roman" w:cs="Times New Roman"/>
        </w:rPr>
        <w:t xml:space="preserve"> </w:t>
      </w:r>
    </w:p>
    <w:p w14:paraId="1988C81F" w14:textId="77777777" w:rsidR="00113241" w:rsidRDefault="00113241" w:rsidP="005A4218">
      <w:pPr>
        <w:spacing w:line="360" w:lineRule="auto"/>
        <w:jc w:val="both"/>
      </w:pPr>
    </w:p>
    <w:p w14:paraId="496A5296" w14:textId="77777777" w:rsidR="005A4218" w:rsidRDefault="005A4218" w:rsidP="005A4218">
      <w:pPr>
        <w:spacing w:line="360" w:lineRule="auto"/>
        <w:jc w:val="both"/>
      </w:pPr>
    </w:p>
    <w:p w14:paraId="0EEF23BB" w14:textId="77777777" w:rsidR="005A4218" w:rsidRDefault="005A4218" w:rsidP="005A4218">
      <w:pPr>
        <w:spacing w:line="360" w:lineRule="auto"/>
        <w:jc w:val="both"/>
      </w:pPr>
    </w:p>
    <w:p w14:paraId="073A6B3E" w14:textId="77777777" w:rsidR="005A4218" w:rsidRDefault="005A4218" w:rsidP="005A4218">
      <w:pPr>
        <w:spacing w:line="360" w:lineRule="auto"/>
        <w:jc w:val="both"/>
      </w:pPr>
    </w:p>
    <w:p w14:paraId="2F72095B" w14:textId="77777777" w:rsidR="007D4022" w:rsidRDefault="007B42A0" w:rsidP="005A4218">
      <w:pPr>
        <w:spacing w:line="360" w:lineRule="auto"/>
        <w:jc w:val="both"/>
        <w:rPr>
          <w:lang w:val="en-US"/>
        </w:rPr>
      </w:pPr>
      <w:r>
        <w:t xml:space="preserve">Therefore, </w:t>
      </w:r>
      <w:r w:rsidR="00FC6170">
        <w:t>a</w:t>
      </w:r>
      <w:r w:rsidRPr="00692E4B">
        <w:t xml:space="preserve">s the </w:t>
      </w:r>
      <w:r w:rsidRPr="00AB00E0">
        <w:rPr>
          <w:b/>
        </w:rPr>
        <w:t>prohibition of the use of force</w:t>
      </w:r>
      <w:r w:rsidRPr="00692E4B">
        <w:t xml:space="preserve"> appeared only in the first half of the 20</w:t>
      </w:r>
      <w:r w:rsidRPr="00692E4B">
        <w:rPr>
          <w:vertAlign w:val="superscript"/>
        </w:rPr>
        <w:t>th</w:t>
      </w:r>
      <w:r w:rsidRPr="00692E4B">
        <w:t xml:space="preserve"> century and was largely considered an innovation in public international law, it is necessary to understand which </w:t>
      </w:r>
      <w:r w:rsidRPr="00AB00E0">
        <w:rPr>
          <w:b/>
        </w:rPr>
        <w:t>impact it has on the preceding customary law of self-defence.</w:t>
      </w:r>
      <w:r w:rsidR="00FC6170">
        <w:t xml:space="preserve"> </w:t>
      </w:r>
      <w:r w:rsidR="00FC6170" w:rsidRPr="00AB00E0">
        <w:rPr>
          <w:u w:val="single"/>
        </w:rPr>
        <w:t>One group of academics, have consistently argued that Art 2(4) and Art 51</w:t>
      </w:r>
      <w:r w:rsidR="00FC6170" w:rsidRPr="00AB00E0">
        <w:rPr>
          <w:rStyle w:val="FootnoteReference"/>
          <w:u w:val="single"/>
        </w:rPr>
        <w:footnoteReference w:id="7"/>
      </w:r>
      <w:r w:rsidR="00FC6170" w:rsidRPr="00AB00E0">
        <w:rPr>
          <w:u w:val="single"/>
        </w:rPr>
        <w:t xml:space="preserve"> had no effect on the pre-existing customary law</w:t>
      </w:r>
      <w:r w:rsidR="00FC6170">
        <w:t xml:space="preserve"> on the use of self-defence and as a result believe that </w:t>
      </w:r>
      <w:r w:rsidR="00912812">
        <w:t>the such rights, as for instance the use of force against imminent or non-imminent threats of attack or the right to protect nationals abroad</w:t>
      </w:r>
      <w:r w:rsidR="00D11F26">
        <w:t xml:space="preserve"> or even the use of armed reprisals</w:t>
      </w:r>
      <w:r w:rsidR="00912812">
        <w:t xml:space="preserve"> continued to exist even after the creation of the UN Charter.</w:t>
      </w:r>
      <w:r w:rsidR="009C6EE2">
        <w:rPr>
          <w:rStyle w:val="FootnoteReference"/>
        </w:rPr>
        <w:footnoteReference w:id="8"/>
      </w:r>
      <w:r w:rsidR="00912812">
        <w:t xml:space="preserve"> </w:t>
      </w:r>
      <w:r w:rsidR="00912812" w:rsidRPr="00AB00E0">
        <w:rPr>
          <w:u w:val="single"/>
        </w:rPr>
        <w:t>The majority of academics</w:t>
      </w:r>
      <w:r w:rsidR="00912812">
        <w:t>, however, do not share this opinion.</w:t>
      </w:r>
      <w:r w:rsidR="00A52127">
        <w:rPr>
          <w:rStyle w:val="FootnoteReference"/>
        </w:rPr>
        <w:footnoteReference w:id="9"/>
      </w:r>
      <w:r w:rsidR="00912812">
        <w:t xml:space="preserve"> </w:t>
      </w:r>
      <w:r w:rsidR="009D265F" w:rsidRPr="00AB00E0">
        <w:rPr>
          <w:u w:val="single"/>
        </w:rPr>
        <w:t>Firstly</w:t>
      </w:r>
      <w:r w:rsidR="00D11F26" w:rsidRPr="00AB00E0">
        <w:rPr>
          <w:u w:val="single"/>
        </w:rPr>
        <w:t>,</w:t>
      </w:r>
      <w:r w:rsidR="00D11F26">
        <w:t xml:space="preserve"> it is necessary to take into account the historical context of the creation of the UN Charter as well as its main purposes</w:t>
      </w:r>
      <w:r w:rsidR="009C6EE2">
        <w:t xml:space="preserve"> and aims</w:t>
      </w:r>
      <w:r w:rsidR="009D265F">
        <w:t xml:space="preserve">. </w:t>
      </w:r>
      <w:r w:rsidR="009D265F" w:rsidRPr="00AB00E0">
        <w:rPr>
          <w:u w:val="single"/>
        </w:rPr>
        <w:t>Moreover,</w:t>
      </w:r>
      <w:r w:rsidR="009D265F">
        <w:t xml:space="preserve"> it is also possible to argue that the creators of the Charter aimed to expressly exclude that part of customary law, which is inconsistent with the purposes of the UN by the adoption of Articles 2(4) and 51.</w:t>
      </w:r>
      <w:r w:rsidR="00625B84">
        <w:t xml:space="preserve"> </w:t>
      </w:r>
      <w:r w:rsidR="00625B84" w:rsidRPr="00AB00E0">
        <w:rPr>
          <w:u w:val="single"/>
        </w:rPr>
        <w:t>Secondly</w:t>
      </w:r>
      <w:r w:rsidR="00625B84">
        <w:t xml:space="preserve">, although some might interpret it </w:t>
      </w:r>
      <w:r w:rsidR="00625B84" w:rsidRPr="00BA47CB">
        <w:t xml:space="preserve">differently in order to argue for a broader use of force under Art 51, the </w:t>
      </w:r>
      <w:proofErr w:type="spellStart"/>
      <w:r w:rsidR="00625B84" w:rsidRPr="00BA47CB">
        <w:rPr>
          <w:i/>
        </w:rPr>
        <w:t>travaux</w:t>
      </w:r>
      <w:proofErr w:type="spellEnd"/>
      <w:r w:rsidR="00625B84" w:rsidRPr="00BA47CB">
        <w:rPr>
          <w:i/>
        </w:rPr>
        <w:t xml:space="preserve"> </w:t>
      </w:r>
      <w:proofErr w:type="spellStart"/>
      <w:r w:rsidR="00625B84" w:rsidRPr="00BA47CB">
        <w:rPr>
          <w:i/>
        </w:rPr>
        <w:t>preparatoir</w:t>
      </w:r>
      <w:r w:rsidR="00B04E77">
        <w:rPr>
          <w:i/>
        </w:rPr>
        <w:t>e</w:t>
      </w:r>
      <w:r w:rsidR="00625B84" w:rsidRPr="00BA47CB">
        <w:rPr>
          <w:i/>
        </w:rPr>
        <w:t>s</w:t>
      </w:r>
      <w:proofErr w:type="spellEnd"/>
      <w:r w:rsidR="00625B84" w:rsidRPr="00BA47CB">
        <w:t xml:space="preserve"> show that the words “</w:t>
      </w:r>
      <w:r w:rsidR="00625B84" w:rsidRPr="00BA47CB">
        <w:rPr>
          <w:rFonts w:eastAsia="Times New Roman" w:cs="Arial"/>
          <w:color w:val="000033"/>
          <w:shd w:val="clear" w:color="auto" w:fill="FFFFFF"/>
        </w:rPr>
        <w:t>against the territorial integrity or political independence of any state</w:t>
      </w:r>
      <w:r w:rsidR="00625B84" w:rsidRPr="00BA47CB">
        <w:t>” were included into the final version of Art 2(4) for particular emphasis and by</w:t>
      </w:r>
      <w:r w:rsidR="00625B84">
        <w:t xml:space="preserve"> no way were meant to </w:t>
      </w:r>
      <w:r w:rsidR="00BA47CB">
        <w:t>allow broader use of force.</w:t>
      </w:r>
      <w:r w:rsidR="00BA47CB">
        <w:rPr>
          <w:rStyle w:val="FootnoteReference"/>
        </w:rPr>
        <w:footnoteReference w:id="10"/>
      </w:r>
      <w:r w:rsidR="00625B84">
        <w:t xml:space="preserve">   </w:t>
      </w:r>
      <w:r w:rsidR="00625B84" w:rsidRPr="00AB00E0">
        <w:rPr>
          <w:u w:val="single"/>
        </w:rPr>
        <w:t>Finally</w:t>
      </w:r>
      <w:r w:rsidR="008F7FDB">
        <w:t>, the commitment of the States to the prohibition of the use of force was reaffirmed by the adoption of the ‘</w:t>
      </w:r>
      <w:r w:rsidR="008F7FDB" w:rsidRPr="00AB00E0">
        <w:rPr>
          <w:u w:val="single"/>
        </w:rPr>
        <w:t>Friendly Relations Declaration’</w:t>
      </w:r>
      <w:r w:rsidR="008F7FDB">
        <w:rPr>
          <w:rStyle w:val="FootnoteReference"/>
        </w:rPr>
        <w:footnoteReference w:id="11"/>
      </w:r>
      <w:r w:rsidR="008F7FDB">
        <w:t xml:space="preserve"> and the </w:t>
      </w:r>
      <w:r w:rsidR="008F7FDB" w:rsidRPr="00AB00E0">
        <w:rPr>
          <w:u w:val="single"/>
        </w:rPr>
        <w:t>Declaration on the</w:t>
      </w:r>
      <w:r w:rsidR="008F7FDB">
        <w:t xml:space="preserve"> Enhancement of the Effectiveness of the Principle of Refraining from the Threat or the Use of Force in International Relations</w:t>
      </w:r>
      <w:r w:rsidR="008F7FDB">
        <w:rPr>
          <w:rStyle w:val="FootnoteReference"/>
        </w:rPr>
        <w:footnoteReference w:id="12"/>
      </w:r>
      <w:r w:rsidR="008F7FDB">
        <w:t>.</w:t>
      </w:r>
      <w:r w:rsidR="007D4022">
        <w:t xml:space="preserve"> </w:t>
      </w:r>
      <w:r w:rsidR="00B97347">
        <w:t xml:space="preserve">As a result, it is possible to argue that it might be not correct to refer to the pre-Charter customary law in order to </w:t>
      </w:r>
      <w:r w:rsidR="00C10233">
        <w:rPr>
          <w:lang w:val="en-US"/>
        </w:rPr>
        <w:t>justify the use of force broader than prescribed by</w:t>
      </w:r>
      <w:r w:rsidR="004C5F56">
        <w:rPr>
          <w:lang w:val="en-US"/>
        </w:rPr>
        <w:t xml:space="preserve"> Chapter VII of the UN Charter </w:t>
      </w:r>
      <w:r w:rsidR="00C10233">
        <w:rPr>
          <w:lang w:val="en-US"/>
        </w:rPr>
        <w:t>unless if it is evident from the post-1945 customary law that cert</w:t>
      </w:r>
      <w:r w:rsidR="004C5F56">
        <w:rPr>
          <w:lang w:val="en-US"/>
        </w:rPr>
        <w:t>ain practice continued to exist</w:t>
      </w:r>
      <w:r w:rsidR="0045602D">
        <w:rPr>
          <w:lang w:val="en-US"/>
        </w:rPr>
        <w:t xml:space="preserve">. </w:t>
      </w:r>
    </w:p>
    <w:p w14:paraId="44DDB576" w14:textId="77777777" w:rsidR="008E5E34" w:rsidRDefault="008E5E34" w:rsidP="005A4218">
      <w:pPr>
        <w:spacing w:line="360" w:lineRule="auto"/>
        <w:jc w:val="both"/>
      </w:pPr>
    </w:p>
    <w:p w14:paraId="08873BB3" w14:textId="77777777" w:rsidR="00113241" w:rsidRDefault="007D4022" w:rsidP="005A4218">
      <w:pPr>
        <w:spacing w:line="360" w:lineRule="auto"/>
        <w:jc w:val="both"/>
      </w:pPr>
      <w:r>
        <w:t xml:space="preserve">Furthermore, it is also crucial to assess how </w:t>
      </w:r>
      <w:r w:rsidRPr="004210D2">
        <w:rPr>
          <w:b/>
        </w:rPr>
        <w:t xml:space="preserve">the interpretation and the meaning of Articles 2(4) and 51 may be </w:t>
      </w:r>
      <w:r w:rsidR="005D7746" w:rsidRPr="004210D2">
        <w:rPr>
          <w:b/>
        </w:rPr>
        <w:t>changed or altered after the adoption of the UN Charter.</w:t>
      </w:r>
      <w:r w:rsidR="005D7746">
        <w:t xml:space="preserve"> </w:t>
      </w:r>
      <w:proofErr w:type="spellStart"/>
      <w:r w:rsidR="005D7746" w:rsidRPr="004210D2">
        <w:rPr>
          <w:u w:val="single"/>
        </w:rPr>
        <w:t>Ruys</w:t>
      </w:r>
      <w:proofErr w:type="spellEnd"/>
      <w:r w:rsidR="005D7746" w:rsidRPr="004210D2">
        <w:rPr>
          <w:u w:val="single"/>
        </w:rPr>
        <w:t xml:space="preserve"> suggests</w:t>
      </w:r>
      <w:r w:rsidR="005D7746">
        <w:t>, that</w:t>
      </w:r>
      <w:r w:rsidR="00903DB2">
        <w:t xml:space="preserve"> in some cases</w:t>
      </w:r>
      <w:r w:rsidR="005D7746">
        <w:t xml:space="preserve"> “</w:t>
      </w:r>
      <w:r w:rsidR="005D7746" w:rsidRPr="004210D2">
        <w:rPr>
          <w:u w:val="single"/>
        </w:rPr>
        <w:t>the subsequent developments in the law may be taken into account if it can be established that the parties to the treaty so intended</w:t>
      </w:r>
      <w:r w:rsidR="005D7746">
        <w:t>”, referring to Articles 31 and 32</w:t>
      </w:r>
      <w:r w:rsidR="00903DB2">
        <w:t xml:space="preserve"> of the</w:t>
      </w:r>
      <w:r w:rsidR="005D7746">
        <w:t xml:space="preserve"> Vienna Convention of the Law of Treaties</w:t>
      </w:r>
      <w:r w:rsidR="00903DB2">
        <w:t xml:space="preserve"> 1969</w:t>
      </w:r>
      <w:r w:rsidR="005D7746">
        <w:rPr>
          <w:rStyle w:val="FootnoteReference"/>
        </w:rPr>
        <w:footnoteReference w:id="13"/>
      </w:r>
      <w:r w:rsidR="005D7746">
        <w:t xml:space="preserve"> </w:t>
      </w:r>
      <w:r w:rsidR="00903DB2">
        <w:t>and their interpretation by the International Law Commission</w:t>
      </w:r>
      <w:r w:rsidR="00903DB2">
        <w:rPr>
          <w:rStyle w:val="FootnoteReference"/>
        </w:rPr>
        <w:footnoteReference w:id="14"/>
      </w:r>
      <w:r w:rsidR="00903DB2">
        <w:t>. Indeed, in the case of the UN Charter, it is possible to argue that Articles 2(4) and 51</w:t>
      </w:r>
      <w:r w:rsidR="00EC3DFF">
        <w:t xml:space="preserve"> create obligations, which are general in their nature, and</w:t>
      </w:r>
      <w:r w:rsidR="00903DB2">
        <w:t xml:space="preserve"> are</w:t>
      </w:r>
      <w:r w:rsidR="00EC3DFF">
        <w:t xml:space="preserve"> also</w:t>
      </w:r>
      <w:r w:rsidR="00903DB2">
        <w:t xml:space="preserve"> </w:t>
      </w:r>
      <w:r w:rsidR="00EC3DFF">
        <w:t>using</w:t>
      </w:r>
      <w:r w:rsidR="00903DB2">
        <w:t xml:space="preserve"> general notions (such as ‘armed attack’)</w:t>
      </w:r>
      <w:r w:rsidR="00FB054F">
        <w:t xml:space="preserve"> which were not defined by the Charter. Moreover, the use of evolutionary approach will make sense if taking into account the purpose and the nature of the UN. </w:t>
      </w:r>
    </w:p>
    <w:p w14:paraId="4709EE9C" w14:textId="77777777" w:rsidR="00113241" w:rsidRDefault="00113241" w:rsidP="005A4218">
      <w:pPr>
        <w:spacing w:line="360" w:lineRule="auto"/>
        <w:jc w:val="both"/>
      </w:pPr>
    </w:p>
    <w:p w14:paraId="6313B36E" w14:textId="77777777" w:rsidR="007D4022" w:rsidRDefault="00A01B04" w:rsidP="005A4218">
      <w:pPr>
        <w:spacing w:line="360" w:lineRule="auto"/>
        <w:jc w:val="both"/>
        <w:rPr>
          <w:lang w:val="en-US"/>
        </w:rPr>
      </w:pPr>
      <w:r>
        <w:t xml:space="preserve">At the same time, however, it is also </w:t>
      </w:r>
      <w:r w:rsidRPr="00AD4FBA">
        <w:rPr>
          <w:b/>
        </w:rPr>
        <w:t xml:space="preserve">necessary to take into account that Art 2(4) is generally considered to be a </w:t>
      </w:r>
      <w:r w:rsidRPr="00AD4FBA">
        <w:rPr>
          <w:b/>
          <w:i/>
        </w:rPr>
        <w:t>jus cogens</w:t>
      </w:r>
      <w:r w:rsidRPr="00AD4FBA">
        <w:rPr>
          <w:b/>
        </w:rPr>
        <w:t xml:space="preserve"> norm.</w:t>
      </w:r>
      <w:r>
        <w:t xml:space="preserve"> A wide agreement among the states on this topic may be found in </w:t>
      </w:r>
      <w:proofErr w:type="spellStart"/>
      <w:r w:rsidRPr="0056437A">
        <w:rPr>
          <w:i/>
        </w:rPr>
        <w:t>travaux</w:t>
      </w:r>
      <w:proofErr w:type="spellEnd"/>
      <w:r w:rsidRPr="0056437A">
        <w:rPr>
          <w:i/>
        </w:rPr>
        <w:t xml:space="preserve"> </w:t>
      </w:r>
      <w:proofErr w:type="spellStart"/>
      <w:r w:rsidRPr="0056437A">
        <w:rPr>
          <w:i/>
        </w:rPr>
        <w:t>preparatoires</w:t>
      </w:r>
      <w:proofErr w:type="spellEnd"/>
      <w:r>
        <w:t xml:space="preserve"> of a number of significant treaties </w:t>
      </w:r>
      <w:r w:rsidR="0056437A">
        <w:t xml:space="preserve">(e.g. 1969 Vienna Convention on the Law of Treaties) </w:t>
      </w:r>
      <w:r>
        <w:t>and General Assembly resolutions</w:t>
      </w:r>
      <w:r w:rsidR="0056437A">
        <w:t xml:space="preserve"> (e.g. Resolution 2625 (XXV) and Resolution 42/22)</w:t>
      </w:r>
      <w:r>
        <w:t>.</w:t>
      </w:r>
      <w:r w:rsidR="0056437A">
        <w:rPr>
          <w:rStyle w:val="FootnoteReference"/>
        </w:rPr>
        <w:footnoteReference w:id="15"/>
      </w:r>
      <w:r>
        <w:t xml:space="preserve"> </w:t>
      </w:r>
      <w:r w:rsidR="009E346D">
        <w:rPr>
          <w:lang w:val="en-US"/>
        </w:rPr>
        <w:t>It is however much less clear whether Art 51 can be regarded as a jus cogens norm. On the one hand, it is evident that this idea has significantly less support</w:t>
      </w:r>
      <w:r w:rsidR="00240D21">
        <w:rPr>
          <w:lang w:val="en-US"/>
        </w:rPr>
        <w:t>.</w:t>
      </w:r>
      <w:r w:rsidR="009E346D">
        <w:rPr>
          <w:rStyle w:val="FootnoteReference"/>
          <w:lang w:val="en-US"/>
        </w:rPr>
        <w:footnoteReference w:id="16"/>
      </w:r>
      <w:r w:rsidR="00240D21">
        <w:rPr>
          <w:lang w:val="en-US"/>
        </w:rPr>
        <w:t xml:space="preserve"> Moreover, state practice and </w:t>
      </w:r>
      <w:r w:rsidR="00240D21" w:rsidRPr="00240D21">
        <w:rPr>
          <w:i/>
          <w:lang w:val="en-US"/>
        </w:rPr>
        <w:t>opinion juris</w:t>
      </w:r>
      <w:r w:rsidR="00240D21">
        <w:rPr>
          <w:lang w:val="en-US"/>
        </w:rPr>
        <w:t xml:space="preserve"> concerning the scope of self-defence (protection of nationals abroad, self-defence against non-state actors, preemptive self-defence) has been ambiguous since the adoption of the Charter. On the other hand, some might argue that due to their nature, both Art 2(4) and 51 are dependent on each other</w:t>
      </w:r>
      <w:r w:rsidR="00240D21">
        <w:rPr>
          <w:rStyle w:val="FootnoteReference"/>
          <w:lang w:val="en-US"/>
        </w:rPr>
        <w:footnoteReference w:id="17"/>
      </w:r>
      <w:r w:rsidR="00240D21">
        <w:rPr>
          <w:lang w:val="en-US"/>
        </w:rPr>
        <w:t xml:space="preserve"> and as a result any change of the scope of Art 51 interpretation would also influence Art 2(4). </w:t>
      </w:r>
      <w:r w:rsidR="004C5F56">
        <w:rPr>
          <w:lang w:val="en-US"/>
        </w:rPr>
        <w:t>These findings lead to a conclusion, that in order to justify the use of self-defence agains</w:t>
      </w:r>
      <w:r w:rsidR="0045602D">
        <w:rPr>
          <w:lang w:val="en-US"/>
        </w:rPr>
        <w:t>t non-st</w:t>
      </w:r>
      <w:r w:rsidR="008E5E34">
        <w:rPr>
          <w:lang w:val="en-US"/>
        </w:rPr>
        <w:t>ate actors, there must be a</w:t>
      </w:r>
      <w:r w:rsidR="0045602D">
        <w:rPr>
          <w:lang w:val="en-US"/>
        </w:rPr>
        <w:t xml:space="preserve"> strong evidence of consistent and general state practice and </w:t>
      </w:r>
      <w:r w:rsidR="0045602D" w:rsidRPr="0045602D">
        <w:rPr>
          <w:i/>
          <w:lang w:val="en-US"/>
        </w:rPr>
        <w:t>opinio juris</w:t>
      </w:r>
      <w:r w:rsidR="0045602D">
        <w:rPr>
          <w:lang w:val="en-US"/>
        </w:rPr>
        <w:t xml:space="preserve"> in post-1945 customary law.</w:t>
      </w:r>
      <w:r w:rsidR="008E5E34">
        <w:rPr>
          <w:lang w:val="en-US"/>
        </w:rPr>
        <w:t xml:space="preserve"> </w:t>
      </w:r>
      <w:r w:rsidR="0045602D">
        <w:rPr>
          <w:lang w:val="en-US"/>
        </w:rPr>
        <w:t xml:space="preserve"> Moreover, if one saw Art 51 as a </w:t>
      </w:r>
      <w:r w:rsidR="0045602D" w:rsidRPr="001E1C7D">
        <w:rPr>
          <w:i/>
          <w:lang w:val="en-US"/>
        </w:rPr>
        <w:t>jus cogens</w:t>
      </w:r>
      <w:r w:rsidR="0045602D">
        <w:rPr>
          <w:lang w:val="en-US"/>
        </w:rPr>
        <w:t xml:space="preserve"> norm, it would be also necessary to prove that a new </w:t>
      </w:r>
      <w:r w:rsidR="0045602D" w:rsidRPr="001E1C7D">
        <w:rPr>
          <w:i/>
          <w:lang w:val="en-US"/>
        </w:rPr>
        <w:t>jus cogens</w:t>
      </w:r>
      <w:r w:rsidR="0045602D">
        <w:rPr>
          <w:lang w:val="en-US"/>
        </w:rPr>
        <w:t xml:space="preserve"> norm has emerged which allowed the use of self-defence against non-state actors.</w:t>
      </w:r>
    </w:p>
    <w:p w14:paraId="05D77E39" w14:textId="77777777" w:rsidR="00612594" w:rsidRDefault="00612594" w:rsidP="005A4218">
      <w:pPr>
        <w:spacing w:line="360" w:lineRule="auto"/>
        <w:jc w:val="both"/>
        <w:rPr>
          <w:lang w:val="en-US"/>
        </w:rPr>
      </w:pPr>
    </w:p>
    <w:p w14:paraId="3711FC77" w14:textId="77777777" w:rsidR="00612594" w:rsidRPr="00113241" w:rsidRDefault="00612594" w:rsidP="005A4218">
      <w:pPr>
        <w:spacing w:line="360" w:lineRule="auto"/>
        <w:jc w:val="both"/>
        <w:rPr>
          <w:b/>
          <w:u w:val="single"/>
        </w:rPr>
      </w:pPr>
      <w:r w:rsidRPr="00113241">
        <w:rPr>
          <w:b/>
          <w:u w:val="single"/>
        </w:rPr>
        <w:t>The Case</w:t>
      </w:r>
      <w:r w:rsidR="00113241" w:rsidRPr="00113241">
        <w:rPr>
          <w:b/>
          <w:u w:val="single"/>
        </w:rPr>
        <w:t xml:space="preserve"> Law of the International Court of Justice:</w:t>
      </w:r>
    </w:p>
    <w:p w14:paraId="480F3E11" w14:textId="77777777" w:rsidR="00612594" w:rsidRDefault="00612594" w:rsidP="005A4218">
      <w:pPr>
        <w:spacing w:line="360" w:lineRule="auto"/>
        <w:jc w:val="both"/>
      </w:pPr>
    </w:p>
    <w:p w14:paraId="0BCCEE0B" w14:textId="77777777" w:rsidR="00BA1598" w:rsidRPr="00AD4FBA" w:rsidRDefault="008E5E34" w:rsidP="005A4218">
      <w:pPr>
        <w:spacing w:line="360" w:lineRule="auto"/>
        <w:jc w:val="both"/>
        <w:rPr>
          <w:b/>
          <w:lang w:val="en-US"/>
        </w:rPr>
      </w:pPr>
      <w:r>
        <w:t>But before turning to the sta</w:t>
      </w:r>
      <w:r w:rsidR="00612594">
        <w:t>te practice</w:t>
      </w:r>
      <w:r w:rsidR="00612594">
        <w:rPr>
          <w:lang w:val="en-US"/>
        </w:rPr>
        <w:t xml:space="preserve">, the essay will take into consideration relevant ICJ judgments. </w:t>
      </w:r>
      <w:r w:rsidR="002C50AD">
        <w:rPr>
          <w:lang w:val="en-US"/>
        </w:rPr>
        <w:t>Nicaragua case was the first opportunity for the ICJ to express its opinion on the matters connected with self-defe</w:t>
      </w:r>
      <w:r w:rsidR="0083136F">
        <w:rPr>
          <w:lang w:val="en-US"/>
        </w:rPr>
        <w:t>nce against non-state actors. In</w:t>
      </w:r>
      <w:r w:rsidR="00093BF4">
        <w:rPr>
          <w:lang w:val="en-US"/>
        </w:rPr>
        <w:t xml:space="preserve"> order t</w:t>
      </w:r>
      <w:r w:rsidR="002C50AD">
        <w:rPr>
          <w:lang w:val="en-US"/>
        </w:rPr>
        <w:t xml:space="preserve">o clarify the meaning of </w:t>
      </w:r>
      <w:r w:rsidR="00093BF4">
        <w:rPr>
          <w:lang w:val="en-US"/>
        </w:rPr>
        <w:t>‘</w:t>
      </w:r>
      <w:r w:rsidR="00093BF4" w:rsidRPr="00AD4FBA">
        <w:rPr>
          <w:b/>
          <w:lang w:val="en-US"/>
        </w:rPr>
        <w:t>armed attack’</w:t>
      </w:r>
      <w:r w:rsidR="003912F8" w:rsidRPr="00AD4FBA">
        <w:rPr>
          <w:b/>
          <w:lang w:val="en-US"/>
        </w:rPr>
        <w:t xml:space="preserve"> under customary law</w:t>
      </w:r>
      <w:r w:rsidR="00093BF4" w:rsidRPr="00AD4FBA">
        <w:rPr>
          <w:b/>
          <w:lang w:val="en-US"/>
        </w:rPr>
        <w:t>, t</w:t>
      </w:r>
      <w:r w:rsidR="002C50AD" w:rsidRPr="00AD4FBA">
        <w:rPr>
          <w:b/>
          <w:lang w:val="en-US"/>
        </w:rPr>
        <w:t xml:space="preserve">he Court referred to Article 3(g) of the Definition </w:t>
      </w:r>
      <w:r w:rsidR="00093BF4" w:rsidRPr="00AD4FBA">
        <w:rPr>
          <w:b/>
          <w:lang w:val="en-US"/>
        </w:rPr>
        <w:t>of Aggression</w:t>
      </w:r>
      <w:r w:rsidR="00BA1598" w:rsidRPr="00AD4FBA">
        <w:rPr>
          <w:b/>
          <w:lang w:val="en-US"/>
        </w:rPr>
        <w:t>:</w:t>
      </w:r>
    </w:p>
    <w:p w14:paraId="4FD4C3A2" w14:textId="77777777" w:rsidR="00BA1598" w:rsidRDefault="00BA1598" w:rsidP="005A4218">
      <w:pPr>
        <w:spacing w:line="360" w:lineRule="auto"/>
        <w:jc w:val="both"/>
        <w:rPr>
          <w:lang w:val="en-US"/>
        </w:rPr>
      </w:pPr>
    </w:p>
    <w:p w14:paraId="3061FB10" w14:textId="77777777" w:rsidR="00BA1598" w:rsidRDefault="00BA1598" w:rsidP="005A4218">
      <w:pPr>
        <w:spacing w:line="360" w:lineRule="auto"/>
        <w:jc w:val="both"/>
        <w:rPr>
          <w:lang w:val="en-US"/>
        </w:rPr>
      </w:pPr>
      <w:r>
        <w:rPr>
          <w:lang w:val="en-US"/>
        </w:rPr>
        <w:t>“[A]</w:t>
      </w:r>
      <w:r w:rsidRPr="00BA1598">
        <w:rPr>
          <w:lang w:val="en-US"/>
        </w:rPr>
        <w:t>n armed attack must be understood as including not merely action by</w:t>
      </w:r>
      <w:r>
        <w:rPr>
          <w:lang w:val="en-US"/>
        </w:rPr>
        <w:t xml:space="preserve"> </w:t>
      </w:r>
      <w:r w:rsidRPr="00BA1598">
        <w:rPr>
          <w:lang w:val="en-US"/>
        </w:rPr>
        <w:t>regular armed forces across an international border, but also "the sending by or on behalf of a State of armed bands, groups, irregulars or mercenaries, which carryout acts of armed force against another State of such gravity as to amount to"(inter alia) an actual armed attack conducted by regular forces, "or its substantial</w:t>
      </w:r>
      <w:r>
        <w:rPr>
          <w:lang w:val="en-US"/>
        </w:rPr>
        <w:t xml:space="preserve"> </w:t>
      </w:r>
      <w:r w:rsidRPr="00BA1598">
        <w:rPr>
          <w:lang w:val="en-US"/>
        </w:rPr>
        <w:t>involvement therein".</w:t>
      </w:r>
      <w:r w:rsidR="003912F8">
        <w:rPr>
          <w:rStyle w:val="FootnoteReference"/>
          <w:lang w:val="en-US"/>
        </w:rPr>
        <w:footnoteReference w:id="18"/>
      </w:r>
    </w:p>
    <w:p w14:paraId="39E96D27" w14:textId="77777777" w:rsidR="008E5E34" w:rsidRDefault="008E5E34" w:rsidP="005A4218">
      <w:pPr>
        <w:spacing w:line="360" w:lineRule="auto"/>
        <w:jc w:val="both"/>
        <w:rPr>
          <w:lang w:val="en-US"/>
        </w:rPr>
      </w:pPr>
    </w:p>
    <w:p w14:paraId="4B0D50ED" w14:textId="77777777" w:rsidR="007616BD" w:rsidRDefault="007616BD" w:rsidP="005A4218">
      <w:pPr>
        <w:spacing w:line="360" w:lineRule="auto"/>
        <w:jc w:val="both"/>
        <w:rPr>
          <w:lang w:val="en-US"/>
        </w:rPr>
      </w:pPr>
      <w:r>
        <w:rPr>
          <w:lang w:val="en-US"/>
        </w:rPr>
        <w:t xml:space="preserve">Therefore, although the Court established that self-defence might indeed be used against non-state actors, there should be at least </w:t>
      </w:r>
      <w:r w:rsidRPr="00AD4FBA">
        <w:rPr>
          <w:b/>
          <w:lang w:val="en-US"/>
        </w:rPr>
        <w:t>“substantial involvement”</w:t>
      </w:r>
      <w:r>
        <w:rPr>
          <w:lang w:val="en-US"/>
        </w:rPr>
        <w:t xml:space="preserve"> of the State. Moreover, it was also stated that </w:t>
      </w:r>
      <w:r w:rsidR="00C15BB0" w:rsidRPr="00AD4FBA">
        <w:rPr>
          <w:u w:val="single"/>
          <w:lang w:val="en-US"/>
        </w:rPr>
        <w:t>provision of weapons or logistical support to the armed group to be not sufficient enough in order for the actions of the group to be attributable to a State</w:t>
      </w:r>
      <w:r w:rsidR="00C15BB0">
        <w:rPr>
          <w:lang w:val="en-US"/>
        </w:rPr>
        <w:t>.</w:t>
      </w:r>
      <w:r w:rsidR="00C15BB0">
        <w:rPr>
          <w:rStyle w:val="FootnoteReference"/>
          <w:lang w:val="en-US"/>
        </w:rPr>
        <w:footnoteReference w:id="19"/>
      </w:r>
      <w:r w:rsidR="00C15BB0">
        <w:rPr>
          <w:lang w:val="en-US"/>
        </w:rPr>
        <w:t xml:space="preserve"> </w:t>
      </w:r>
      <w:r w:rsidR="00CD22BB">
        <w:rPr>
          <w:lang w:val="en-US"/>
        </w:rPr>
        <w:t>T</w:t>
      </w:r>
      <w:r w:rsidR="00C15BB0">
        <w:rPr>
          <w:lang w:val="en-US"/>
        </w:rPr>
        <w:t xml:space="preserve">hough the </w:t>
      </w:r>
      <w:r w:rsidR="00EC3EAA">
        <w:rPr>
          <w:lang w:val="en-US"/>
        </w:rPr>
        <w:t>judgment</w:t>
      </w:r>
      <w:r w:rsidR="00C15BB0">
        <w:rPr>
          <w:lang w:val="en-US"/>
        </w:rPr>
        <w:t xml:space="preserve"> is not completely clear on how to determine substantial involvement,</w:t>
      </w:r>
      <w:r w:rsidR="0049594D">
        <w:rPr>
          <w:rStyle w:val="FootnoteReference"/>
          <w:lang w:val="en-US"/>
        </w:rPr>
        <w:footnoteReference w:id="20"/>
      </w:r>
      <w:r w:rsidR="00C15BB0">
        <w:rPr>
          <w:lang w:val="en-US"/>
        </w:rPr>
        <w:t xml:space="preserve"> some parts of the </w:t>
      </w:r>
      <w:r w:rsidR="00EC3EAA">
        <w:rPr>
          <w:lang w:val="en-US"/>
        </w:rPr>
        <w:t>judgment</w:t>
      </w:r>
      <w:r w:rsidR="00C15BB0">
        <w:rPr>
          <w:lang w:val="en-US"/>
        </w:rPr>
        <w:t xml:space="preserve"> suggest</w:t>
      </w:r>
      <w:r w:rsidR="00C96FBC">
        <w:rPr>
          <w:rStyle w:val="FootnoteReference"/>
          <w:lang w:val="en-US"/>
        </w:rPr>
        <w:footnoteReference w:id="21"/>
      </w:r>
      <w:r w:rsidR="00C15BB0">
        <w:rPr>
          <w:lang w:val="en-US"/>
        </w:rPr>
        <w:t xml:space="preserve"> that the State should exercise </w:t>
      </w:r>
      <w:r w:rsidR="00C15BB0" w:rsidRPr="00AD4FBA">
        <w:rPr>
          <w:b/>
          <w:lang w:val="en-US"/>
        </w:rPr>
        <w:t>“effective control”</w:t>
      </w:r>
      <w:r w:rsidR="00C15BB0">
        <w:rPr>
          <w:lang w:val="en-US"/>
        </w:rPr>
        <w:t xml:space="preserve"> over a non-state actor</w:t>
      </w:r>
      <w:r w:rsidR="00EC3EAA">
        <w:rPr>
          <w:lang w:val="en-US"/>
        </w:rPr>
        <w:t xml:space="preserve"> (so that the actions of a non-state actor could be attributed to a State).</w:t>
      </w:r>
      <w:r w:rsidR="00EC3EAA">
        <w:rPr>
          <w:rStyle w:val="FootnoteReference"/>
          <w:lang w:val="en-US"/>
        </w:rPr>
        <w:footnoteReference w:id="22"/>
      </w:r>
      <w:r w:rsidR="00EC3EAA">
        <w:rPr>
          <w:lang w:val="en-US"/>
        </w:rPr>
        <w:t xml:space="preserve"> </w:t>
      </w:r>
      <w:r w:rsidR="00CD22BB">
        <w:rPr>
          <w:lang w:val="en-US"/>
        </w:rPr>
        <w:t xml:space="preserve">Therefore, in principle it </w:t>
      </w:r>
      <w:r w:rsidR="0049594D">
        <w:rPr>
          <w:lang w:val="en-US"/>
        </w:rPr>
        <w:t>is possible to argue</w:t>
      </w:r>
      <w:r w:rsidR="00CD22BB">
        <w:rPr>
          <w:lang w:val="en-US"/>
        </w:rPr>
        <w:t xml:space="preserve"> that an armed attack should in any case be attributable to the State,</w:t>
      </w:r>
      <w:r w:rsidR="00CD22BB">
        <w:rPr>
          <w:rStyle w:val="FootnoteReference"/>
          <w:lang w:val="en-US"/>
        </w:rPr>
        <w:footnoteReference w:id="23"/>
      </w:r>
      <w:r w:rsidR="00CD22BB">
        <w:rPr>
          <w:lang w:val="en-US"/>
        </w:rPr>
        <w:t xml:space="preserve"> so that there could be no conflict with the original interpretation of Art 2(4). </w:t>
      </w:r>
    </w:p>
    <w:p w14:paraId="58E6732E" w14:textId="77777777" w:rsidR="0049594D" w:rsidRDefault="0049594D" w:rsidP="005A4218">
      <w:pPr>
        <w:spacing w:line="360" w:lineRule="auto"/>
        <w:jc w:val="both"/>
        <w:rPr>
          <w:lang w:val="en-US"/>
        </w:rPr>
      </w:pPr>
    </w:p>
    <w:p w14:paraId="1BDD98CF" w14:textId="77777777" w:rsidR="0049594D" w:rsidRDefault="0049594D" w:rsidP="005A4218">
      <w:pPr>
        <w:spacing w:line="360" w:lineRule="auto"/>
        <w:jc w:val="both"/>
        <w:rPr>
          <w:lang w:val="en-US"/>
        </w:rPr>
      </w:pPr>
      <w:proofErr w:type="gramStart"/>
      <w:r>
        <w:rPr>
          <w:lang w:val="en-US"/>
        </w:rPr>
        <w:t xml:space="preserve">The </w:t>
      </w:r>
      <w:r w:rsidRPr="00AD4FBA">
        <w:rPr>
          <w:b/>
          <w:lang w:val="en-US"/>
        </w:rPr>
        <w:t>validity of the “effective control test” was questioned in the</w:t>
      </w:r>
      <w:r w:rsidRPr="00AD4FBA">
        <w:rPr>
          <w:b/>
          <w:i/>
          <w:lang w:val="en-US"/>
        </w:rPr>
        <w:t xml:space="preserve"> </w:t>
      </w:r>
      <w:proofErr w:type="spellStart"/>
      <w:r w:rsidRPr="00AD4FBA">
        <w:rPr>
          <w:b/>
          <w:i/>
          <w:lang w:val="en-US"/>
        </w:rPr>
        <w:t>Tadić</w:t>
      </w:r>
      <w:proofErr w:type="spellEnd"/>
      <w:r w:rsidRPr="00AD4FBA">
        <w:rPr>
          <w:b/>
          <w:lang w:val="en-US"/>
        </w:rPr>
        <w:t xml:space="preserve"> case</w:t>
      </w:r>
      <w:r>
        <w:rPr>
          <w:rStyle w:val="FootnoteReference"/>
          <w:lang w:val="en-US"/>
        </w:rPr>
        <w:footnoteReference w:id="24"/>
      </w:r>
      <w:r>
        <w:rPr>
          <w:lang w:val="en-US"/>
        </w:rPr>
        <w:t xml:space="preserve"> by the Appeals Chamber of the International Criminal Tribunal for the Former Yugoslavia</w:t>
      </w:r>
      <w:proofErr w:type="gramEnd"/>
      <w:r>
        <w:rPr>
          <w:lang w:val="en-US"/>
        </w:rPr>
        <w:t xml:space="preserve"> </w:t>
      </w:r>
      <w:r w:rsidRPr="00AD4FBA">
        <w:rPr>
          <w:b/>
          <w:lang w:val="en-US"/>
        </w:rPr>
        <w:t>(ICTY) in 1999</w:t>
      </w:r>
      <w:r w:rsidR="00105B9F">
        <w:rPr>
          <w:lang w:val="en-US"/>
        </w:rPr>
        <w:t>.</w:t>
      </w:r>
      <w:r w:rsidR="009B27F7">
        <w:rPr>
          <w:rStyle w:val="FootnoteReference"/>
          <w:lang w:val="en-US"/>
        </w:rPr>
        <w:footnoteReference w:id="25"/>
      </w:r>
      <w:r w:rsidR="00105B9F">
        <w:rPr>
          <w:lang w:val="en-US"/>
        </w:rPr>
        <w:t xml:space="preserve"> </w:t>
      </w:r>
      <w:r w:rsidR="009B27F7">
        <w:rPr>
          <w:lang w:val="en-US"/>
        </w:rPr>
        <w:t>The Court found</w:t>
      </w:r>
      <w:r w:rsidR="00E01F73">
        <w:rPr>
          <w:lang w:val="en-US"/>
        </w:rPr>
        <w:t xml:space="preserve"> that in order for the actions of individuals or unorganized groups of individuals to be attributable to a State, there should have either been certain instructions issued by this State or the illegal actions should have been endorsed by the state </w:t>
      </w:r>
      <w:r w:rsidR="00E01F73" w:rsidRPr="00E01F73">
        <w:rPr>
          <w:i/>
          <w:lang w:val="en-US"/>
        </w:rPr>
        <w:t>post factum</w:t>
      </w:r>
      <w:r w:rsidR="00E01F73">
        <w:rPr>
          <w:i/>
          <w:lang w:val="en-US"/>
        </w:rPr>
        <w:t>.</w:t>
      </w:r>
      <w:r w:rsidR="00E01F73">
        <w:rPr>
          <w:rStyle w:val="FootnoteReference"/>
          <w:i/>
          <w:lang w:val="en-US"/>
        </w:rPr>
        <w:footnoteReference w:id="26"/>
      </w:r>
      <w:r w:rsidR="009B27F7">
        <w:rPr>
          <w:i/>
          <w:lang w:val="en-US"/>
        </w:rPr>
        <w:t xml:space="preserve"> </w:t>
      </w:r>
      <w:r w:rsidR="009B27F7">
        <w:rPr>
          <w:lang w:val="en-US"/>
        </w:rPr>
        <w:t>At the same time, the ICTY disagreed with the conclusions of the Nicaragua case</w:t>
      </w:r>
      <w:r w:rsidR="000C6A8F">
        <w:rPr>
          <w:lang w:val="en-US"/>
        </w:rPr>
        <w:t xml:space="preserve"> seeing it as being “at variance with judicial and state p</w:t>
      </w:r>
      <w:r w:rsidR="000C6A8F" w:rsidRPr="000C6A8F">
        <w:rPr>
          <w:lang w:val="en-US"/>
        </w:rPr>
        <w:t>ractice</w:t>
      </w:r>
      <w:r w:rsidR="000C6A8F">
        <w:rPr>
          <w:lang w:val="en-US"/>
        </w:rPr>
        <w:t>”</w:t>
      </w:r>
      <w:r w:rsidR="009B27F7">
        <w:rPr>
          <w:lang w:val="en-US"/>
        </w:rPr>
        <w:t xml:space="preserve"> and proposed that in the case with organized military groups, </w:t>
      </w:r>
      <w:r w:rsidR="009B27F7" w:rsidRPr="00AD4FBA">
        <w:rPr>
          <w:b/>
          <w:lang w:val="en-US"/>
        </w:rPr>
        <w:t>overall control test</w:t>
      </w:r>
      <w:r w:rsidR="009B27F7">
        <w:rPr>
          <w:lang w:val="en-US"/>
        </w:rPr>
        <w:t xml:space="preserve"> should be used instead and therefore financial and logistical support would be sufficient in order to attribute the actions of a non-state actor to a State.</w:t>
      </w:r>
      <w:r w:rsidR="009B27F7">
        <w:rPr>
          <w:rStyle w:val="FootnoteReference"/>
          <w:lang w:val="en-US"/>
        </w:rPr>
        <w:footnoteReference w:id="27"/>
      </w:r>
    </w:p>
    <w:p w14:paraId="70AA8376" w14:textId="77777777" w:rsidR="001E25CA" w:rsidRDefault="001E25CA" w:rsidP="005A4218">
      <w:pPr>
        <w:spacing w:line="360" w:lineRule="auto"/>
        <w:jc w:val="both"/>
        <w:rPr>
          <w:lang w:val="en-US"/>
        </w:rPr>
      </w:pPr>
    </w:p>
    <w:p w14:paraId="19034F7F" w14:textId="357335F0" w:rsidR="004F5936" w:rsidRDefault="001E25CA" w:rsidP="005A4218">
      <w:pPr>
        <w:spacing w:line="360" w:lineRule="auto"/>
        <w:jc w:val="both"/>
        <w:rPr>
          <w:lang w:val="en-US"/>
        </w:rPr>
      </w:pPr>
      <w:r w:rsidRPr="00AD4FBA">
        <w:rPr>
          <w:b/>
          <w:lang w:val="en-US"/>
        </w:rPr>
        <w:t xml:space="preserve">The ICJ, however, maintained its earlier </w:t>
      </w:r>
      <w:r w:rsidR="0051275A" w:rsidRPr="00AD4FBA">
        <w:rPr>
          <w:b/>
          <w:lang w:val="en-US"/>
        </w:rPr>
        <w:t>interpretation of self-defence</w:t>
      </w:r>
      <w:r w:rsidR="00284E4B" w:rsidRPr="00AD4FBA">
        <w:rPr>
          <w:b/>
          <w:lang w:val="en-US"/>
        </w:rPr>
        <w:t xml:space="preserve"> and relied on the same</w:t>
      </w:r>
      <w:r w:rsidRPr="00AD4FBA">
        <w:rPr>
          <w:b/>
          <w:lang w:val="en-US"/>
        </w:rPr>
        <w:t xml:space="preserve"> approach in the </w:t>
      </w:r>
      <w:r w:rsidRPr="00AD4FBA">
        <w:rPr>
          <w:b/>
          <w:i/>
          <w:lang w:val="en-US"/>
        </w:rPr>
        <w:t xml:space="preserve">Advisory Opinion on the </w:t>
      </w:r>
      <w:proofErr w:type="spellStart"/>
      <w:r w:rsidRPr="00AD4FBA">
        <w:rPr>
          <w:b/>
          <w:i/>
          <w:lang w:val="en-US"/>
        </w:rPr>
        <w:t>Palesinian</w:t>
      </w:r>
      <w:proofErr w:type="spellEnd"/>
      <w:r w:rsidRPr="00AD4FBA">
        <w:rPr>
          <w:b/>
          <w:i/>
          <w:lang w:val="en-US"/>
        </w:rPr>
        <w:t xml:space="preserve"> Wall</w:t>
      </w:r>
      <w:r w:rsidR="00284E4B" w:rsidRPr="00AD4FBA">
        <w:rPr>
          <w:rStyle w:val="FootnoteReference"/>
          <w:b/>
          <w:i/>
          <w:lang w:val="en-US"/>
        </w:rPr>
        <w:footnoteReference w:id="28"/>
      </w:r>
      <w:r w:rsidRPr="00AD4FBA">
        <w:rPr>
          <w:b/>
          <w:lang w:val="en-US"/>
        </w:rPr>
        <w:t xml:space="preserve"> and in </w:t>
      </w:r>
      <w:r w:rsidRPr="00AD4FBA">
        <w:rPr>
          <w:b/>
          <w:i/>
          <w:lang w:val="en-US"/>
        </w:rPr>
        <w:t>DRC v Uganda</w:t>
      </w:r>
      <w:r w:rsidR="00284E4B" w:rsidRPr="00AD4FBA">
        <w:rPr>
          <w:rStyle w:val="FootnoteReference"/>
          <w:b/>
          <w:i/>
          <w:lang w:val="en-US"/>
        </w:rPr>
        <w:footnoteReference w:id="29"/>
      </w:r>
      <w:r w:rsidRPr="00AD4FBA">
        <w:rPr>
          <w:b/>
          <w:lang w:val="en-US"/>
        </w:rPr>
        <w:t xml:space="preserve">. </w:t>
      </w:r>
      <w:r w:rsidR="0051275A">
        <w:rPr>
          <w:lang w:val="en-US"/>
        </w:rPr>
        <w:t xml:space="preserve">In the </w:t>
      </w:r>
      <w:r w:rsidR="0051275A" w:rsidRPr="00AD4FBA">
        <w:rPr>
          <w:b/>
          <w:lang w:val="en-US"/>
        </w:rPr>
        <w:t>Wall Advisory Opinion,</w:t>
      </w:r>
      <w:r w:rsidR="0051275A">
        <w:rPr>
          <w:lang w:val="en-US"/>
        </w:rPr>
        <w:t xml:space="preserve"> Israel argued that </w:t>
      </w:r>
      <w:proofErr w:type="gramStart"/>
      <w:r w:rsidR="0051275A">
        <w:rPr>
          <w:lang w:val="en-US"/>
        </w:rPr>
        <w:t>the construction of the barrier</w:t>
      </w:r>
      <w:r w:rsidR="00C25CFE">
        <w:rPr>
          <w:lang w:val="en-US"/>
        </w:rPr>
        <w:t xml:space="preserve"> was justified by its right to defend itself against terrorist attacks originating from the occupied territories</w:t>
      </w:r>
      <w:proofErr w:type="gramEnd"/>
      <w:r w:rsidR="00812522">
        <w:rPr>
          <w:lang w:val="en-US"/>
        </w:rPr>
        <w:t>, relying on the Security Council’s Resolutions 1368 and 1373</w:t>
      </w:r>
      <w:r w:rsidR="00C25CFE">
        <w:rPr>
          <w:lang w:val="en-US"/>
        </w:rPr>
        <w:t xml:space="preserve">. The Court </w:t>
      </w:r>
      <w:r w:rsidR="00ED3E94">
        <w:rPr>
          <w:lang w:val="en-US"/>
        </w:rPr>
        <w:t>did not reconcile its earlier views and stated that self-defence is only</w:t>
      </w:r>
      <w:r w:rsidR="004E6CD1">
        <w:rPr>
          <w:lang w:val="en-US"/>
        </w:rPr>
        <w:t xml:space="preserve"> possible</w:t>
      </w:r>
      <w:r w:rsidR="00ED3E94">
        <w:rPr>
          <w:lang w:val="en-US"/>
        </w:rPr>
        <w:t xml:space="preserve"> “</w:t>
      </w:r>
      <w:r w:rsidR="00ED3E94" w:rsidRPr="00ED3E94">
        <w:rPr>
          <w:lang w:val="en-US"/>
        </w:rPr>
        <w:t>in the case of armed attack by one State against another State</w:t>
      </w:r>
      <w:r w:rsidR="00ED3E94">
        <w:rPr>
          <w:lang w:val="en-US"/>
        </w:rPr>
        <w:t>.”</w:t>
      </w:r>
      <w:r w:rsidR="00ED3E94">
        <w:rPr>
          <w:rStyle w:val="FootnoteReference"/>
          <w:lang w:val="en-US"/>
        </w:rPr>
        <w:footnoteReference w:id="30"/>
      </w:r>
      <w:r w:rsidR="00ED3E94">
        <w:rPr>
          <w:lang w:val="en-US"/>
        </w:rPr>
        <w:t xml:space="preserve"> Unfortunately, </w:t>
      </w:r>
      <w:r w:rsidR="00ED3E94" w:rsidRPr="00AD4FBA">
        <w:rPr>
          <w:b/>
          <w:lang w:val="en-US"/>
        </w:rPr>
        <w:t>the ICJ did not approach the interpretation of the anti-terrorist resolutions 1368 and 1373</w:t>
      </w:r>
      <w:r w:rsidR="004E6CD1" w:rsidRPr="00AD4FBA">
        <w:rPr>
          <w:b/>
          <w:lang w:val="en-US"/>
        </w:rPr>
        <w:t>,</w:t>
      </w:r>
      <w:r w:rsidR="004E6CD1">
        <w:rPr>
          <w:lang w:val="en-US"/>
        </w:rPr>
        <w:t xml:space="preserve"> mentioning only that</w:t>
      </w:r>
      <w:r w:rsidR="00ED3E94">
        <w:rPr>
          <w:lang w:val="en-US"/>
        </w:rPr>
        <w:t xml:space="preserve"> as the threat </w:t>
      </w:r>
      <w:r w:rsidR="00ED3E94" w:rsidRPr="00ED3E94">
        <w:rPr>
          <w:lang w:val="en-US"/>
        </w:rPr>
        <w:t xml:space="preserve">origins from within and not from outside, the situation is different from the one </w:t>
      </w:r>
      <w:r w:rsidR="004E6CD1" w:rsidRPr="00ED3E94">
        <w:rPr>
          <w:lang w:val="en-US"/>
        </w:rPr>
        <w:t>contemplated</w:t>
      </w:r>
      <w:r w:rsidR="00ED3E94" w:rsidRPr="00ED3E94">
        <w:rPr>
          <w:lang w:val="en-US"/>
        </w:rPr>
        <w:t xml:space="preserve"> in the UNSC Resolutions and as a result, “</w:t>
      </w:r>
      <w:r w:rsidR="00ED3E94" w:rsidRPr="00ED3E94">
        <w:rPr>
          <w:rFonts w:eastAsia="Times New Roman" w:cs="Times New Roman"/>
          <w:color w:val="000000"/>
          <w:shd w:val="clear" w:color="auto" w:fill="FFFFFF"/>
        </w:rPr>
        <w:t>Israel could not in any event invoke those resolutions in support of its claim to be exercising a right of self-defence.</w:t>
      </w:r>
      <w:r w:rsidR="00ED3E94" w:rsidRPr="00ED3E94">
        <w:rPr>
          <w:lang w:val="en-US"/>
        </w:rPr>
        <w:t>”</w:t>
      </w:r>
      <w:r w:rsidR="004E6CD1">
        <w:rPr>
          <w:rStyle w:val="FootnoteReference"/>
          <w:lang w:val="en-US"/>
        </w:rPr>
        <w:footnoteReference w:id="31"/>
      </w:r>
      <w:r w:rsidR="004E6CD1">
        <w:rPr>
          <w:lang w:val="en-US"/>
        </w:rPr>
        <w:t xml:space="preserve"> </w:t>
      </w:r>
    </w:p>
    <w:p w14:paraId="1FE904FE" w14:textId="77777777" w:rsidR="00B2157E" w:rsidRDefault="00B2157E" w:rsidP="005A4218">
      <w:pPr>
        <w:spacing w:line="360" w:lineRule="auto"/>
        <w:jc w:val="both"/>
        <w:rPr>
          <w:lang w:val="en-US"/>
        </w:rPr>
      </w:pPr>
    </w:p>
    <w:p w14:paraId="49713EB8" w14:textId="513409E4" w:rsidR="00B2157E" w:rsidRDefault="00B2157E" w:rsidP="005A4218">
      <w:pPr>
        <w:spacing w:line="360" w:lineRule="auto"/>
        <w:jc w:val="both"/>
        <w:rPr>
          <w:rFonts w:eastAsia="Times New Roman" w:cs="Times New Roman"/>
        </w:rPr>
      </w:pPr>
      <w:r>
        <w:rPr>
          <w:lang w:val="en-US"/>
        </w:rPr>
        <w:t xml:space="preserve">In the </w:t>
      </w:r>
      <w:r w:rsidR="006B7648" w:rsidRPr="00AD4FBA">
        <w:rPr>
          <w:b/>
          <w:i/>
          <w:lang w:val="en-US"/>
        </w:rPr>
        <w:t xml:space="preserve">Case Concerning Armed Activities on the </w:t>
      </w:r>
      <w:proofErr w:type="spellStart"/>
      <w:r w:rsidR="006B7648" w:rsidRPr="00AD4FBA">
        <w:rPr>
          <w:b/>
          <w:i/>
          <w:lang w:val="en-US"/>
        </w:rPr>
        <w:t>Territorry</w:t>
      </w:r>
      <w:proofErr w:type="spellEnd"/>
      <w:r w:rsidR="006B7648" w:rsidRPr="00AD4FBA">
        <w:rPr>
          <w:b/>
          <w:i/>
          <w:lang w:val="en-US"/>
        </w:rPr>
        <w:t xml:space="preserve"> of the Congo</w:t>
      </w:r>
      <w:r w:rsidR="006B7648">
        <w:rPr>
          <w:i/>
          <w:lang w:val="en-US"/>
        </w:rPr>
        <w:t xml:space="preserve">, </w:t>
      </w:r>
      <w:r w:rsidR="006B7648">
        <w:rPr>
          <w:lang w:val="en-US"/>
        </w:rPr>
        <w:t xml:space="preserve">Uganda claimed that its troops were located on the territory of the Congo with the consent of the State and any actions taken beyond were justified by the use of self-defence against irregular </w:t>
      </w:r>
      <w:r w:rsidR="006B7648" w:rsidRPr="005835B9">
        <w:rPr>
          <w:lang w:val="en-US"/>
        </w:rPr>
        <w:t xml:space="preserve">forces and rebel groups, which were receiving aid from Sudan and the DRC. </w:t>
      </w:r>
      <w:r w:rsidR="009561FE" w:rsidRPr="005835B9">
        <w:rPr>
          <w:lang w:val="en-US"/>
        </w:rPr>
        <w:t xml:space="preserve">Although the Court found that the attacks against Uganda had indeed taken place, the ICJ </w:t>
      </w:r>
      <w:r w:rsidR="005835B9" w:rsidRPr="005835B9">
        <w:rPr>
          <w:lang w:val="en-US"/>
        </w:rPr>
        <w:t>stated that  “</w:t>
      </w:r>
      <w:r w:rsidR="005835B9" w:rsidRPr="005835B9">
        <w:rPr>
          <w:rFonts w:eastAsia="Times New Roman" w:cs="Times New Roman"/>
        </w:rPr>
        <w:t>even if this series of deplorable attacks could be regarded as cumulative in character, they still remained non-attributable to the DRC” within the sense of Article 3(g).</w:t>
      </w:r>
      <w:r w:rsidR="005835B9">
        <w:rPr>
          <w:rStyle w:val="FootnoteReference"/>
          <w:rFonts w:eastAsia="Times New Roman" w:cs="Times New Roman"/>
        </w:rPr>
        <w:footnoteReference w:id="32"/>
      </w:r>
      <w:r w:rsidR="005835B9" w:rsidRPr="005835B9">
        <w:rPr>
          <w:rFonts w:eastAsia="Times New Roman" w:cs="Times New Roman"/>
        </w:rPr>
        <w:t xml:space="preserve"> The jud</w:t>
      </w:r>
      <w:r w:rsidR="006018C7">
        <w:rPr>
          <w:rFonts w:eastAsia="Times New Roman" w:cs="Times New Roman"/>
        </w:rPr>
        <w:t>gment explicitly mentions that as “</w:t>
      </w:r>
      <w:r w:rsidR="005835B9" w:rsidRPr="005835B9">
        <w:rPr>
          <w:rFonts w:eastAsia="Times New Roman" w:cs="Times New Roman"/>
        </w:rPr>
        <w:t>the legal and factual circumstances for the exercise of a right of self-defence by Uganda a</w:t>
      </w:r>
      <w:r w:rsidR="006018C7">
        <w:rPr>
          <w:rFonts w:eastAsia="Times New Roman" w:cs="Times New Roman"/>
        </w:rPr>
        <w:t xml:space="preserve">gainst the DRC were not present” </w:t>
      </w:r>
      <w:r w:rsidR="006018C7" w:rsidRPr="00AD4FBA">
        <w:rPr>
          <w:rFonts w:eastAsia="Times New Roman" w:cs="Times New Roman"/>
          <w:u w:val="single"/>
        </w:rPr>
        <w:t>there is no necessity in explaining</w:t>
      </w:r>
      <w:r w:rsidR="005835B9" w:rsidRPr="00AD4FBA">
        <w:rPr>
          <w:rFonts w:eastAsia="Times New Roman" w:cs="Times New Roman"/>
          <w:u w:val="single"/>
        </w:rPr>
        <w:t xml:space="preserve"> </w:t>
      </w:r>
      <w:r w:rsidR="006018C7" w:rsidRPr="00AD4FBA">
        <w:rPr>
          <w:rFonts w:eastAsia="Times New Roman" w:cs="Times New Roman"/>
          <w:u w:val="single"/>
        </w:rPr>
        <w:t>“</w:t>
      </w:r>
      <w:r w:rsidR="005835B9" w:rsidRPr="00AD4FBA">
        <w:rPr>
          <w:rFonts w:eastAsia="Times New Roman" w:cs="Times New Roman"/>
          <w:u w:val="single"/>
        </w:rPr>
        <w:t>under what conditions contemporary international law provides for a right of self-defence against large-scale attacks by irregular forces.”</w:t>
      </w:r>
      <w:r w:rsidR="005835B9" w:rsidRPr="00AD4FBA">
        <w:rPr>
          <w:rStyle w:val="FootnoteReference"/>
          <w:rFonts w:eastAsia="Times New Roman" w:cs="Times New Roman"/>
          <w:u w:val="single"/>
        </w:rPr>
        <w:footnoteReference w:id="33"/>
      </w:r>
      <w:r w:rsidR="00D6528A">
        <w:rPr>
          <w:rFonts w:eastAsia="Times New Roman" w:cs="Times New Roman"/>
        </w:rPr>
        <w:t xml:space="preserve"> </w:t>
      </w:r>
    </w:p>
    <w:p w14:paraId="546C4B2A" w14:textId="77777777" w:rsidR="00D6528A" w:rsidRDefault="00D6528A" w:rsidP="005A4218">
      <w:pPr>
        <w:spacing w:line="360" w:lineRule="auto"/>
        <w:jc w:val="both"/>
        <w:rPr>
          <w:rFonts w:eastAsia="Times New Roman" w:cs="Times New Roman"/>
        </w:rPr>
      </w:pPr>
    </w:p>
    <w:p w14:paraId="598C7435" w14:textId="2844A4E1" w:rsidR="00D6528A" w:rsidRDefault="00D6528A" w:rsidP="005A4218">
      <w:pPr>
        <w:spacing w:line="360" w:lineRule="auto"/>
        <w:jc w:val="both"/>
        <w:rPr>
          <w:rFonts w:eastAsia="Times New Roman" w:cs="Times New Roman"/>
        </w:rPr>
      </w:pPr>
      <w:r>
        <w:rPr>
          <w:rFonts w:eastAsia="Times New Roman" w:cs="Times New Roman"/>
        </w:rPr>
        <w:t xml:space="preserve">From the decisions of the ICJ mentioned above, it is possible to draw a number of conclusions. Firstly, it is possible to identify the Court’s firm commitment to the traditional interpretation of the right of self-defence. Moreover, </w:t>
      </w:r>
      <w:r w:rsidR="00B74746">
        <w:rPr>
          <w:rFonts w:eastAsia="Times New Roman" w:cs="Times New Roman"/>
        </w:rPr>
        <w:t>the existence and applicability of the ‘necessity and proportionality principle’ was also confirmed by the Court. It seems, according to some legal scholars, that there is also evidence of the ICJ support of ‘the accumulation of events doctrine’ at least to some extent.</w:t>
      </w:r>
      <w:r w:rsidR="00B74746">
        <w:rPr>
          <w:rStyle w:val="FootnoteReference"/>
          <w:rFonts w:eastAsia="Times New Roman" w:cs="Times New Roman"/>
        </w:rPr>
        <w:footnoteReference w:id="34"/>
      </w:r>
      <w:r w:rsidR="00B74746">
        <w:rPr>
          <w:rFonts w:eastAsia="Times New Roman" w:cs="Times New Roman"/>
        </w:rPr>
        <w:t xml:space="preserve"> Secondly, it should be also mentioned that a considerable amount of academics (as well as a minority of the judges in their separate opinions) had criticised the ICJ’s “orthodox” approach</w:t>
      </w:r>
      <w:r w:rsidR="006A1A77">
        <w:rPr>
          <w:rFonts w:eastAsia="Times New Roman" w:cs="Times New Roman"/>
          <w:lang w:val="en-US"/>
        </w:rPr>
        <w:t xml:space="preserve"> in the </w:t>
      </w:r>
      <w:r w:rsidR="006A1A77" w:rsidRPr="006A1A77">
        <w:rPr>
          <w:rFonts w:eastAsia="Times New Roman" w:cs="Times New Roman"/>
          <w:i/>
          <w:lang w:val="en-US"/>
        </w:rPr>
        <w:t>Wall Advisory Opinion</w:t>
      </w:r>
      <w:r w:rsidR="006A1A77">
        <w:rPr>
          <w:rFonts w:eastAsia="Times New Roman" w:cs="Times New Roman"/>
          <w:lang w:val="en-US"/>
        </w:rPr>
        <w:t xml:space="preserve"> and </w:t>
      </w:r>
      <w:r w:rsidR="006A1A77" w:rsidRPr="006A1A77">
        <w:rPr>
          <w:rFonts w:eastAsia="Times New Roman" w:cs="Times New Roman"/>
          <w:i/>
          <w:lang w:val="en-US"/>
        </w:rPr>
        <w:t>DRC v Uganda</w:t>
      </w:r>
      <w:r w:rsidR="00B74746">
        <w:rPr>
          <w:rFonts w:eastAsia="Times New Roman" w:cs="Times New Roman"/>
        </w:rPr>
        <w:t xml:space="preserve"> due to a number of reasons.</w:t>
      </w:r>
      <w:r w:rsidR="00526E67">
        <w:rPr>
          <w:rStyle w:val="FootnoteReference"/>
          <w:rFonts w:eastAsia="Times New Roman" w:cs="Times New Roman"/>
        </w:rPr>
        <w:footnoteReference w:id="35"/>
      </w:r>
      <w:r w:rsidR="00B74746">
        <w:rPr>
          <w:rFonts w:eastAsia="Times New Roman" w:cs="Times New Roman"/>
        </w:rPr>
        <w:t xml:space="preserve"> Some suggest that the State practice and </w:t>
      </w:r>
      <w:r w:rsidR="00B74746" w:rsidRPr="00B74746">
        <w:rPr>
          <w:rFonts w:eastAsia="Times New Roman" w:cs="Times New Roman"/>
          <w:i/>
        </w:rPr>
        <w:t>opinion juris</w:t>
      </w:r>
      <w:r w:rsidR="00B74746">
        <w:rPr>
          <w:rFonts w:eastAsia="Times New Roman" w:cs="Times New Roman"/>
        </w:rPr>
        <w:t xml:space="preserve"> had considerably changed since the 1990’s and especially since the 9/11</w:t>
      </w:r>
      <w:r w:rsidR="006A1A77">
        <w:rPr>
          <w:rFonts w:eastAsia="Times New Roman" w:cs="Times New Roman"/>
        </w:rPr>
        <w:t xml:space="preserve"> terrorist attacks</w:t>
      </w:r>
      <w:r w:rsidR="00B74746">
        <w:rPr>
          <w:rFonts w:eastAsia="Times New Roman" w:cs="Times New Roman"/>
        </w:rPr>
        <w:t xml:space="preserve"> and subsequent UNSC Resolutions 1368 and 1373. Others were </w:t>
      </w:r>
      <w:r w:rsidR="00F15F11">
        <w:rPr>
          <w:rFonts w:eastAsia="Times New Roman" w:cs="Times New Roman"/>
        </w:rPr>
        <w:t>disappointed by the fact that the ICJ escaped from producing a more detailed view on the interpretation of the abovementioned counter-terrorist resolutions and the current customary law concerning self-defence against non-state actors. At least to some extent, it is perhaps possible to argue that it would be hard if not totally impossible to produce an accurate answer to these issues due to ambiguity in state practice and tendency</w:t>
      </w:r>
      <w:r w:rsidR="006A1A77">
        <w:rPr>
          <w:rFonts w:eastAsia="Times New Roman" w:cs="Times New Roman"/>
        </w:rPr>
        <w:t xml:space="preserve"> among certain States</w:t>
      </w:r>
      <w:r w:rsidR="00F15F11">
        <w:rPr>
          <w:rFonts w:eastAsia="Times New Roman" w:cs="Times New Roman"/>
        </w:rPr>
        <w:t xml:space="preserve"> to interpret Art 51 in a much broader way. </w:t>
      </w:r>
    </w:p>
    <w:p w14:paraId="6A151550" w14:textId="77777777" w:rsidR="00F15F11" w:rsidRDefault="00F15F11" w:rsidP="005A4218">
      <w:pPr>
        <w:spacing w:line="360" w:lineRule="auto"/>
        <w:jc w:val="both"/>
        <w:rPr>
          <w:rFonts w:eastAsia="Times New Roman" w:cs="Times New Roman"/>
        </w:rPr>
      </w:pPr>
    </w:p>
    <w:p w14:paraId="45DF9EDD" w14:textId="77777777" w:rsidR="00F15F11" w:rsidRPr="00F15F11" w:rsidRDefault="00F15F11" w:rsidP="005A4218">
      <w:pPr>
        <w:spacing w:line="360" w:lineRule="auto"/>
        <w:jc w:val="both"/>
        <w:rPr>
          <w:rFonts w:eastAsia="Times New Roman" w:cs="Times New Roman"/>
          <w:b/>
          <w:u w:val="single"/>
        </w:rPr>
      </w:pPr>
    </w:p>
    <w:p w14:paraId="2EDE6757" w14:textId="5F058135" w:rsidR="00F15F11" w:rsidRDefault="00F15F11" w:rsidP="005A4218">
      <w:pPr>
        <w:spacing w:line="360" w:lineRule="auto"/>
        <w:jc w:val="both"/>
        <w:rPr>
          <w:rFonts w:eastAsia="Times New Roman" w:cs="Times New Roman"/>
          <w:b/>
          <w:u w:val="single"/>
        </w:rPr>
      </w:pPr>
      <w:r w:rsidRPr="00F15F11">
        <w:rPr>
          <w:rFonts w:eastAsia="Times New Roman" w:cs="Times New Roman"/>
          <w:b/>
          <w:u w:val="single"/>
        </w:rPr>
        <w:t>State Practice:</w:t>
      </w:r>
    </w:p>
    <w:p w14:paraId="713ABE1F" w14:textId="77777777" w:rsidR="00F15F11" w:rsidRDefault="00F15F11" w:rsidP="005A4218">
      <w:pPr>
        <w:spacing w:line="360" w:lineRule="auto"/>
        <w:jc w:val="both"/>
        <w:rPr>
          <w:rFonts w:eastAsia="Times New Roman" w:cs="Times New Roman"/>
          <w:b/>
          <w:u w:val="single"/>
        </w:rPr>
      </w:pPr>
    </w:p>
    <w:p w14:paraId="7F42D5DC" w14:textId="4CFFE0ED" w:rsidR="00FF5C43" w:rsidRDefault="0075096D" w:rsidP="005A4218">
      <w:pPr>
        <w:spacing w:line="360" w:lineRule="auto"/>
        <w:jc w:val="both"/>
        <w:rPr>
          <w:rFonts w:eastAsia="Times New Roman" w:cs="Times New Roman"/>
        </w:rPr>
      </w:pPr>
      <w:r>
        <w:rPr>
          <w:rFonts w:eastAsia="Times New Roman" w:cs="Times New Roman"/>
        </w:rPr>
        <w:t xml:space="preserve">One of the earliest cases </w:t>
      </w:r>
      <w:r w:rsidR="00707BE3">
        <w:rPr>
          <w:rFonts w:eastAsia="Times New Roman" w:cs="Times New Roman"/>
        </w:rPr>
        <w:t>involving</w:t>
      </w:r>
      <w:r>
        <w:rPr>
          <w:rFonts w:eastAsia="Times New Roman" w:cs="Times New Roman"/>
        </w:rPr>
        <w:t xml:space="preserve"> the use of self-defence against a non-state actor happened in 1956, when Israel invoked its right under Art 51 against the </w:t>
      </w:r>
      <w:proofErr w:type="spellStart"/>
      <w:r w:rsidR="00FF5C43" w:rsidRPr="00FF5C43">
        <w:rPr>
          <w:rFonts w:eastAsia="Times New Roman" w:cs="Times New Roman"/>
          <w:i/>
        </w:rPr>
        <w:t>f</w:t>
      </w:r>
      <w:r w:rsidRPr="00FF5C43">
        <w:rPr>
          <w:rFonts w:eastAsia="Times New Roman" w:cs="Times New Roman"/>
          <w:i/>
        </w:rPr>
        <w:t>edayeen</w:t>
      </w:r>
      <w:proofErr w:type="spellEnd"/>
      <w:r>
        <w:rPr>
          <w:rFonts w:eastAsia="Times New Roman" w:cs="Times New Roman"/>
        </w:rPr>
        <w:t xml:space="preserve"> armed bands supported by Egypt. </w:t>
      </w:r>
      <w:r w:rsidR="00FF5C43">
        <w:rPr>
          <w:rFonts w:eastAsia="Times New Roman" w:cs="Times New Roman"/>
        </w:rPr>
        <w:t xml:space="preserve">Although Egypt’s involvement was generally viewed as significant, the actions of the Israeli armed forces occupying the whole Sinai </w:t>
      </w:r>
      <w:r w:rsidR="00F27F6E">
        <w:rPr>
          <w:rFonts w:eastAsia="Times New Roman" w:cs="Times New Roman"/>
        </w:rPr>
        <w:t>Peninsula</w:t>
      </w:r>
      <w:r w:rsidR="00FF5C43">
        <w:rPr>
          <w:rFonts w:eastAsia="Times New Roman" w:cs="Times New Roman"/>
        </w:rPr>
        <w:t xml:space="preserve"> were considered to be disproportionate.</w:t>
      </w:r>
      <w:r w:rsidR="00FF5C43">
        <w:rPr>
          <w:rStyle w:val="FootnoteReference"/>
          <w:rFonts w:eastAsia="Times New Roman" w:cs="Times New Roman"/>
        </w:rPr>
        <w:footnoteReference w:id="36"/>
      </w:r>
      <w:r w:rsidR="00F27F6E">
        <w:rPr>
          <w:rFonts w:eastAsia="Times New Roman" w:cs="Times New Roman"/>
        </w:rPr>
        <w:t xml:space="preserve"> Israel also turned to its inherent right</w:t>
      </w:r>
      <w:r w:rsidR="00F361BC">
        <w:rPr>
          <w:rFonts w:eastAsia="Times New Roman" w:cs="Times New Roman"/>
        </w:rPr>
        <w:t xml:space="preserve"> under Art 51</w:t>
      </w:r>
      <w:r w:rsidR="00F27F6E">
        <w:rPr>
          <w:rFonts w:eastAsia="Times New Roman" w:cs="Times New Roman"/>
        </w:rPr>
        <w:t xml:space="preserve"> in 1968, after the terrorist</w:t>
      </w:r>
      <w:r w:rsidR="00F361BC">
        <w:rPr>
          <w:rFonts w:eastAsia="Times New Roman" w:cs="Times New Roman"/>
        </w:rPr>
        <w:t xml:space="preserve"> attack on an Israeli airplane. According to Israel, the air attack on Beirut Airport was justified, as the authorities of Lebanon provided “safe heaven” to the terrorist by allowing them to operate from Lebanese territory.</w:t>
      </w:r>
      <w:r w:rsidR="004543FE">
        <w:rPr>
          <w:rStyle w:val="FootnoteReference"/>
          <w:rFonts w:eastAsia="Times New Roman" w:cs="Times New Roman"/>
        </w:rPr>
        <w:footnoteReference w:id="37"/>
      </w:r>
      <w:r w:rsidR="00F361BC">
        <w:rPr>
          <w:rFonts w:eastAsia="Times New Roman" w:cs="Times New Roman"/>
        </w:rPr>
        <w:t xml:space="preserve"> </w:t>
      </w:r>
      <w:proofErr w:type="gramStart"/>
      <w:r w:rsidR="004543FE">
        <w:rPr>
          <w:rFonts w:eastAsia="Times New Roman" w:cs="Times New Roman"/>
        </w:rPr>
        <w:t>Such a broad interp</w:t>
      </w:r>
      <w:r w:rsidR="00DC21E3">
        <w:rPr>
          <w:rFonts w:eastAsia="Times New Roman" w:cs="Times New Roman"/>
        </w:rPr>
        <w:t>retation of self-defence was condemned</w:t>
      </w:r>
      <w:r w:rsidR="004543FE">
        <w:rPr>
          <w:rFonts w:eastAsia="Times New Roman" w:cs="Times New Roman"/>
        </w:rPr>
        <w:t xml:space="preserve"> by the Security Council</w:t>
      </w:r>
      <w:proofErr w:type="gramEnd"/>
      <w:r w:rsidR="004543FE">
        <w:rPr>
          <w:rFonts w:eastAsia="Times New Roman" w:cs="Times New Roman"/>
        </w:rPr>
        <w:t xml:space="preserve"> – France, for instance, even compared these actions with an armed reprisal. Moreover, it was furthermore noted that the Israeli actions were disproportionate. Finally, it was doubtful if there was an armed attack in the first place.</w:t>
      </w:r>
      <w:r w:rsidR="00C77641">
        <w:rPr>
          <w:rFonts w:eastAsia="Times New Roman" w:cs="Times New Roman"/>
        </w:rPr>
        <w:t xml:space="preserve"> </w:t>
      </w:r>
      <w:r w:rsidR="00A95394">
        <w:rPr>
          <w:rFonts w:eastAsia="Times New Roman" w:cs="Times New Roman"/>
        </w:rPr>
        <w:t>The US has</w:t>
      </w:r>
      <w:r w:rsidR="00EB2495">
        <w:rPr>
          <w:rFonts w:eastAsia="Times New Roman" w:cs="Times New Roman"/>
        </w:rPr>
        <w:t xml:space="preserve"> resorted to the use of self-defence in 1993</w:t>
      </w:r>
      <w:r w:rsidR="00A95394">
        <w:rPr>
          <w:rFonts w:eastAsia="Times New Roman" w:cs="Times New Roman"/>
        </w:rPr>
        <w:t xml:space="preserve"> (Operation Infinite Reach)</w:t>
      </w:r>
      <w:r w:rsidR="00EB2495">
        <w:rPr>
          <w:rFonts w:eastAsia="Times New Roman" w:cs="Times New Roman"/>
        </w:rPr>
        <w:t xml:space="preserve"> against</w:t>
      </w:r>
      <w:r w:rsidR="005E5EA1">
        <w:rPr>
          <w:rFonts w:eastAsia="Times New Roman" w:cs="Times New Roman"/>
        </w:rPr>
        <w:t xml:space="preserve"> the terrorist groups harboured by</w:t>
      </w:r>
      <w:r w:rsidR="00EB2495">
        <w:rPr>
          <w:rFonts w:eastAsia="Times New Roman" w:cs="Times New Roman"/>
        </w:rPr>
        <w:t xml:space="preserve"> Afghanistan and Sudan, reacting</w:t>
      </w:r>
      <w:r w:rsidR="005E5EA1">
        <w:rPr>
          <w:rFonts w:eastAsia="Times New Roman" w:cs="Times New Roman"/>
        </w:rPr>
        <w:t xml:space="preserve"> to the terrorist attacks on American</w:t>
      </w:r>
      <w:r w:rsidR="00EB2495">
        <w:rPr>
          <w:rFonts w:eastAsia="Times New Roman" w:cs="Times New Roman"/>
        </w:rPr>
        <w:t xml:space="preserve"> embassies. The bombing of a pharmaceutical factory in Sudan (used for chemical weapons production, according to the US) was condemned by a number of countries including most of the Arab States, </w:t>
      </w:r>
      <w:r w:rsidR="005E5EA1">
        <w:rPr>
          <w:rFonts w:eastAsia="Times New Roman" w:cs="Times New Roman"/>
        </w:rPr>
        <w:t>Non-Alignment movement and Russia though received at least some level of support from a number of Western European States</w:t>
      </w:r>
      <w:proofErr w:type="gramStart"/>
      <w:r w:rsidR="00A95394">
        <w:rPr>
          <w:rFonts w:eastAsia="Times New Roman" w:cs="Times New Roman"/>
        </w:rPr>
        <w:t>;</w:t>
      </w:r>
      <w:proofErr w:type="gramEnd"/>
      <w:r w:rsidR="005E5EA1">
        <w:rPr>
          <w:rFonts w:eastAsia="Times New Roman" w:cs="Times New Roman"/>
        </w:rPr>
        <w:t xml:space="preserve"> though the attacks on Taliban facilities received less</w:t>
      </w:r>
      <w:r w:rsidR="00A95394">
        <w:rPr>
          <w:rFonts w:eastAsia="Times New Roman" w:cs="Times New Roman"/>
        </w:rPr>
        <w:t xml:space="preserve"> attention and</w:t>
      </w:r>
      <w:r w:rsidR="005E5EA1">
        <w:rPr>
          <w:rFonts w:eastAsia="Times New Roman" w:cs="Times New Roman"/>
        </w:rPr>
        <w:t xml:space="preserve"> condemnation.</w:t>
      </w:r>
      <w:r w:rsidR="006440A9">
        <w:rPr>
          <w:rStyle w:val="FootnoteReference"/>
          <w:rFonts w:eastAsia="Times New Roman" w:cs="Times New Roman"/>
        </w:rPr>
        <w:footnoteReference w:id="38"/>
      </w:r>
      <w:r w:rsidR="005E5EA1">
        <w:rPr>
          <w:rFonts w:eastAsia="Times New Roman" w:cs="Times New Roman"/>
        </w:rPr>
        <w:t xml:space="preserve"> It is also worth mentioning that this case, just as some other similar ones might</w:t>
      </w:r>
      <w:r w:rsidR="006440A9">
        <w:rPr>
          <w:rFonts w:eastAsia="Times New Roman" w:cs="Times New Roman"/>
        </w:rPr>
        <w:t xml:space="preserve"> rather</w:t>
      </w:r>
      <w:r w:rsidR="005E5EA1">
        <w:rPr>
          <w:rFonts w:eastAsia="Times New Roman" w:cs="Times New Roman"/>
        </w:rPr>
        <w:t xml:space="preserve"> </w:t>
      </w:r>
      <w:r w:rsidR="006440A9">
        <w:rPr>
          <w:rFonts w:eastAsia="Times New Roman" w:cs="Times New Roman"/>
        </w:rPr>
        <w:t>resemble an armed reprisal.</w:t>
      </w:r>
      <w:r w:rsidR="006440A9">
        <w:rPr>
          <w:rStyle w:val="FootnoteReference"/>
          <w:rFonts w:eastAsia="Times New Roman" w:cs="Times New Roman"/>
        </w:rPr>
        <w:footnoteReference w:id="39"/>
      </w:r>
      <w:r w:rsidR="006440A9">
        <w:rPr>
          <w:rFonts w:eastAsia="Times New Roman" w:cs="Times New Roman"/>
        </w:rPr>
        <w:t xml:space="preserve"> </w:t>
      </w:r>
    </w:p>
    <w:p w14:paraId="5D30578F" w14:textId="77777777" w:rsidR="001109DB" w:rsidRDefault="001109DB" w:rsidP="005A4218">
      <w:pPr>
        <w:spacing w:line="360" w:lineRule="auto"/>
        <w:jc w:val="both"/>
        <w:rPr>
          <w:rFonts w:eastAsia="Times New Roman" w:cs="Times New Roman"/>
        </w:rPr>
      </w:pPr>
    </w:p>
    <w:p w14:paraId="229BFAD8" w14:textId="7B7F3DAC" w:rsidR="001109DB" w:rsidRDefault="001109DB" w:rsidP="005A4218">
      <w:pPr>
        <w:spacing w:line="360" w:lineRule="auto"/>
        <w:jc w:val="both"/>
        <w:rPr>
          <w:rFonts w:eastAsia="Times New Roman" w:cs="Times New Roman"/>
        </w:rPr>
      </w:pPr>
      <w:r>
        <w:rPr>
          <w:rFonts w:eastAsia="Times New Roman" w:cs="Times New Roman"/>
        </w:rPr>
        <w:t>In general, it is evident from the reactions of the international community that self-defence against non-state actors was only acceptable in cases where the actions of non-state actors were attributable to a large extent to a State. Moreover, the principle of necessity and proportionality has always had a significant</w:t>
      </w:r>
      <w:r w:rsidR="00A95394">
        <w:rPr>
          <w:rFonts w:eastAsia="Times New Roman" w:cs="Times New Roman"/>
        </w:rPr>
        <w:t xml:space="preserve"> (and since the 1990’s often primary)</w:t>
      </w:r>
      <w:r>
        <w:rPr>
          <w:rFonts w:eastAsia="Times New Roman" w:cs="Times New Roman"/>
        </w:rPr>
        <w:t xml:space="preserve"> impact on the evaluation of these conflicts. At the same time, it should be also noted that some cases received a rather mixed reaction fr</w:t>
      </w:r>
      <w:r w:rsidR="00A95394">
        <w:rPr>
          <w:rFonts w:eastAsia="Times New Roman" w:cs="Times New Roman"/>
        </w:rPr>
        <w:t>om the international community, for instance Operation Infinite Reach by the US mentioned above. Frank, observing Turkish self-defence against Kurdish insurgents from Iraq concludes that ”</w:t>
      </w:r>
      <w:r w:rsidR="00A95394" w:rsidRPr="00A95394">
        <w:rPr>
          <w:rFonts w:eastAsia="Times New Roman" w:cs="Times New Roman"/>
        </w:rPr>
        <w:t>the international system, at least in practice if</w:t>
      </w:r>
      <w:r w:rsidR="00A95394">
        <w:rPr>
          <w:rFonts w:eastAsia="Times New Roman" w:cs="Times New Roman"/>
        </w:rPr>
        <w:t xml:space="preserve"> not yet in theory, was growing </w:t>
      </w:r>
      <w:r w:rsidR="00A95394" w:rsidRPr="00A95394">
        <w:rPr>
          <w:rFonts w:eastAsia="Times New Roman" w:cs="Times New Roman"/>
        </w:rPr>
        <w:t>more</w:t>
      </w:r>
      <w:r w:rsidR="00A95394">
        <w:rPr>
          <w:rFonts w:eastAsia="Times New Roman" w:cs="Times New Roman"/>
        </w:rPr>
        <w:t xml:space="preserve"> </w:t>
      </w:r>
      <w:r w:rsidR="00A95394" w:rsidRPr="00A95394">
        <w:rPr>
          <w:rFonts w:eastAsia="Times New Roman" w:cs="Times New Roman"/>
        </w:rPr>
        <w:t>accepting</w:t>
      </w:r>
      <w:r w:rsidR="00A95394">
        <w:rPr>
          <w:rFonts w:eastAsia="Times New Roman" w:cs="Times New Roman"/>
        </w:rPr>
        <w:t xml:space="preserve"> </w:t>
      </w:r>
      <w:r w:rsidR="00A95394" w:rsidRPr="00A95394">
        <w:rPr>
          <w:rFonts w:eastAsia="Times New Roman" w:cs="Times New Roman"/>
        </w:rPr>
        <w:t>of</w:t>
      </w:r>
      <w:r w:rsidR="00A95394">
        <w:rPr>
          <w:rFonts w:eastAsia="Times New Roman" w:cs="Times New Roman"/>
        </w:rPr>
        <w:t xml:space="preserve"> </w:t>
      </w:r>
      <w:r w:rsidR="00A95394" w:rsidRPr="00A95394">
        <w:rPr>
          <w:rFonts w:eastAsia="Times New Roman" w:cs="Times New Roman"/>
        </w:rPr>
        <w:t>the</w:t>
      </w:r>
      <w:r w:rsidR="00A95394">
        <w:rPr>
          <w:rFonts w:eastAsia="Times New Roman" w:cs="Times New Roman"/>
        </w:rPr>
        <w:t xml:space="preserve"> </w:t>
      </w:r>
      <w:r w:rsidR="00A95394" w:rsidRPr="00A95394">
        <w:rPr>
          <w:rFonts w:eastAsia="Times New Roman" w:cs="Times New Roman"/>
        </w:rPr>
        <w:t>(proportionate)</w:t>
      </w:r>
      <w:r w:rsidR="00A95394">
        <w:rPr>
          <w:rFonts w:eastAsia="Times New Roman" w:cs="Times New Roman"/>
        </w:rPr>
        <w:t xml:space="preserve"> </w:t>
      </w:r>
      <w:r w:rsidR="00A95394" w:rsidRPr="00A95394">
        <w:rPr>
          <w:rFonts w:eastAsia="Times New Roman" w:cs="Times New Roman"/>
        </w:rPr>
        <w:t>use</w:t>
      </w:r>
      <w:r w:rsidR="00A95394">
        <w:rPr>
          <w:rFonts w:eastAsia="Times New Roman" w:cs="Times New Roman"/>
        </w:rPr>
        <w:t xml:space="preserve"> </w:t>
      </w:r>
      <w:r w:rsidR="00A95394" w:rsidRPr="00A95394">
        <w:rPr>
          <w:rFonts w:eastAsia="Times New Roman" w:cs="Times New Roman"/>
        </w:rPr>
        <w:t>o</w:t>
      </w:r>
      <w:r w:rsidR="00A95394">
        <w:rPr>
          <w:rFonts w:eastAsia="Times New Roman" w:cs="Times New Roman"/>
        </w:rPr>
        <w:t>f f</w:t>
      </w:r>
      <w:r w:rsidR="00A95394" w:rsidRPr="00A95394">
        <w:rPr>
          <w:rFonts w:eastAsia="Times New Roman" w:cs="Times New Roman"/>
        </w:rPr>
        <w:t>orce</w:t>
      </w:r>
      <w:r w:rsidR="00A95394">
        <w:rPr>
          <w:rFonts w:eastAsia="Times New Roman" w:cs="Times New Roman"/>
        </w:rPr>
        <w:t xml:space="preserve"> </w:t>
      </w:r>
      <w:r w:rsidR="00A95394" w:rsidRPr="00A95394">
        <w:rPr>
          <w:rFonts w:eastAsia="Times New Roman" w:cs="Times New Roman"/>
        </w:rPr>
        <w:t>by</w:t>
      </w:r>
      <w:r w:rsidR="00A95394">
        <w:rPr>
          <w:rFonts w:eastAsia="Times New Roman" w:cs="Times New Roman"/>
        </w:rPr>
        <w:t xml:space="preserve"> </w:t>
      </w:r>
      <w:r w:rsidR="00A95394" w:rsidRPr="00A95394">
        <w:rPr>
          <w:rFonts w:eastAsia="Times New Roman" w:cs="Times New Roman"/>
        </w:rPr>
        <w:t>a</w:t>
      </w:r>
      <w:r w:rsidR="00A95394">
        <w:rPr>
          <w:rFonts w:eastAsia="Times New Roman" w:cs="Times New Roman"/>
        </w:rPr>
        <w:t xml:space="preserve"> </w:t>
      </w:r>
      <w:r w:rsidR="00A95394" w:rsidRPr="00A95394">
        <w:rPr>
          <w:rFonts w:eastAsia="Times New Roman" w:cs="Times New Roman"/>
        </w:rPr>
        <w:t>state</w:t>
      </w:r>
      <w:r w:rsidR="00A95394">
        <w:rPr>
          <w:rFonts w:eastAsia="Times New Roman" w:cs="Times New Roman"/>
        </w:rPr>
        <w:t xml:space="preserve"> </w:t>
      </w:r>
      <w:r w:rsidR="00A95394" w:rsidRPr="00A95394">
        <w:rPr>
          <w:rFonts w:eastAsia="Times New Roman" w:cs="Times New Roman"/>
        </w:rPr>
        <w:t>against neighbo</w:t>
      </w:r>
      <w:r w:rsidR="00464157">
        <w:rPr>
          <w:rFonts w:eastAsia="Times New Roman" w:cs="Times New Roman"/>
        </w:rPr>
        <w:t>u</w:t>
      </w:r>
      <w:r w:rsidR="00A95394" w:rsidRPr="00A95394">
        <w:rPr>
          <w:rFonts w:eastAsia="Times New Roman" w:cs="Times New Roman"/>
        </w:rPr>
        <w:t>ring states that persist in providing safe havens for the cross</w:t>
      </w:r>
      <w:r w:rsidR="00A95394">
        <w:rPr>
          <w:rFonts w:eastAsia="Times New Roman" w:cs="Times New Roman"/>
        </w:rPr>
        <w:t xml:space="preserve"> </w:t>
      </w:r>
      <w:r w:rsidR="00A95394" w:rsidRPr="00A95394">
        <w:rPr>
          <w:rFonts w:eastAsia="Times New Roman" w:cs="Times New Roman"/>
        </w:rPr>
        <w:t>border</w:t>
      </w:r>
      <w:r w:rsidR="00A95394">
        <w:rPr>
          <w:rFonts w:eastAsia="Times New Roman" w:cs="Times New Roman"/>
        </w:rPr>
        <w:t xml:space="preserve"> </w:t>
      </w:r>
      <w:r w:rsidR="00A95394" w:rsidRPr="00A95394">
        <w:rPr>
          <w:rFonts w:eastAsia="Times New Roman" w:cs="Times New Roman"/>
        </w:rPr>
        <w:t>incursions</w:t>
      </w:r>
      <w:r w:rsidR="00A95394">
        <w:rPr>
          <w:rFonts w:eastAsia="Times New Roman" w:cs="Times New Roman"/>
        </w:rPr>
        <w:t xml:space="preserve"> </w:t>
      </w:r>
      <w:r w:rsidR="00A95394" w:rsidRPr="00A95394">
        <w:rPr>
          <w:rFonts w:eastAsia="Times New Roman" w:cs="Times New Roman"/>
        </w:rPr>
        <w:t>of</w:t>
      </w:r>
      <w:r w:rsidR="00A95394">
        <w:rPr>
          <w:rFonts w:eastAsia="Times New Roman" w:cs="Times New Roman"/>
        </w:rPr>
        <w:t xml:space="preserve"> </w:t>
      </w:r>
      <w:r w:rsidR="00A95394" w:rsidRPr="00A95394">
        <w:rPr>
          <w:rFonts w:eastAsia="Times New Roman" w:cs="Times New Roman"/>
        </w:rPr>
        <w:t>irregular</w:t>
      </w:r>
      <w:r w:rsidR="00A95394">
        <w:rPr>
          <w:rFonts w:eastAsia="Times New Roman" w:cs="Times New Roman"/>
        </w:rPr>
        <w:t xml:space="preserve"> </w:t>
      </w:r>
      <w:r w:rsidR="00A95394" w:rsidRPr="00A95394">
        <w:rPr>
          <w:rFonts w:eastAsia="Times New Roman" w:cs="Times New Roman"/>
        </w:rPr>
        <w:t>forces</w:t>
      </w:r>
      <w:r w:rsidR="00A95394">
        <w:rPr>
          <w:rFonts w:eastAsia="Times New Roman" w:cs="Times New Roman"/>
        </w:rPr>
        <w:t>.”</w:t>
      </w:r>
      <w:r w:rsidR="00A95394">
        <w:rPr>
          <w:rStyle w:val="FootnoteReference"/>
          <w:rFonts w:eastAsia="Times New Roman" w:cs="Times New Roman"/>
        </w:rPr>
        <w:footnoteReference w:id="40"/>
      </w:r>
    </w:p>
    <w:p w14:paraId="665EF822" w14:textId="77777777" w:rsidR="00464157" w:rsidRDefault="00464157" w:rsidP="005A4218">
      <w:pPr>
        <w:spacing w:line="360" w:lineRule="auto"/>
        <w:jc w:val="both"/>
        <w:rPr>
          <w:rFonts w:eastAsia="Times New Roman" w:cs="Times New Roman"/>
        </w:rPr>
      </w:pPr>
    </w:p>
    <w:p w14:paraId="64622936" w14:textId="2B3BC075" w:rsidR="00464157" w:rsidRDefault="00BC5694" w:rsidP="005A4218">
      <w:pPr>
        <w:spacing w:line="360" w:lineRule="auto"/>
        <w:jc w:val="both"/>
        <w:rPr>
          <w:rFonts w:eastAsia="Times New Roman" w:cs="Times New Roman"/>
        </w:rPr>
      </w:pPr>
      <w:r>
        <w:rPr>
          <w:rFonts w:eastAsia="Times New Roman" w:cs="Times New Roman"/>
        </w:rPr>
        <w:t>The adoption of</w:t>
      </w:r>
      <w:r w:rsidR="0039120A">
        <w:rPr>
          <w:rFonts w:eastAsia="Times New Roman" w:cs="Times New Roman"/>
        </w:rPr>
        <w:t xml:space="preserve"> UNSC</w:t>
      </w:r>
      <w:r>
        <w:rPr>
          <w:rFonts w:eastAsia="Times New Roman" w:cs="Times New Roman"/>
        </w:rPr>
        <w:t xml:space="preserve"> Resolutions 1368 and 1373 after the events of September 11 had a significant impact on the international community’s view on </w:t>
      </w:r>
      <w:r w:rsidR="00F16480">
        <w:rPr>
          <w:rFonts w:eastAsia="Times New Roman" w:cs="Times New Roman"/>
        </w:rPr>
        <w:t xml:space="preserve">self-defence against non-state actors and particularly against terrorist organisations. </w:t>
      </w:r>
      <w:r w:rsidR="0039120A">
        <w:rPr>
          <w:rFonts w:eastAsia="Times New Roman" w:cs="Times New Roman"/>
        </w:rPr>
        <w:t>Resolution 1368 condemned the attacks and held them, just as “any act of international terrorism” to constitute “a threat to international peace and security.”</w:t>
      </w:r>
      <w:r w:rsidR="00F343E6">
        <w:rPr>
          <w:rStyle w:val="FootnoteReference"/>
          <w:rFonts w:eastAsia="Times New Roman" w:cs="Times New Roman"/>
        </w:rPr>
        <w:footnoteReference w:id="41"/>
      </w:r>
      <w:r w:rsidR="0039120A">
        <w:rPr>
          <w:rFonts w:eastAsia="Times New Roman" w:cs="Times New Roman"/>
        </w:rPr>
        <w:t xml:space="preserve"> Resolution 1373 created a list of obligations and suggestions to States in order to fight against international terrorism, such as preventing all the types of support to the terrorist organisations, exercise of effective border control etc. Moreover, both Resolutions expressly referred in their preambles to the rig</w:t>
      </w:r>
      <w:r w:rsidR="00D94031">
        <w:rPr>
          <w:rFonts w:eastAsia="Times New Roman" w:cs="Times New Roman"/>
        </w:rPr>
        <w:t>ht of self-defence. Resolutions</w:t>
      </w:r>
      <w:r w:rsidR="0039120A">
        <w:rPr>
          <w:rFonts w:eastAsia="Times New Roman" w:cs="Times New Roman"/>
        </w:rPr>
        <w:t xml:space="preserve"> as well as the following act of collective self-defence against th</w:t>
      </w:r>
      <w:r w:rsidR="00D94031">
        <w:rPr>
          <w:rFonts w:eastAsia="Times New Roman" w:cs="Times New Roman"/>
        </w:rPr>
        <w:t>e Taliban regime in Afghanistan, which was considered to be the main supporter of the Al-Qaeda, received an extremely wide support from the international community. The above-described events, however, led to ambiguity concerning the views on the interpretation of self-defence. While some</w:t>
      </w:r>
      <w:r w:rsidR="00F343E6">
        <w:rPr>
          <w:rFonts w:eastAsia="Times New Roman" w:cs="Times New Roman"/>
        </w:rPr>
        <w:t xml:space="preserve"> academics</w:t>
      </w:r>
      <w:r w:rsidR="00D94031">
        <w:rPr>
          <w:rFonts w:eastAsia="Times New Roman" w:cs="Times New Roman"/>
        </w:rPr>
        <w:t xml:space="preserve"> found it possible to describe them as creating an instant custom and emphasising reference to self-defence in both Security Council Resolutions, others adopted less radical stances, pointing out that this references were only in</w:t>
      </w:r>
      <w:r w:rsidR="00A7033E">
        <w:rPr>
          <w:rFonts w:eastAsia="Times New Roman" w:cs="Times New Roman"/>
        </w:rPr>
        <w:t>cluded in the preambles.</w:t>
      </w:r>
      <w:r w:rsidR="00F343E6">
        <w:rPr>
          <w:rStyle w:val="FootnoteReference"/>
          <w:rFonts w:eastAsia="Times New Roman" w:cs="Times New Roman"/>
        </w:rPr>
        <w:footnoteReference w:id="42"/>
      </w:r>
      <w:r w:rsidR="00A7033E">
        <w:rPr>
          <w:rFonts w:eastAsia="Times New Roman" w:cs="Times New Roman"/>
        </w:rPr>
        <w:t xml:space="preserve"> But at</w:t>
      </w:r>
      <w:r w:rsidR="00D94031">
        <w:rPr>
          <w:rFonts w:eastAsia="Times New Roman" w:cs="Times New Roman"/>
        </w:rPr>
        <w:t xml:space="preserve"> another extreme, it was also possible to see these events simply as an exception without any precedential value. </w:t>
      </w:r>
    </w:p>
    <w:p w14:paraId="6F98E739" w14:textId="77777777" w:rsidR="00A7033E" w:rsidRDefault="00A7033E" w:rsidP="005A4218">
      <w:pPr>
        <w:spacing w:line="360" w:lineRule="auto"/>
        <w:jc w:val="both"/>
        <w:rPr>
          <w:rFonts w:eastAsia="Times New Roman" w:cs="Times New Roman"/>
        </w:rPr>
      </w:pPr>
    </w:p>
    <w:p w14:paraId="04651155" w14:textId="39F628FF" w:rsidR="00460CFE" w:rsidRDefault="00F11C96" w:rsidP="005A4218">
      <w:pPr>
        <w:spacing w:line="360" w:lineRule="auto"/>
        <w:jc w:val="both"/>
        <w:rPr>
          <w:rFonts w:eastAsia="Times New Roman" w:cs="Times New Roman"/>
          <w:lang w:val="en-US"/>
        </w:rPr>
      </w:pPr>
      <w:r>
        <w:rPr>
          <w:rFonts w:eastAsia="Times New Roman" w:cs="Times New Roman"/>
        </w:rPr>
        <w:t>In any case, there is no doubt that state practice and the opinions of the States became more ambiguous and less consistent after the September 11 attacks. The ‘harbouring doctrine’</w:t>
      </w:r>
      <w:r>
        <w:rPr>
          <w:rFonts w:eastAsia="Times New Roman" w:cs="Times New Roman"/>
          <w:lang w:val="en-US"/>
        </w:rPr>
        <w:t>, which was so far supporter by a very small number of States,</w:t>
      </w:r>
      <w:r>
        <w:rPr>
          <w:rStyle w:val="FootnoteReference"/>
          <w:rFonts w:eastAsia="Times New Roman" w:cs="Times New Roman"/>
          <w:lang w:val="en-US"/>
        </w:rPr>
        <w:footnoteReference w:id="43"/>
      </w:r>
      <w:r>
        <w:rPr>
          <w:rFonts w:eastAsia="Times New Roman" w:cs="Times New Roman"/>
          <w:lang w:val="en-US"/>
        </w:rPr>
        <w:t xml:space="preserve"> gained wider acceptance. </w:t>
      </w:r>
      <w:r w:rsidR="00E756E7">
        <w:rPr>
          <w:rFonts w:eastAsia="Times New Roman" w:cs="Times New Roman"/>
          <w:lang w:val="en-US"/>
        </w:rPr>
        <w:t>A number</w:t>
      </w:r>
      <w:r>
        <w:rPr>
          <w:rFonts w:eastAsia="Times New Roman" w:cs="Times New Roman"/>
          <w:lang w:val="en-US"/>
        </w:rPr>
        <w:t xml:space="preserve"> State leaders and international organisations </w:t>
      </w:r>
      <w:r w:rsidR="00E756E7">
        <w:rPr>
          <w:rFonts w:eastAsia="Times New Roman" w:cs="Times New Roman"/>
          <w:lang w:val="en-US"/>
        </w:rPr>
        <w:t>had also made strong statements concerning their right to invoke self-defence against terrorist groups.</w:t>
      </w:r>
      <w:r w:rsidR="00E756E7">
        <w:rPr>
          <w:rStyle w:val="FootnoteReference"/>
          <w:rFonts w:eastAsia="Times New Roman" w:cs="Times New Roman"/>
          <w:lang w:val="en-US"/>
        </w:rPr>
        <w:footnoteReference w:id="44"/>
      </w:r>
      <w:r w:rsidR="00E62DE4">
        <w:rPr>
          <w:rFonts w:eastAsia="Times New Roman" w:cs="Times New Roman"/>
          <w:lang w:val="en-US"/>
        </w:rPr>
        <w:t xml:space="preserve"> Israeli self-defence against Hezbollah in 2006 (justified by Lebanon’s inability to exercise control over parts of its territory</w:t>
      </w:r>
      <w:r w:rsidR="00E055D6">
        <w:rPr>
          <w:rFonts w:eastAsia="Times New Roman" w:cs="Times New Roman"/>
          <w:lang w:val="en-US"/>
        </w:rPr>
        <w:t xml:space="preserve"> therefore allowing terrorists to commit attacks</w:t>
      </w:r>
      <w:r w:rsidR="00E62DE4">
        <w:rPr>
          <w:rFonts w:eastAsia="Times New Roman" w:cs="Times New Roman"/>
          <w:lang w:val="en-US"/>
        </w:rPr>
        <w:t xml:space="preserve"> and </w:t>
      </w:r>
      <w:r w:rsidR="00E055D6">
        <w:rPr>
          <w:rFonts w:eastAsia="Times New Roman" w:cs="Times New Roman"/>
          <w:lang w:val="en-US"/>
        </w:rPr>
        <w:t>also relying on the UNSC counter-terrorist resolutions), was met with mixed reactions, though it is notable that the criticism was often based not on the broad interpretation of Article 51, but on disproportionate character of the use of force.</w:t>
      </w:r>
      <w:r w:rsidR="001F0379">
        <w:rPr>
          <w:rStyle w:val="FootnoteReference"/>
          <w:rFonts w:eastAsia="Times New Roman" w:cs="Times New Roman"/>
          <w:lang w:val="en-US"/>
        </w:rPr>
        <w:footnoteReference w:id="45"/>
      </w:r>
      <w:r w:rsidR="00E055D6">
        <w:rPr>
          <w:rFonts w:eastAsia="Times New Roman" w:cs="Times New Roman"/>
          <w:lang w:val="en-US"/>
        </w:rPr>
        <w:t xml:space="preserve"> </w:t>
      </w:r>
      <w:r w:rsidR="001A1C69">
        <w:rPr>
          <w:rFonts w:eastAsia="Times New Roman" w:cs="Times New Roman"/>
          <w:lang w:val="en-US"/>
        </w:rPr>
        <w:t>When Turkey conducted Operation ‘Sun’ against Kurds in Iraq, it had neither notified the UNSC nor provided any concrete legal justification for this self-defence action.</w:t>
      </w:r>
      <w:r w:rsidR="001F0379">
        <w:rPr>
          <w:rStyle w:val="FootnoteReference"/>
          <w:rFonts w:eastAsia="Times New Roman" w:cs="Times New Roman"/>
          <w:lang w:val="en-US"/>
        </w:rPr>
        <w:footnoteReference w:id="46"/>
      </w:r>
      <w:r w:rsidR="009D11E0">
        <w:rPr>
          <w:rFonts w:eastAsia="Times New Roman" w:cs="Times New Roman"/>
          <w:lang w:val="en-US"/>
        </w:rPr>
        <w:t xml:space="preserve"> </w:t>
      </w:r>
      <w:r w:rsidR="001A1C69">
        <w:rPr>
          <w:rFonts w:eastAsia="Times New Roman" w:cs="Times New Roman"/>
          <w:lang w:val="en-US"/>
        </w:rPr>
        <w:t xml:space="preserve">International reaction appeared to be also somewhat muted – the reaction of the EU members was mixed and in </w:t>
      </w:r>
      <w:r w:rsidR="00460CFE">
        <w:rPr>
          <w:rFonts w:eastAsia="Times New Roman" w:cs="Times New Roman"/>
          <w:lang w:val="en-US"/>
        </w:rPr>
        <w:t xml:space="preserve">general avoided legal </w:t>
      </w:r>
      <w:proofErr w:type="gramStart"/>
      <w:r w:rsidR="00460CFE">
        <w:rPr>
          <w:rFonts w:eastAsia="Times New Roman" w:cs="Times New Roman"/>
          <w:lang w:val="en-US"/>
        </w:rPr>
        <w:t>arguments  with</w:t>
      </w:r>
      <w:proofErr w:type="gramEnd"/>
      <w:r w:rsidR="00460CFE">
        <w:rPr>
          <w:rFonts w:eastAsia="Times New Roman" w:cs="Times New Roman"/>
          <w:lang w:val="en-US"/>
        </w:rPr>
        <w:t xml:space="preserve"> the exception of necessity and proportionality principle. At the same time, in some other cases, for instance Israeli self-defence action against armed groups in Syria in 2003 and Colombian campaign against revolutionary forces from Ecuador in 2008, States adopted a more conservative position.</w:t>
      </w:r>
      <w:r w:rsidR="001F0379">
        <w:rPr>
          <w:rStyle w:val="FootnoteReference"/>
          <w:rFonts w:eastAsia="Times New Roman" w:cs="Times New Roman"/>
          <w:lang w:val="en-US"/>
        </w:rPr>
        <w:footnoteReference w:id="47"/>
      </w:r>
      <w:r w:rsidR="00460CFE">
        <w:rPr>
          <w:rFonts w:eastAsia="Times New Roman" w:cs="Times New Roman"/>
          <w:lang w:val="en-US"/>
        </w:rPr>
        <w:t xml:space="preserve"> Therefore, it is possible to </w:t>
      </w:r>
      <w:r w:rsidR="004678A6">
        <w:rPr>
          <w:rFonts w:eastAsia="Times New Roman" w:cs="Times New Roman"/>
          <w:lang w:val="en-US"/>
        </w:rPr>
        <w:t>argue</w:t>
      </w:r>
      <w:r w:rsidR="00460CFE">
        <w:rPr>
          <w:rFonts w:eastAsia="Times New Roman" w:cs="Times New Roman"/>
          <w:lang w:val="en-US"/>
        </w:rPr>
        <w:t xml:space="preserve"> that </w:t>
      </w:r>
      <w:r w:rsidR="004678A6">
        <w:rPr>
          <w:rFonts w:eastAsia="Times New Roman" w:cs="Times New Roman"/>
          <w:lang w:val="en-US"/>
        </w:rPr>
        <w:t>the current state of customary law regarding self-defence against non-state actors remained largely unclear after the events of the 9/11 attacks, especially if speaking about the principles of attribution.</w:t>
      </w:r>
    </w:p>
    <w:p w14:paraId="69F3EF01" w14:textId="77777777" w:rsidR="004678A6" w:rsidRDefault="004678A6" w:rsidP="005A4218">
      <w:pPr>
        <w:spacing w:line="360" w:lineRule="auto"/>
        <w:jc w:val="both"/>
        <w:rPr>
          <w:rFonts w:eastAsia="Times New Roman" w:cs="Times New Roman"/>
          <w:lang w:val="en-US"/>
        </w:rPr>
      </w:pPr>
    </w:p>
    <w:p w14:paraId="2AEEF39E" w14:textId="77777777" w:rsidR="004678A6" w:rsidRDefault="004678A6" w:rsidP="005A4218">
      <w:pPr>
        <w:spacing w:line="360" w:lineRule="auto"/>
        <w:jc w:val="both"/>
        <w:rPr>
          <w:rFonts w:eastAsia="Times New Roman" w:cs="Times New Roman"/>
          <w:lang w:val="en-US"/>
        </w:rPr>
      </w:pPr>
    </w:p>
    <w:p w14:paraId="771A744D" w14:textId="63D9FA81" w:rsidR="004678A6" w:rsidRDefault="004678A6" w:rsidP="005A4218">
      <w:pPr>
        <w:spacing w:line="360" w:lineRule="auto"/>
        <w:jc w:val="both"/>
        <w:rPr>
          <w:rFonts w:eastAsia="Times New Roman" w:cs="Times New Roman"/>
          <w:b/>
          <w:u w:val="single"/>
          <w:lang w:val="en-US"/>
        </w:rPr>
      </w:pPr>
      <w:r w:rsidRPr="004678A6">
        <w:rPr>
          <w:rFonts w:eastAsia="Times New Roman" w:cs="Times New Roman"/>
          <w:b/>
          <w:u w:val="single"/>
          <w:lang w:val="en-US"/>
        </w:rPr>
        <w:t>Islamic State in Iraq and the Levant</w:t>
      </w:r>
      <w:r w:rsidR="001F0379">
        <w:rPr>
          <w:rFonts w:eastAsia="Times New Roman" w:cs="Times New Roman"/>
          <w:b/>
          <w:u w:val="single"/>
          <w:lang w:val="en-US"/>
        </w:rPr>
        <w:t xml:space="preserve"> Actions in Syria</w:t>
      </w:r>
      <w:r w:rsidRPr="004678A6">
        <w:rPr>
          <w:rFonts w:eastAsia="Times New Roman" w:cs="Times New Roman"/>
          <w:b/>
          <w:u w:val="single"/>
          <w:lang w:val="en-US"/>
        </w:rPr>
        <w:t>:</w:t>
      </w:r>
    </w:p>
    <w:p w14:paraId="581E25A0" w14:textId="77777777" w:rsidR="004678A6" w:rsidRDefault="004678A6" w:rsidP="005A4218">
      <w:pPr>
        <w:spacing w:line="360" w:lineRule="auto"/>
        <w:jc w:val="both"/>
        <w:rPr>
          <w:rFonts w:eastAsia="Times New Roman" w:cs="Times New Roman"/>
          <w:b/>
          <w:u w:val="single"/>
          <w:lang w:val="en-US"/>
        </w:rPr>
      </w:pPr>
    </w:p>
    <w:p w14:paraId="5E0EF7CA" w14:textId="21C461CE" w:rsidR="00B108E4" w:rsidRDefault="00D31248" w:rsidP="005A4218">
      <w:pPr>
        <w:spacing w:line="360" w:lineRule="auto"/>
        <w:jc w:val="both"/>
        <w:rPr>
          <w:rFonts w:eastAsia="Times New Roman" w:cs="Times New Roman"/>
          <w:lang w:val="en-US"/>
        </w:rPr>
      </w:pPr>
      <w:r>
        <w:rPr>
          <w:rFonts w:eastAsia="Times New Roman" w:cs="Times New Roman"/>
          <w:lang w:val="en-US"/>
        </w:rPr>
        <w:t>T</w:t>
      </w:r>
      <w:r w:rsidR="00AA2AD1">
        <w:rPr>
          <w:rFonts w:eastAsia="Times New Roman" w:cs="Times New Roman"/>
          <w:lang w:val="en-US"/>
        </w:rPr>
        <w:t xml:space="preserve">he Islamic State of Iraq and the Levant headed by Abu </w:t>
      </w:r>
      <w:proofErr w:type="spellStart"/>
      <w:r w:rsidR="00AA2AD1">
        <w:rPr>
          <w:rFonts w:eastAsia="Times New Roman" w:cs="Times New Roman"/>
          <w:lang w:val="en-US"/>
        </w:rPr>
        <w:t>Bakr</w:t>
      </w:r>
      <w:proofErr w:type="spellEnd"/>
      <w:r w:rsidR="00AA2AD1">
        <w:rPr>
          <w:rFonts w:eastAsia="Times New Roman" w:cs="Times New Roman"/>
          <w:lang w:val="en-US"/>
        </w:rPr>
        <w:t xml:space="preserve"> al-Baghdadi gained a great amount of attention due to successful leading military expansion on the territories of Iraq and Syria and more modest activities on in a number of other North African and Middle-Eastern states. </w:t>
      </w:r>
      <w:r w:rsidR="004D20F2">
        <w:rPr>
          <w:rFonts w:eastAsia="Times New Roman" w:cs="Times New Roman"/>
          <w:lang w:val="en-US"/>
        </w:rPr>
        <w:t xml:space="preserve">The United States and a number of other countries commenced air attacks against ISIS and against </w:t>
      </w:r>
      <w:proofErr w:type="spellStart"/>
      <w:r w:rsidR="004D20F2">
        <w:rPr>
          <w:rFonts w:eastAsia="Times New Roman" w:cs="Times New Roman"/>
          <w:lang w:val="en-US"/>
        </w:rPr>
        <w:t>Khorasan</w:t>
      </w:r>
      <w:proofErr w:type="spellEnd"/>
      <w:r w:rsidR="004D20F2">
        <w:rPr>
          <w:rFonts w:eastAsia="Times New Roman" w:cs="Times New Roman"/>
          <w:lang w:val="en-US"/>
        </w:rPr>
        <w:t xml:space="preserve"> Group in October 2014.</w:t>
      </w:r>
      <w:r w:rsidR="00D82855">
        <w:rPr>
          <w:rStyle w:val="FootnoteReference"/>
          <w:rFonts w:eastAsia="Times New Roman" w:cs="Times New Roman"/>
          <w:lang w:val="en-US"/>
        </w:rPr>
        <w:footnoteReference w:id="48"/>
      </w:r>
      <w:r w:rsidR="004D20F2">
        <w:rPr>
          <w:rFonts w:eastAsia="Times New Roman" w:cs="Times New Roman"/>
          <w:lang w:val="en-US"/>
        </w:rPr>
        <w:t xml:space="preserve"> While Iraqi government allowed for the foreign military actions, Syria did not give its consent. The US</w:t>
      </w:r>
      <w:r w:rsidR="000F39CF">
        <w:rPr>
          <w:rFonts w:eastAsia="Times New Roman" w:cs="Times New Roman"/>
          <w:lang w:val="en-US"/>
        </w:rPr>
        <w:t>, in its letter to the UN,</w:t>
      </w:r>
      <w:r w:rsidR="004D20F2">
        <w:rPr>
          <w:rFonts w:eastAsia="Times New Roman" w:cs="Times New Roman"/>
          <w:lang w:val="en-US"/>
        </w:rPr>
        <w:t xml:space="preserve"> justified its actions against ISIS in Syria on the basis of collective self-defence on behalf of Iraq, claiming that as Syrian government is unwilling or unable to control exercise control over its borders and territory, which are used by the ISIS in order to launch attacks against Iraq.</w:t>
      </w:r>
      <w:r w:rsidR="000F39CF">
        <w:rPr>
          <w:rStyle w:val="FootnoteReference"/>
          <w:rFonts w:eastAsia="Times New Roman" w:cs="Times New Roman"/>
          <w:lang w:val="en-US"/>
        </w:rPr>
        <w:footnoteReference w:id="49"/>
      </w:r>
      <w:r w:rsidR="00EF7E95">
        <w:rPr>
          <w:rFonts w:eastAsia="Times New Roman" w:cs="Times New Roman"/>
          <w:lang w:val="en-US"/>
        </w:rPr>
        <w:t xml:space="preserve"> </w:t>
      </w:r>
    </w:p>
    <w:p w14:paraId="12CA47F9" w14:textId="77777777" w:rsidR="00B108E4" w:rsidRDefault="00B108E4" w:rsidP="005A4218">
      <w:pPr>
        <w:spacing w:line="360" w:lineRule="auto"/>
        <w:jc w:val="both"/>
        <w:rPr>
          <w:rFonts w:eastAsia="Times New Roman" w:cs="Times New Roman"/>
          <w:lang w:val="en-US"/>
        </w:rPr>
      </w:pPr>
    </w:p>
    <w:p w14:paraId="06E041AB" w14:textId="62EF41E9" w:rsidR="007B101F" w:rsidRDefault="00B108E4" w:rsidP="005A4218">
      <w:pPr>
        <w:spacing w:line="360" w:lineRule="auto"/>
        <w:jc w:val="both"/>
        <w:rPr>
          <w:rFonts w:eastAsia="Times New Roman" w:cs="Times New Roman"/>
          <w:lang w:val="en-US"/>
        </w:rPr>
      </w:pPr>
      <w:r>
        <w:rPr>
          <w:rFonts w:eastAsia="Times New Roman" w:cs="Times New Roman"/>
          <w:lang w:val="en-US"/>
        </w:rPr>
        <w:t>An important factor in this case is that the actions of neither of terrorist groups mentioned above received support, financing or other aid from the Syrian government</w:t>
      </w:r>
      <w:r w:rsidR="003854D7">
        <w:rPr>
          <w:rFonts w:eastAsia="Times New Roman" w:cs="Times New Roman"/>
          <w:lang w:val="en-US"/>
        </w:rPr>
        <w:t xml:space="preserve"> </w:t>
      </w:r>
      <w:r>
        <w:rPr>
          <w:rFonts w:eastAsia="Times New Roman" w:cs="Times New Roman"/>
          <w:lang w:val="en-US"/>
        </w:rPr>
        <w:t xml:space="preserve">and therefore their actions </w:t>
      </w:r>
      <w:proofErr w:type="gramStart"/>
      <w:r>
        <w:rPr>
          <w:rFonts w:eastAsia="Times New Roman" w:cs="Times New Roman"/>
          <w:lang w:val="en-US"/>
        </w:rPr>
        <w:t>cannot</w:t>
      </w:r>
      <w:proofErr w:type="gramEnd"/>
      <w:r>
        <w:rPr>
          <w:rFonts w:eastAsia="Times New Roman" w:cs="Times New Roman"/>
          <w:lang w:val="en-US"/>
        </w:rPr>
        <w:t xml:space="preserve"> be attributed to Syria. </w:t>
      </w:r>
      <w:r w:rsidR="003A745B">
        <w:rPr>
          <w:rFonts w:eastAsia="Times New Roman" w:cs="Times New Roman"/>
          <w:lang w:val="en-US"/>
        </w:rPr>
        <w:t>The “unwilling or unable test”</w:t>
      </w:r>
      <w:r w:rsidR="007B101F">
        <w:rPr>
          <w:rStyle w:val="FootnoteReference"/>
          <w:rFonts w:eastAsia="Times New Roman" w:cs="Times New Roman"/>
          <w:lang w:val="en-US"/>
        </w:rPr>
        <w:footnoteReference w:id="50"/>
      </w:r>
      <w:r w:rsidR="003A745B">
        <w:rPr>
          <w:rFonts w:eastAsia="Times New Roman" w:cs="Times New Roman"/>
          <w:lang w:val="en-US"/>
        </w:rPr>
        <w:t xml:space="preserve"> had been rarely relied upon previously and as it was mentioned in the previous part,</w:t>
      </w:r>
      <w:r w:rsidR="007B101F">
        <w:rPr>
          <w:rFonts w:eastAsia="Times New Roman" w:cs="Times New Roman"/>
          <w:lang w:val="en-US"/>
        </w:rPr>
        <w:t xml:space="preserve"> it</w:t>
      </w:r>
      <w:r w:rsidR="003A745B">
        <w:rPr>
          <w:rFonts w:eastAsia="Times New Roman" w:cs="Times New Roman"/>
          <w:lang w:val="en-US"/>
        </w:rPr>
        <w:t xml:space="preserve"> rarely (if ever) received expressed State support, excluding the US and Israel. The only case might be</w:t>
      </w:r>
      <w:r w:rsidR="007B101F">
        <w:rPr>
          <w:rFonts w:eastAsia="Times New Roman" w:cs="Times New Roman"/>
          <w:lang w:val="en-US"/>
        </w:rPr>
        <w:t xml:space="preserve"> the</w:t>
      </w:r>
      <w:r w:rsidR="003A745B">
        <w:rPr>
          <w:rFonts w:eastAsia="Times New Roman" w:cs="Times New Roman"/>
          <w:lang w:val="en-US"/>
        </w:rPr>
        <w:t xml:space="preserve"> previously mentioned Israeli self-defence action against </w:t>
      </w:r>
      <w:proofErr w:type="spellStart"/>
      <w:r w:rsidR="003A745B">
        <w:rPr>
          <w:rFonts w:eastAsia="Times New Roman" w:cs="Times New Roman"/>
          <w:lang w:val="en-US"/>
        </w:rPr>
        <w:t>Hesbollah</w:t>
      </w:r>
      <w:proofErr w:type="spellEnd"/>
      <w:r w:rsidR="003A745B">
        <w:rPr>
          <w:rFonts w:eastAsia="Times New Roman" w:cs="Times New Roman"/>
          <w:lang w:val="en-US"/>
        </w:rPr>
        <w:t xml:space="preserve"> in 2006, though even in that case the reaction of international community was mixed and unclear.</w:t>
      </w:r>
      <w:r w:rsidR="005519F2">
        <w:rPr>
          <w:rFonts w:eastAsia="Times New Roman" w:cs="Times New Roman"/>
          <w:lang w:val="en-US"/>
        </w:rPr>
        <w:t xml:space="preserve"> </w:t>
      </w:r>
      <w:r w:rsidR="007B101F">
        <w:rPr>
          <w:rFonts w:eastAsia="Times New Roman" w:cs="Times New Roman"/>
          <w:lang w:val="en-US"/>
        </w:rPr>
        <w:t>O</w:t>
      </w:r>
      <w:r w:rsidR="005519F2">
        <w:rPr>
          <w:rFonts w:eastAsia="Times New Roman" w:cs="Times New Roman"/>
          <w:lang w:val="en-US"/>
        </w:rPr>
        <w:t>ne could also possibly argue that the ISIS originates from Iraq and therefore it is Iraq who was unwilling or unable to control its borders and territory in the first place.</w:t>
      </w:r>
      <w:r w:rsidR="005519F2">
        <w:rPr>
          <w:rStyle w:val="FootnoteReference"/>
          <w:rFonts w:eastAsia="Times New Roman" w:cs="Times New Roman"/>
          <w:lang w:val="en-US"/>
        </w:rPr>
        <w:footnoteReference w:id="51"/>
      </w:r>
      <w:r w:rsidR="0007253E">
        <w:rPr>
          <w:rFonts w:eastAsia="Times New Roman" w:cs="Times New Roman"/>
          <w:lang w:val="en-US"/>
        </w:rPr>
        <w:t xml:space="preserve"> </w:t>
      </w:r>
      <w:proofErr w:type="gramStart"/>
      <w:r w:rsidR="007B101F">
        <w:rPr>
          <w:rFonts w:eastAsia="Times New Roman" w:cs="Times New Roman"/>
          <w:lang w:val="en-US"/>
        </w:rPr>
        <w:t>Although the US actions were generally supported</w:t>
      </w:r>
      <w:r w:rsidR="009D11E0">
        <w:rPr>
          <w:rFonts w:eastAsia="Times New Roman" w:cs="Times New Roman"/>
          <w:lang w:val="en-US"/>
        </w:rPr>
        <w:t xml:space="preserve"> (or not opposed) by</w:t>
      </w:r>
      <w:r w:rsidR="007B101F">
        <w:rPr>
          <w:rFonts w:eastAsia="Times New Roman" w:cs="Times New Roman"/>
          <w:lang w:val="en-US"/>
        </w:rPr>
        <w:t xml:space="preserve"> other States</w:t>
      </w:r>
      <w:proofErr w:type="gramEnd"/>
      <w:r w:rsidR="007B101F">
        <w:rPr>
          <w:rFonts w:eastAsia="Times New Roman" w:cs="Times New Roman"/>
          <w:lang w:val="en-US"/>
        </w:rPr>
        <w:t>, most of them approached this topic cautiously.</w:t>
      </w:r>
      <w:r w:rsidR="009D11E0">
        <w:rPr>
          <w:rFonts w:eastAsia="Times New Roman" w:cs="Times New Roman"/>
          <w:lang w:val="en-US"/>
        </w:rPr>
        <w:t xml:space="preserve"> Only </w:t>
      </w:r>
      <w:r w:rsidR="00D82855">
        <w:rPr>
          <w:rFonts w:eastAsia="Times New Roman" w:cs="Times New Roman"/>
          <w:lang w:val="en-US"/>
        </w:rPr>
        <w:t>Bahrain, Jordan, Qatar, Saudi Arabia, the UAE</w:t>
      </w:r>
      <w:r w:rsidR="00D82855">
        <w:rPr>
          <w:rStyle w:val="FootnoteReference"/>
          <w:rFonts w:eastAsia="Times New Roman" w:cs="Times New Roman"/>
          <w:lang w:val="en-US"/>
        </w:rPr>
        <w:footnoteReference w:id="52"/>
      </w:r>
      <w:r w:rsidR="00D82855">
        <w:rPr>
          <w:rFonts w:eastAsia="Times New Roman" w:cs="Times New Roman"/>
          <w:lang w:val="en-US"/>
        </w:rPr>
        <w:t xml:space="preserve"> and Canada</w:t>
      </w:r>
      <w:r w:rsidR="00D82855">
        <w:rPr>
          <w:rStyle w:val="FootnoteReference"/>
          <w:rFonts w:eastAsia="Times New Roman" w:cs="Times New Roman"/>
          <w:lang w:val="en-US"/>
        </w:rPr>
        <w:footnoteReference w:id="53"/>
      </w:r>
      <w:r w:rsidR="00D82855">
        <w:rPr>
          <w:rFonts w:eastAsia="Times New Roman" w:cs="Times New Roman"/>
          <w:lang w:val="en-US"/>
        </w:rPr>
        <w:t xml:space="preserve"> joined the US-led airstrikes on the territory of Syria. Even the UK, though participating in Iraq, has not taken part in military actions against ISIS in Syria.</w:t>
      </w:r>
      <w:r w:rsidR="00D82855">
        <w:rPr>
          <w:rStyle w:val="FootnoteReference"/>
          <w:rFonts w:eastAsia="Times New Roman" w:cs="Times New Roman"/>
          <w:lang w:val="en-US"/>
        </w:rPr>
        <w:footnoteReference w:id="54"/>
      </w:r>
      <w:r w:rsidR="00D31248">
        <w:rPr>
          <w:rFonts w:eastAsia="Times New Roman" w:cs="Times New Roman"/>
          <w:lang w:val="en-US"/>
        </w:rPr>
        <w:t xml:space="preserve"> </w:t>
      </w:r>
      <w:r w:rsidR="0007253E">
        <w:rPr>
          <w:rFonts w:eastAsia="Times New Roman" w:cs="Times New Roman"/>
          <w:lang w:val="en-US"/>
        </w:rPr>
        <w:t xml:space="preserve">As a result, it is possible to argue that the US actions in Syria do not have a strong legal basis. But on the other hand, as the actions in self-defence against ISIS were largely not criticised and even accepted, it might set a strong precedent for the future. </w:t>
      </w:r>
    </w:p>
    <w:p w14:paraId="29D43BE0" w14:textId="77777777" w:rsidR="0007253E" w:rsidRDefault="0007253E" w:rsidP="005A4218">
      <w:pPr>
        <w:spacing w:line="360" w:lineRule="auto"/>
        <w:jc w:val="both"/>
        <w:rPr>
          <w:rFonts w:eastAsia="Times New Roman" w:cs="Times New Roman"/>
          <w:b/>
          <w:i/>
          <w:lang w:val="en-US"/>
        </w:rPr>
      </w:pPr>
    </w:p>
    <w:p w14:paraId="774C0FAF" w14:textId="77777777" w:rsidR="0007253E" w:rsidRPr="0007253E" w:rsidRDefault="0007253E" w:rsidP="005A4218">
      <w:pPr>
        <w:spacing w:line="360" w:lineRule="auto"/>
        <w:jc w:val="both"/>
        <w:rPr>
          <w:rFonts w:eastAsia="Times New Roman" w:cs="Times New Roman"/>
          <w:b/>
          <w:i/>
          <w:lang w:val="en-US"/>
        </w:rPr>
      </w:pPr>
    </w:p>
    <w:p w14:paraId="66341922" w14:textId="77B509F6" w:rsidR="0007253E" w:rsidRDefault="0007253E" w:rsidP="005A4218">
      <w:pPr>
        <w:spacing w:line="360" w:lineRule="auto"/>
        <w:jc w:val="both"/>
        <w:rPr>
          <w:rFonts w:eastAsia="Times New Roman" w:cs="Times New Roman"/>
          <w:b/>
          <w:u w:val="single"/>
          <w:lang w:val="en-US"/>
        </w:rPr>
      </w:pPr>
      <w:r w:rsidRPr="0007253E">
        <w:rPr>
          <w:rFonts w:eastAsia="Times New Roman" w:cs="Times New Roman"/>
          <w:b/>
          <w:u w:val="single"/>
          <w:lang w:val="en-US"/>
        </w:rPr>
        <w:t>Conclusion:</w:t>
      </w:r>
    </w:p>
    <w:p w14:paraId="3C02AD60" w14:textId="77777777" w:rsidR="0007253E" w:rsidRDefault="0007253E" w:rsidP="005A4218">
      <w:pPr>
        <w:spacing w:line="360" w:lineRule="auto"/>
        <w:jc w:val="both"/>
        <w:rPr>
          <w:rFonts w:eastAsia="Times New Roman" w:cs="Times New Roman"/>
          <w:b/>
          <w:u w:val="single"/>
          <w:lang w:val="en-US"/>
        </w:rPr>
      </w:pPr>
    </w:p>
    <w:p w14:paraId="4DC21F01" w14:textId="20FBF628" w:rsidR="0007253E" w:rsidRPr="008878F8" w:rsidRDefault="008878F8" w:rsidP="005A4218">
      <w:pPr>
        <w:spacing w:line="360" w:lineRule="auto"/>
        <w:jc w:val="both"/>
        <w:rPr>
          <w:rFonts w:eastAsia="Times New Roman" w:cs="Times New Roman"/>
          <w:lang w:val="en-US"/>
        </w:rPr>
      </w:pPr>
      <w:r>
        <w:rPr>
          <w:rFonts w:eastAsia="Times New Roman" w:cs="Times New Roman"/>
          <w:lang w:val="en-US"/>
        </w:rPr>
        <w:t xml:space="preserve">As a result, it is possible to make a number of conclusions. Firstly, there </w:t>
      </w:r>
      <w:proofErr w:type="gramStart"/>
      <w:r>
        <w:rPr>
          <w:rFonts w:eastAsia="Times New Roman" w:cs="Times New Roman"/>
          <w:lang w:val="en-US"/>
        </w:rPr>
        <w:t>is</w:t>
      </w:r>
      <w:proofErr w:type="gramEnd"/>
      <w:r>
        <w:rPr>
          <w:rFonts w:eastAsia="Times New Roman" w:cs="Times New Roman"/>
          <w:lang w:val="en-US"/>
        </w:rPr>
        <w:t xml:space="preserve"> a number of arguments supporting traditional, strict interpretation based on Art 3(g) Definition of Aggression, which include consistent judgments of the ICJ in Nicaragua, Wall Advisory opinion and DRC v Uganda, which also apply strict principles of attribution. Moreover, States rarely accepted any deviations from the original approach, at least until the 1990’s. Secondly, Resolutions 1368 and 1373, as well as international acceptance of the </w:t>
      </w:r>
      <w:r w:rsidR="00417E98">
        <w:rPr>
          <w:rFonts w:eastAsia="Times New Roman" w:cs="Times New Roman"/>
          <w:lang w:val="en-US"/>
        </w:rPr>
        <w:t>actions in Afghanistan in 2001, a number of strong statements</w:t>
      </w:r>
      <w:r w:rsidR="00417E98">
        <w:rPr>
          <w:rStyle w:val="FootnoteReference"/>
          <w:rFonts w:eastAsia="Times New Roman" w:cs="Times New Roman"/>
          <w:lang w:val="en-US"/>
        </w:rPr>
        <w:footnoteReference w:id="55"/>
      </w:r>
      <w:r w:rsidR="00417E98">
        <w:rPr>
          <w:rFonts w:eastAsia="Times New Roman" w:cs="Times New Roman"/>
          <w:lang w:val="en-US"/>
        </w:rPr>
        <w:t xml:space="preserve"> from the State leaders after the events of September 11 and subsequent ambiguity in state practice might suggest that customary law is slowly changing towards the acceptance of a broader concept of self-defence. At the same time, it is yet definitely premature to speak about the right of self-defence against non-state actors whose attacks may not be attributable to a State. Although the actions against ISIS in Syria might become a strong precedent, the </w:t>
      </w:r>
      <w:proofErr w:type="gramStart"/>
      <w:r w:rsidR="00417E98">
        <w:rPr>
          <w:rFonts w:eastAsia="Times New Roman" w:cs="Times New Roman"/>
          <w:lang w:val="en-US"/>
        </w:rPr>
        <w:t>majority of the States are</w:t>
      </w:r>
      <w:proofErr w:type="gramEnd"/>
      <w:r w:rsidR="00417E98">
        <w:rPr>
          <w:rFonts w:eastAsia="Times New Roman" w:cs="Times New Roman"/>
          <w:lang w:val="en-US"/>
        </w:rPr>
        <w:t xml:space="preserve"> still uncertain and prefer to avoid taking part in airstrikes on the Syrian territory. It is therefore early and premature to speak about the unwilling or unable test as constituting modern customary law. At the same time, it is evident that the necessity and proportionality test is playing more and more role in the necessary criteria for self-defence. </w:t>
      </w:r>
      <w:r w:rsidR="005A4218">
        <w:rPr>
          <w:rFonts w:eastAsia="Times New Roman" w:cs="Times New Roman"/>
          <w:lang w:val="en-US"/>
        </w:rPr>
        <w:t>Therefore, it is possible to state that although there is a right of self-defence against non-state actors, it can be only used when the acts of this non-state actor are of sufficient gravity, can be attributed to a State and if conducted according to ‘necessity an proportionality’ principle.</w:t>
      </w:r>
    </w:p>
    <w:p w14:paraId="47988F66" w14:textId="77777777" w:rsidR="00147BDB" w:rsidRDefault="00147BDB" w:rsidP="005A4218">
      <w:pPr>
        <w:spacing w:line="360" w:lineRule="auto"/>
        <w:jc w:val="both"/>
        <w:rPr>
          <w:rFonts w:eastAsia="Times New Roman" w:cs="Times New Roman"/>
          <w:b/>
          <w:u w:val="single"/>
          <w:lang w:val="en-US"/>
        </w:rPr>
      </w:pPr>
    </w:p>
    <w:p w14:paraId="0F738E66" w14:textId="7A37CAC1" w:rsidR="000600B1" w:rsidRPr="005A4218" w:rsidRDefault="005A4218" w:rsidP="005A4218">
      <w:pPr>
        <w:spacing w:line="360" w:lineRule="auto"/>
        <w:jc w:val="both"/>
        <w:rPr>
          <w:rFonts w:eastAsia="Times New Roman" w:cs="Times New Roman"/>
          <w:u w:val="single"/>
          <w:lang w:val="en-US"/>
        </w:rPr>
      </w:pPr>
      <w:r w:rsidRPr="005A4218">
        <w:rPr>
          <w:rFonts w:eastAsia="Times New Roman" w:cs="Times New Roman"/>
          <w:u w:val="single"/>
          <w:lang w:val="en-US"/>
        </w:rPr>
        <w:t>Word count</w:t>
      </w:r>
      <w:r>
        <w:rPr>
          <w:rFonts w:eastAsia="Times New Roman" w:cs="Times New Roman"/>
          <w:u w:val="single"/>
          <w:lang w:val="en-US"/>
        </w:rPr>
        <w:t xml:space="preserve"> (excluding footnotes and bibliography)</w:t>
      </w:r>
      <w:r w:rsidRPr="005A4218">
        <w:rPr>
          <w:rFonts w:eastAsia="Times New Roman" w:cs="Times New Roman"/>
          <w:u w:val="single"/>
          <w:lang w:val="en-US"/>
        </w:rPr>
        <w:t>: 3497</w:t>
      </w:r>
    </w:p>
    <w:p w14:paraId="5F2A9F44" w14:textId="77777777" w:rsidR="000600B1" w:rsidRDefault="000600B1" w:rsidP="005A4218">
      <w:pPr>
        <w:spacing w:line="360" w:lineRule="auto"/>
        <w:jc w:val="both"/>
        <w:rPr>
          <w:rFonts w:eastAsia="Times New Roman" w:cs="Times New Roman"/>
          <w:b/>
          <w:u w:val="single"/>
          <w:lang w:val="en-US"/>
        </w:rPr>
      </w:pPr>
    </w:p>
    <w:p w14:paraId="012CE719" w14:textId="77777777" w:rsidR="000600B1" w:rsidRDefault="000600B1" w:rsidP="005A4218">
      <w:pPr>
        <w:spacing w:line="360" w:lineRule="auto"/>
        <w:jc w:val="both"/>
        <w:rPr>
          <w:rFonts w:eastAsia="Times New Roman" w:cs="Times New Roman"/>
          <w:b/>
          <w:u w:val="single"/>
          <w:lang w:val="en-US"/>
        </w:rPr>
      </w:pPr>
    </w:p>
    <w:p w14:paraId="32AA5312" w14:textId="77777777" w:rsidR="000600B1" w:rsidRDefault="000600B1">
      <w:pPr>
        <w:rPr>
          <w:rFonts w:eastAsia="Times New Roman" w:cs="Times New Roman"/>
          <w:b/>
          <w:u w:val="single"/>
          <w:lang w:val="en-US"/>
        </w:rPr>
      </w:pPr>
    </w:p>
    <w:p w14:paraId="4B419ABA" w14:textId="77777777" w:rsidR="000600B1" w:rsidRDefault="000600B1">
      <w:pPr>
        <w:rPr>
          <w:rFonts w:eastAsia="Times New Roman" w:cs="Times New Roman"/>
          <w:b/>
          <w:u w:val="single"/>
          <w:lang w:val="en-US"/>
        </w:rPr>
      </w:pPr>
    </w:p>
    <w:p w14:paraId="2ED9B7F6" w14:textId="77777777" w:rsidR="000600B1" w:rsidRDefault="000600B1">
      <w:pPr>
        <w:rPr>
          <w:rFonts w:eastAsia="Times New Roman" w:cs="Times New Roman"/>
          <w:b/>
          <w:u w:val="single"/>
          <w:lang w:val="en-US"/>
        </w:rPr>
      </w:pPr>
    </w:p>
    <w:p w14:paraId="71732730" w14:textId="77777777" w:rsidR="000600B1" w:rsidRDefault="000600B1">
      <w:pPr>
        <w:rPr>
          <w:rFonts w:eastAsia="Times New Roman" w:cs="Times New Roman"/>
          <w:b/>
          <w:u w:val="single"/>
          <w:lang w:val="en-US"/>
        </w:rPr>
      </w:pPr>
    </w:p>
    <w:p w14:paraId="69B35FEF" w14:textId="77777777" w:rsidR="000600B1" w:rsidRDefault="000600B1">
      <w:pPr>
        <w:rPr>
          <w:rFonts w:eastAsia="Times New Roman" w:cs="Times New Roman"/>
          <w:b/>
          <w:u w:val="single"/>
          <w:lang w:val="en-US"/>
        </w:rPr>
      </w:pPr>
    </w:p>
    <w:p w14:paraId="21744BA3" w14:textId="77777777" w:rsidR="000600B1" w:rsidRDefault="000600B1">
      <w:pPr>
        <w:rPr>
          <w:rFonts w:eastAsia="Times New Roman" w:cs="Times New Roman"/>
          <w:b/>
          <w:u w:val="single"/>
          <w:lang w:val="en-US"/>
        </w:rPr>
      </w:pPr>
    </w:p>
    <w:p w14:paraId="6730E6BD" w14:textId="77777777" w:rsidR="005A4218" w:rsidRDefault="005A4218">
      <w:pPr>
        <w:rPr>
          <w:rFonts w:eastAsia="Times New Roman" w:cs="Times New Roman"/>
          <w:b/>
          <w:u w:val="single"/>
          <w:lang w:val="en-US"/>
        </w:rPr>
      </w:pPr>
    </w:p>
    <w:p w14:paraId="5A10C9DC" w14:textId="77777777" w:rsidR="005A4218" w:rsidRDefault="005A4218">
      <w:pPr>
        <w:rPr>
          <w:rFonts w:eastAsia="Times New Roman" w:cs="Times New Roman"/>
          <w:b/>
          <w:u w:val="single"/>
          <w:lang w:val="en-US"/>
        </w:rPr>
      </w:pPr>
    </w:p>
    <w:p w14:paraId="511CD7A9" w14:textId="77777777" w:rsidR="005A4218" w:rsidRDefault="005A4218">
      <w:pPr>
        <w:rPr>
          <w:rFonts w:eastAsia="Times New Roman" w:cs="Times New Roman"/>
          <w:b/>
          <w:u w:val="single"/>
          <w:lang w:val="en-US"/>
        </w:rPr>
      </w:pPr>
    </w:p>
    <w:p w14:paraId="5A8A46F5" w14:textId="77777777" w:rsidR="005A4218" w:rsidRDefault="005A4218">
      <w:pPr>
        <w:rPr>
          <w:rFonts w:eastAsia="Times New Roman" w:cs="Times New Roman"/>
          <w:b/>
          <w:u w:val="single"/>
          <w:lang w:val="en-US"/>
        </w:rPr>
      </w:pPr>
    </w:p>
    <w:p w14:paraId="05D119AC" w14:textId="77777777" w:rsidR="005A4218" w:rsidRDefault="005A4218">
      <w:pPr>
        <w:rPr>
          <w:rFonts w:eastAsia="Times New Roman" w:cs="Times New Roman"/>
          <w:b/>
          <w:u w:val="single"/>
          <w:lang w:val="en-US"/>
        </w:rPr>
      </w:pPr>
    </w:p>
    <w:p w14:paraId="41D287D8" w14:textId="77777777" w:rsidR="005A4218" w:rsidRDefault="005A4218">
      <w:pPr>
        <w:rPr>
          <w:rFonts w:eastAsia="Times New Roman" w:cs="Times New Roman"/>
          <w:b/>
          <w:u w:val="single"/>
          <w:lang w:val="en-US"/>
        </w:rPr>
      </w:pPr>
    </w:p>
    <w:p w14:paraId="44B23153" w14:textId="77777777" w:rsidR="005A4218" w:rsidRDefault="005A4218">
      <w:pPr>
        <w:rPr>
          <w:rFonts w:eastAsia="Times New Roman" w:cs="Times New Roman"/>
          <w:b/>
          <w:u w:val="single"/>
          <w:lang w:val="en-US"/>
        </w:rPr>
      </w:pPr>
    </w:p>
    <w:p w14:paraId="031B1E6A" w14:textId="77777777" w:rsidR="005A4218" w:rsidRDefault="005A4218">
      <w:pPr>
        <w:rPr>
          <w:rFonts w:eastAsia="Times New Roman" w:cs="Times New Roman"/>
          <w:b/>
          <w:u w:val="single"/>
          <w:lang w:val="en-US"/>
        </w:rPr>
      </w:pPr>
    </w:p>
    <w:p w14:paraId="426A7324" w14:textId="77777777" w:rsidR="005A4218" w:rsidRDefault="005A4218">
      <w:pPr>
        <w:rPr>
          <w:rFonts w:eastAsia="Times New Roman" w:cs="Times New Roman"/>
          <w:b/>
          <w:u w:val="single"/>
          <w:lang w:val="en-US"/>
        </w:rPr>
      </w:pPr>
    </w:p>
    <w:p w14:paraId="08D0137C" w14:textId="77777777" w:rsidR="005A4218" w:rsidRDefault="005A4218">
      <w:pPr>
        <w:rPr>
          <w:rFonts w:eastAsia="Times New Roman" w:cs="Times New Roman"/>
          <w:b/>
          <w:u w:val="single"/>
          <w:lang w:val="en-US"/>
        </w:rPr>
      </w:pPr>
    </w:p>
    <w:p w14:paraId="318839A4" w14:textId="77777777" w:rsidR="005A4218" w:rsidRDefault="005A4218">
      <w:pPr>
        <w:rPr>
          <w:rFonts w:eastAsia="Times New Roman" w:cs="Times New Roman"/>
          <w:b/>
          <w:u w:val="single"/>
          <w:lang w:val="en-US"/>
        </w:rPr>
      </w:pPr>
    </w:p>
    <w:p w14:paraId="521807E4" w14:textId="77777777" w:rsidR="005A4218" w:rsidRDefault="005A4218">
      <w:pPr>
        <w:rPr>
          <w:rFonts w:eastAsia="Times New Roman" w:cs="Times New Roman"/>
          <w:b/>
          <w:u w:val="single"/>
          <w:lang w:val="en-US"/>
        </w:rPr>
      </w:pPr>
    </w:p>
    <w:p w14:paraId="7EF3A252" w14:textId="77777777" w:rsidR="005A4218" w:rsidRDefault="005A4218">
      <w:pPr>
        <w:rPr>
          <w:rFonts w:eastAsia="Times New Roman" w:cs="Times New Roman"/>
          <w:b/>
          <w:u w:val="single"/>
          <w:lang w:val="en-US"/>
        </w:rPr>
      </w:pPr>
    </w:p>
    <w:p w14:paraId="63A72497" w14:textId="77777777" w:rsidR="005A4218" w:rsidRDefault="005A4218">
      <w:pPr>
        <w:rPr>
          <w:rFonts w:eastAsia="Times New Roman" w:cs="Times New Roman"/>
          <w:b/>
          <w:u w:val="single"/>
          <w:lang w:val="en-US"/>
        </w:rPr>
      </w:pPr>
    </w:p>
    <w:p w14:paraId="1E3397FD" w14:textId="77777777" w:rsidR="005A4218" w:rsidRDefault="005A4218">
      <w:pPr>
        <w:rPr>
          <w:rFonts w:eastAsia="Times New Roman" w:cs="Times New Roman"/>
          <w:b/>
          <w:u w:val="single"/>
          <w:lang w:val="en-US"/>
        </w:rPr>
      </w:pPr>
    </w:p>
    <w:p w14:paraId="3C5A844D" w14:textId="77777777" w:rsidR="005A4218" w:rsidRDefault="005A4218">
      <w:pPr>
        <w:rPr>
          <w:rFonts w:eastAsia="Times New Roman" w:cs="Times New Roman"/>
          <w:b/>
          <w:u w:val="single"/>
          <w:lang w:val="en-US"/>
        </w:rPr>
      </w:pPr>
    </w:p>
    <w:p w14:paraId="77924B12" w14:textId="77777777" w:rsidR="005A4218" w:rsidRDefault="005A4218">
      <w:pPr>
        <w:rPr>
          <w:rFonts w:eastAsia="Times New Roman" w:cs="Times New Roman"/>
          <w:b/>
          <w:u w:val="single"/>
          <w:lang w:val="en-US"/>
        </w:rPr>
      </w:pPr>
    </w:p>
    <w:p w14:paraId="0D302DE1" w14:textId="77777777" w:rsidR="000600B1" w:rsidRDefault="000600B1">
      <w:pPr>
        <w:rPr>
          <w:rFonts w:eastAsia="Times New Roman" w:cs="Times New Roman"/>
          <w:b/>
          <w:u w:val="single"/>
          <w:lang w:val="en-US"/>
        </w:rPr>
      </w:pPr>
    </w:p>
    <w:p w14:paraId="42C21080" w14:textId="556F068C" w:rsidR="00147BDB" w:rsidRDefault="00147BDB">
      <w:pPr>
        <w:rPr>
          <w:rFonts w:eastAsia="Times New Roman" w:cs="Times New Roman"/>
          <w:b/>
          <w:u w:val="single"/>
          <w:lang w:val="en-US"/>
        </w:rPr>
      </w:pPr>
      <w:r>
        <w:rPr>
          <w:rFonts w:eastAsia="Times New Roman" w:cs="Times New Roman"/>
          <w:b/>
          <w:u w:val="single"/>
          <w:lang w:val="en-US"/>
        </w:rPr>
        <w:t>Bibliography:</w:t>
      </w:r>
    </w:p>
    <w:p w14:paraId="29FFCD2D" w14:textId="77777777" w:rsidR="00147BDB" w:rsidRDefault="00147BDB">
      <w:pPr>
        <w:rPr>
          <w:rFonts w:eastAsia="Times New Roman" w:cs="Times New Roman"/>
          <w:b/>
          <w:u w:val="single"/>
          <w:lang w:val="en-US"/>
        </w:rPr>
      </w:pPr>
    </w:p>
    <w:p w14:paraId="1F5B027A" w14:textId="72F25324" w:rsidR="00147BDB" w:rsidRDefault="000600B1">
      <w:pPr>
        <w:rPr>
          <w:rFonts w:eastAsia="Times New Roman" w:cs="Times New Roman"/>
          <w:u w:val="single"/>
          <w:lang w:val="en-US"/>
        </w:rPr>
      </w:pPr>
      <w:r>
        <w:rPr>
          <w:rFonts w:eastAsia="Times New Roman" w:cs="Times New Roman"/>
          <w:u w:val="single"/>
          <w:lang w:val="en-US"/>
        </w:rPr>
        <w:t>B</w:t>
      </w:r>
      <w:r w:rsidR="00147BDB">
        <w:rPr>
          <w:rFonts w:eastAsia="Times New Roman" w:cs="Times New Roman"/>
          <w:u w:val="single"/>
          <w:lang w:val="en-US"/>
        </w:rPr>
        <w:t>ooks:</w:t>
      </w:r>
    </w:p>
    <w:p w14:paraId="017ABF17" w14:textId="77777777" w:rsidR="00147BDB" w:rsidRDefault="00147BDB">
      <w:pPr>
        <w:rPr>
          <w:rFonts w:eastAsia="Times New Roman" w:cs="Times New Roman"/>
          <w:u w:val="single"/>
          <w:lang w:val="en-US"/>
        </w:rPr>
      </w:pPr>
    </w:p>
    <w:p w14:paraId="3AD38510" w14:textId="7D025F67" w:rsidR="00147BDB" w:rsidRDefault="00147BDB" w:rsidP="000600B1">
      <w:pPr>
        <w:pStyle w:val="FootnoteText"/>
      </w:pPr>
      <w:r w:rsidRPr="000600B1">
        <w:t xml:space="preserve">Adler, MC. </w:t>
      </w:r>
      <w:r w:rsidRPr="000600B1">
        <w:rPr>
          <w:i/>
        </w:rPr>
        <w:t>The Inherent Right of Self-Defence in International Law</w:t>
      </w:r>
      <w:r w:rsidRPr="000600B1">
        <w:t>, (Springer 2013)</w:t>
      </w:r>
    </w:p>
    <w:p w14:paraId="094ECFE4" w14:textId="77777777" w:rsidR="001C09A8" w:rsidRDefault="001C09A8" w:rsidP="001C09A8">
      <w:pPr>
        <w:rPr>
          <w:lang w:val="en-US"/>
        </w:rPr>
      </w:pPr>
    </w:p>
    <w:p w14:paraId="23943F58" w14:textId="2F8A04CB" w:rsidR="001C09A8" w:rsidRDefault="001C09A8" w:rsidP="001C09A8">
      <w:pPr>
        <w:rPr>
          <w:lang w:val="en-US"/>
        </w:rPr>
      </w:pPr>
      <w:proofErr w:type="spellStart"/>
      <w:r w:rsidRPr="000600B1">
        <w:rPr>
          <w:lang w:val="en-US"/>
        </w:rPr>
        <w:t>Constantinou</w:t>
      </w:r>
      <w:proofErr w:type="spellEnd"/>
      <w:r w:rsidRPr="000600B1">
        <w:rPr>
          <w:lang w:val="en-US"/>
        </w:rPr>
        <w:t xml:space="preserve">, A. ‘The Right of </w:t>
      </w:r>
      <w:proofErr w:type="spellStart"/>
      <w:r w:rsidRPr="000600B1">
        <w:rPr>
          <w:lang w:val="en-US"/>
        </w:rPr>
        <w:t>Slef</w:t>
      </w:r>
      <w:proofErr w:type="spellEnd"/>
      <w:r w:rsidRPr="000600B1">
        <w:rPr>
          <w:lang w:val="en-US"/>
        </w:rPr>
        <w:t>-Defence under Customary International Law and Article 51 of the United Nations Charter’ (DPhil, thesis, University of Nottingham 1996)</w:t>
      </w:r>
      <w:r>
        <w:rPr>
          <w:rStyle w:val="FootnoteReference"/>
          <w:lang w:val="en-US"/>
        </w:rPr>
        <w:footnoteReference w:id="56"/>
      </w:r>
    </w:p>
    <w:p w14:paraId="418AF417" w14:textId="77777777" w:rsidR="000600B1" w:rsidRDefault="000600B1" w:rsidP="000600B1"/>
    <w:p w14:paraId="3F5BD86F" w14:textId="77777777" w:rsidR="000600B1" w:rsidRPr="000600B1" w:rsidRDefault="000600B1" w:rsidP="000600B1">
      <w:pPr>
        <w:rPr>
          <w:rFonts w:eastAsia="Times New Roman" w:cs="Times New Roman"/>
          <w:u w:val="single"/>
          <w:lang w:val="en-US"/>
        </w:rPr>
      </w:pPr>
      <w:proofErr w:type="spellStart"/>
      <w:r w:rsidRPr="000600B1">
        <w:t>Corten</w:t>
      </w:r>
      <w:proofErr w:type="spellEnd"/>
      <w:r w:rsidRPr="000600B1">
        <w:t xml:space="preserve">, O. </w:t>
      </w:r>
      <w:r w:rsidRPr="000600B1">
        <w:rPr>
          <w:i/>
        </w:rPr>
        <w:t xml:space="preserve">The Law Against War: The Prohibition on the Use of Force in Contemporary International Law, </w:t>
      </w:r>
      <w:r w:rsidRPr="000600B1">
        <w:t>(Hart Publishing 2010)</w:t>
      </w:r>
    </w:p>
    <w:p w14:paraId="3A0F5D82" w14:textId="77777777" w:rsidR="000600B1" w:rsidRDefault="000600B1" w:rsidP="000600B1">
      <w:pPr>
        <w:rPr>
          <w:lang w:val="en-US"/>
        </w:rPr>
      </w:pPr>
    </w:p>
    <w:p w14:paraId="4B529448" w14:textId="77777777" w:rsidR="000600B1" w:rsidRDefault="000600B1" w:rsidP="000600B1">
      <w:pPr>
        <w:rPr>
          <w:lang w:val="en-US"/>
        </w:rPr>
      </w:pPr>
      <w:r w:rsidRPr="000600B1">
        <w:rPr>
          <w:lang w:val="en-US"/>
        </w:rPr>
        <w:t xml:space="preserve">Frank, T. </w:t>
      </w:r>
      <w:r w:rsidRPr="000600B1">
        <w:rPr>
          <w:i/>
          <w:lang w:val="en-US"/>
        </w:rPr>
        <w:t xml:space="preserve">Recourse to Force: State Actions Against Threats and Armed Attacks, </w:t>
      </w:r>
      <w:r w:rsidRPr="000600B1">
        <w:rPr>
          <w:lang w:val="en-US"/>
        </w:rPr>
        <w:t>(Cambridge University Press 2002)</w:t>
      </w:r>
    </w:p>
    <w:p w14:paraId="0E59C99D" w14:textId="77777777" w:rsidR="000600B1" w:rsidRPr="000600B1" w:rsidRDefault="000600B1" w:rsidP="000600B1">
      <w:pPr>
        <w:pStyle w:val="FootnoteText"/>
        <w:rPr>
          <w:lang w:val="en-US"/>
        </w:rPr>
      </w:pPr>
    </w:p>
    <w:p w14:paraId="1E298B59" w14:textId="707FA832" w:rsidR="00147BDB" w:rsidRDefault="00147BDB" w:rsidP="000600B1">
      <w:pPr>
        <w:rPr>
          <w:lang w:val="en-US"/>
        </w:rPr>
      </w:pPr>
      <w:r w:rsidRPr="000600B1">
        <w:rPr>
          <w:lang w:val="en-US"/>
        </w:rPr>
        <w:t xml:space="preserve">Gray, C. </w:t>
      </w:r>
      <w:r w:rsidRPr="000600B1">
        <w:rPr>
          <w:i/>
          <w:lang w:val="en-US"/>
        </w:rPr>
        <w:t>International Law and the Use of Force</w:t>
      </w:r>
      <w:r w:rsidRPr="000600B1">
        <w:rPr>
          <w:lang w:val="en-US"/>
        </w:rPr>
        <w:t>, (3</w:t>
      </w:r>
      <w:r w:rsidRPr="000600B1">
        <w:rPr>
          <w:vertAlign w:val="superscript"/>
          <w:lang w:val="en-US"/>
        </w:rPr>
        <w:t>rd</w:t>
      </w:r>
      <w:r w:rsidRPr="000600B1">
        <w:rPr>
          <w:lang w:val="en-US"/>
        </w:rPr>
        <w:t xml:space="preserve"> edn, OUP, 2008)</w:t>
      </w:r>
    </w:p>
    <w:p w14:paraId="25983FAA" w14:textId="77777777" w:rsidR="000600B1" w:rsidRPr="000600B1" w:rsidRDefault="000600B1" w:rsidP="000600B1">
      <w:pPr>
        <w:rPr>
          <w:lang w:val="en-US"/>
        </w:rPr>
      </w:pPr>
    </w:p>
    <w:p w14:paraId="66486A72" w14:textId="77777777" w:rsidR="001C09A8" w:rsidRDefault="000600B1" w:rsidP="000600B1">
      <w:pPr>
        <w:rPr>
          <w:lang w:val="en-US"/>
        </w:rPr>
      </w:pPr>
      <w:proofErr w:type="spellStart"/>
      <w:r w:rsidRPr="000600B1">
        <w:rPr>
          <w:lang w:val="en-US"/>
        </w:rPr>
        <w:t>Ruys</w:t>
      </w:r>
      <w:proofErr w:type="spellEnd"/>
      <w:r w:rsidRPr="000600B1">
        <w:rPr>
          <w:lang w:val="en-US"/>
        </w:rPr>
        <w:t xml:space="preserve">, T. </w:t>
      </w:r>
      <w:r w:rsidRPr="000600B1">
        <w:rPr>
          <w:i/>
          <w:lang w:val="en-US"/>
        </w:rPr>
        <w:t>‘Armed Attack’ and Article 51 of the UN Charter</w:t>
      </w:r>
      <w:r w:rsidRPr="000600B1">
        <w:rPr>
          <w:lang w:val="en-US"/>
        </w:rPr>
        <w:t xml:space="preserve">, (Cambridge University Press 2013) </w:t>
      </w:r>
    </w:p>
    <w:p w14:paraId="5CCF1600" w14:textId="77777777" w:rsidR="000600B1" w:rsidRPr="000600B1" w:rsidRDefault="000600B1" w:rsidP="000600B1">
      <w:pPr>
        <w:rPr>
          <w:lang w:val="en-US"/>
        </w:rPr>
      </w:pPr>
    </w:p>
    <w:p w14:paraId="556C7607" w14:textId="6439ED32" w:rsidR="000600B1" w:rsidRPr="00D012E6" w:rsidRDefault="00651B53" w:rsidP="000600B1">
      <w:pPr>
        <w:rPr>
          <w:lang w:val="en-US"/>
        </w:rPr>
      </w:pPr>
      <w:r w:rsidRPr="00D012E6">
        <w:rPr>
          <w:lang w:val="en-US"/>
        </w:rPr>
        <w:t xml:space="preserve"> </w:t>
      </w:r>
      <w:r w:rsidR="00D012E6" w:rsidRPr="00D012E6">
        <w:rPr>
          <w:lang w:val="en-US"/>
        </w:rPr>
        <w:t xml:space="preserve">Nolte, G. and </w:t>
      </w:r>
      <w:proofErr w:type="spellStart"/>
      <w:r w:rsidR="00D012E6" w:rsidRPr="00D012E6">
        <w:rPr>
          <w:lang w:val="en-US"/>
        </w:rPr>
        <w:t>Randel</w:t>
      </w:r>
      <w:r w:rsidR="00D012E6">
        <w:rPr>
          <w:lang w:val="en-US"/>
        </w:rPr>
        <w:t>zhof</w:t>
      </w:r>
      <w:r w:rsidR="00D012E6" w:rsidRPr="00D012E6">
        <w:rPr>
          <w:lang w:val="en-US"/>
        </w:rPr>
        <w:t>er</w:t>
      </w:r>
      <w:proofErr w:type="spellEnd"/>
      <w:r w:rsidR="00D012E6" w:rsidRPr="00D012E6">
        <w:rPr>
          <w:lang w:val="en-US"/>
        </w:rPr>
        <w:t xml:space="preserve">, A. </w:t>
      </w:r>
      <w:r w:rsidRPr="00D012E6">
        <w:rPr>
          <w:lang w:val="en-US"/>
        </w:rPr>
        <w:t>‘</w:t>
      </w:r>
      <w:r w:rsidR="00D012E6" w:rsidRPr="00D012E6">
        <w:rPr>
          <w:lang w:val="en-US"/>
        </w:rPr>
        <w:t>Article 51’</w:t>
      </w:r>
      <w:r w:rsidRPr="00D012E6">
        <w:rPr>
          <w:lang w:val="en-US"/>
        </w:rPr>
        <w:t xml:space="preserve"> </w:t>
      </w:r>
      <w:r w:rsidR="000600B1" w:rsidRPr="00D012E6">
        <w:rPr>
          <w:lang w:val="en-US"/>
        </w:rPr>
        <w:t xml:space="preserve">in B. </w:t>
      </w:r>
      <w:proofErr w:type="spellStart"/>
      <w:r w:rsidR="000600B1" w:rsidRPr="00D012E6">
        <w:rPr>
          <w:lang w:val="en-US"/>
        </w:rPr>
        <w:t>Simma</w:t>
      </w:r>
      <w:proofErr w:type="spellEnd"/>
      <w:r w:rsidR="000600B1" w:rsidRPr="00D012E6">
        <w:rPr>
          <w:lang w:val="en-US"/>
        </w:rPr>
        <w:t xml:space="preserve"> and others (eds), </w:t>
      </w:r>
      <w:r w:rsidR="000600B1" w:rsidRPr="00D012E6">
        <w:rPr>
          <w:i/>
          <w:lang w:val="en-US"/>
        </w:rPr>
        <w:t>The Charter of the United Nations: A Commentary</w:t>
      </w:r>
      <w:r w:rsidR="00D012E6" w:rsidRPr="00D012E6">
        <w:rPr>
          <w:lang w:val="en-US"/>
        </w:rPr>
        <w:t>, (3</w:t>
      </w:r>
      <w:r w:rsidR="00D012E6" w:rsidRPr="00D012E6">
        <w:rPr>
          <w:vertAlign w:val="superscript"/>
          <w:lang w:val="en-US"/>
        </w:rPr>
        <w:t>rd</w:t>
      </w:r>
      <w:r w:rsidR="000600B1" w:rsidRPr="00D012E6">
        <w:rPr>
          <w:lang w:val="en-US"/>
        </w:rPr>
        <w:t xml:space="preserve"> edn,</w:t>
      </w:r>
      <w:r w:rsidRPr="00D012E6">
        <w:rPr>
          <w:lang w:val="en-US"/>
        </w:rPr>
        <w:t xml:space="preserve"> vol. 1</w:t>
      </w:r>
      <w:proofErr w:type="gramStart"/>
      <w:r w:rsidRPr="00D012E6">
        <w:rPr>
          <w:lang w:val="en-US"/>
        </w:rPr>
        <w:t xml:space="preserve">, </w:t>
      </w:r>
      <w:r w:rsidR="000600B1" w:rsidRPr="00D012E6">
        <w:rPr>
          <w:lang w:val="en-US"/>
        </w:rPr>
        <w:t xml:space="preserve"> OUP</w:t>
      </w:r>
      <w:proofErr w:type="gramEnd"/>
      <w:r w:rsidR="000600B1" w:rsidRPr="00D012E6">
        <w:rPr>
          <w:lang w:val="en-US"/>
        </w:rPr>
        <w:t xml:space="preserve"> 2002)</w:t>
      </w:r>
    </w:p>
    <w:p w14:paraId="6D9102C4" w14:textId="77777777" w:rsidR="001C09A8" w:rsidRDefault="001C09A8" w:rsidP="000600B1">
      <w:pPr>
        <w:rPr>
          <w:u w:val="single"/>
          <w:lang w:val="en-US"/>
        </w:rPr>
      </w:pPr>
    </w:p>
    <w:p w14:paraId="6F24022D" w14:textId="77777777" w:rsidR="001C09A8" w:rsidRDefault="001C09A8" w:rsidP="000600B1">
      <w:pPr>
        <w:rPr>
          <w:u w:val="single"/>
          <w:lang w:val="en-US"/>
        </w:rPr>
      </w:pPr>
    </w:p>
    <w:p w14:paraId="224A2BAB" w14:textId="77777777" w:rsidR="001C09A8" w:rsidRDefault="001C09A8" w:rsidP="000600B1">
      <w:pPr>
        <w:rPr>
          <w:u w:val="single"/>
          <w:lang w:val="en-US"/>
        </w:rPr>
      </w:pPr>
    </w:p>
    <w:p w14:paraId="127A0F13" w14:textId="77777777" w:rsidR="001C09A8" w:rsidRPr="000600B1" w:rsidRDefault="001C09A8" w:rsidP="000600B1">
      <w:pPr>
        <w:rPr>
          <w:u w:val="single"/>
          <w:lang w:val="en-US"/>
        </w:rPr>
      </w:pPr>
    </w:p>
    <w:p w14:paraId="1A4F8C63" w14:textId="7A830569" w:rsidR="000600B1" w:rsidRDefault="000600B1">
      <w:pPr>
        <w:rPr>
          <w:u w:val="single"/>
          <w:lang w:val="en-US"/>
        </w:rPr>
      </w:pPr>
      <w:r w:rsidRPr="000600B1">
        <w:rPr>
          <w:u w:val="single"/>
          <w:lang w:val="en-US"/>
        </w:rPr>
        <w:t>Articles:</w:t>
      </w:r>
    </w:p>
    <w:p w14:paraId="3A0FAD83" w14:textId="77777777" w:rsidR="001C09A8" w:rsidRDefault="001C09A8" w:rsidP="001C09A8">
      <w:pPr>
        <w:rPr>
          <w:sz w:val="20"/>
          <w:szCs w:val="20"/>
        </w:rPr>
      </w:pPr>
    </w:p>
    <w:p w14:paraId="185CC574" w14:textId="77777777" w:rsidR="001C09A8" w:rsidRPr="001C09A8" w:rsidRDefault="001C09A8" w:rsidP="001C09A8">
      <w:pPr>
        <w:rPr>
          <w:u w:val="single"/>
          <w:lang w:val="en-US"/>
        </w:rPr>
      </w:pPr>
      <w:proofErr w:type="spellStart"/>
      <w:r w:rsidRPr="001C09A8">
        <w:t>Arimatsu</w:t>
      </w:r>
      <w:proofErr w:type="spellEnd"/>
      <w:r w:rsidRPr="001C09A8">
        <w:t xml:space="preserve">, L. and Schmitt, M. “Attacking “Islamic State” and the </w:t>
      </w:r>
      <w:proofErr w:type="spellStart"/>
      <w:r w:rsidRPr="001C09A8">
        <w:t>Khorasan</w:t>
      </w:r>
      <w:proofErr w:type="spellEnd"/>
      <w:r w:rsidRPr="001C09A8">
        <w:t xml:space="preserve"> Group: Surveying the International Law Landscape” (2014) 53(1) Colum Journal of Transnational Law 1-29</w:t>
      </w:r>
    </w:p>
    <w:p w14:paraId="21D2BD8A" w14:textId="77777777" w:rsidR="001C09A8" w:rsidRPr="001C09A8" w:rsidRDefault="001C09A8" w:rsidP="001C09A8">
      <w:pPr>
        <w:pStyle w:val="FootnoteText"/>
      </w:pPr>
    </w:p>
    <w:p w14:paraId="310EDA20" w14:textId="77777777" w:rsidR="001C09A8" w:rsidRPr="001C09A8" w:rsidRDefault="001C09A8" w:rsidP="001C09A8">
      <w:pPr>
        <w:pStyle w:val="FootnoteText"/>
        <w:rPr>
          <w:lang w:val="en-US"/>
        </w:rPr>
      </w:pPr>
      <w:r w:rsidRPr="001C09A8">
        <w:t xml:space="preserve">Christian </w:t>
      </w:r>
      <w:r w:rsidRPr="001C09A8">
        <w:rPr>
          <w:lang w:val="en-US"/>
        </w:rPr>
        <w:t>Tams, ‘The Use of Force against Terrorists’ (2009) 20(2) EJIL 359-397 &lt;http://www.ejil.org/pdfs/20/2/1793.pdf&gt; accessed 19 April 2015</w:t>
      </w:r>
    </w:p>
    <w:p w14:paraId="7BC5DD46" w14:textId="77777777" w:rsidR="000600B1" w:rsidRPr="001C09A8" w:rsidRDefault="000600B1">
      <w:pPr>
        <w:rPr>
          <w:u w:val="single"/>
          <w:lang w:val="en-US"/>
        </w:rPr>
      </w:pPr>
    </w:p>
    <w:p w14:paraId="10CDB467" w14:textId="6C90C570" w:rsidR="000600B1" w:rsidRPr="001C09A8" w:rsidRDefault="000600B1">
      <w:pPr>
        <w:rPr>
          <w:lang w:val="en-US"/>
        </w:rPr>
      </w:pPr>
      <w:r w:rsidRPr="001C09A8">
        <w:rPr>
          <w:lang w:val="en-US"/>
        </w:rPr>
        <w:t xml:space="preserve">Gray, C. </w:t>
      </w:r>
      <w:r w:rsidRPr="001C09A8">
        <w:rPr>
          <w:i/>
          <w:lang w:val="en-US"/>
        </w:rPr>
        <w:t>The ICJ and the Use of Force,</w:t>
      </w:r>
      <w:r w:rsidRPr="001C09A8">
        <w:rPr>
          <w:lang w:val="en-US"/>
        </w:rPr>
        <w:t xml:space="preserve"> (December 16, 2012) &lt;http://ssrn.com/abstract=2311217&gt; accessed 19 April 2015</w:t>
      </w:r>
    </w:p>
    <w:p w14:paraId="4997A53D" w14:textId="77777777" w:rsidR="000600B1" w:rsidRPr="001C09A8" w:rsidRDefault="000600B1">
      <w:pPr>
        <w:rPr>
          <w:u w:val="single"/>
          <w:lang w:val="en-US"/>
        </w:rPr>
      </w:pPr>
    </w:p>
    <w:p w14:paraId="70DBCC0E" w14:textId="17107624" w:rsidR="000600B1" w:rsidRPr="001C09A8" w:rsidRDefault="001C09A8">
      <w:pPr>
        <w:rPr>
          <w:lang w:val="en-US"/>
        </w:rPr>
      </w:pPr>
      <w:r w:rsidRPr="001C09A8">
        <w:rPr>
          <w:lang w:val="en-US"/>
        </w:rPr>
        <w:t>Trapp, K. ‘Back to Basics: Necessity, Proportionality, and the Right of Self-Defence Against Non-State Terrorist </w:t>
      </w:r>
      <w:r>
        <w:rPr>
          <w:lang w:val="en-US"/>
        </w:rPr>
        <w:t xml:space="preserve">Actors’ (2007) </w:t>
      </w:r>
      <w:r w:rsidRPr="001C09A8">
        <w:rPr>
          <w:lang w:val="en-US"/>
        </w:rPr>
        <w:t>56(1) International and Comparative Law Quarterly 141-156</w:t>
      </w:r>
    </w:p>
    <w:p w14:paraId="012A3CFE" w14:textId="77777777" w:rsidR="001C09A8" w:rsidRDefault="001C09A8">
      <w:pPr>
        <w:rPr>
          <w:lang w:val="en-US"/>
        </w:rPr>
      </w:pPr>
    </w:p>
    <w:p w14:paraId="307C9B60" w14:textId="77777777" w:rsidR="001C09A8" w:rsidRDefault="001C09A8">
      <w:pPr>
        <w:rPr>
          <w:lang w:val="en-US"/>
        </w:rPr>
      </w:pPr>
    </w:p>
    <w:p w14:paraId="5BE2AE6B" w14:textId="77777777" w:rsidR="001C09A8" w:rsidRPr="001C09A8" w:rsidRDefault="001C09A8">
      <w:pPr>
        <w:rPr>
          <w:lang w:val="en-US"/>
        </w:rPr>
      </w:pPr>
    </w:p>
    <w:p w14:paraId="6FA0F81C" w14:textId="77777777" w:rsidR="001C09A8" w:rsidRDefault="001C09A8">
      <w:pPr>
        <w:rPr>
          <w:u w:val="single"/>
          <w:lang w:val="en-US"/>
        </w:rPr>
      </w:pPr>
    </w:p>
    <w:p w14:paraId="0D5B2A75" w14:textId="77777777" w:rsidR="001C09A8" w:rsidRDefault="001C09A8">
      <w:pPr>
        <w:rPr>
          <w:u w:val="single"/>
          <w:lang w:val="en-US"/>
        </w:rPr>
      </w:pPr>
    </w:p>
    <w:p w14:paraId="5374649E" w14:textId="6ED3D24E" w:rsidR="001C09A8" w:rsidRPr="001C09A8" w:rsidRDefault="001C09A8">
      <w:pPr>
        <w:rPr>
          <w:u w:val="single"/>
          <w:lang w:val="en-US"/>
        </w:rPr>
      </w:pPr>
      <w:r w:rsidRPr="001C09A8">
        <w:rPr>
          <w:u w:val="single"/>
          <w:lang w:val="en-US"/>
        </w:rPr>
        <w:t>On-line sources:</w:t>
      </w:r>
    </w:p>
    <w:p w14:paraId="76532588" w14:textId="77777777" w:rsidR="001C09A8" w:rsidRDefault="001C09A8">
      <w:pPr>
        <w:rPr>
          <w:lang w:val="en-US"/>
        </w:rPr>
      </w:pPr>
    </w:p>
    <w:p w14:paraId="6D8F60AC" w14:textId="77777777" w:rsidR="001C09A8" w:rsidRPr="001C09A8" w:rsidRDefault="001C09A8" w:rsidP="001C09A8">
      <w:pPr>
        <w:pStyle w:val="FootnoteText"/>
        <w:rPr>
          <w:lang w:val="en-US"/>
        </w:rPr>
      </w:pPr>
      <w:r w:rsidRPr="001C09A8">
        <w:t xml:space="preserve">David </w:t>
      </w:r>
      <w:proofErr w:type="spellStart"/>
      <w:r w:rsidRPr="001C09A8">
        <w:t>Ljunggren</w:t>
      </w:r>
      <w:proofErr w:type="spellEnd"/>
      <w:r w:rsidRPr="001C09A8">
        <w:t xml:space="preserve">, ‘Canada will expand anti-ISIS bombing campaign to Syria: sources’ </w:t>
      </w:r>
      <w:r w:rsidRPr="001C09A8">
        <w:rPr>
          <w:i/>
        </w:rPr>
        <w:t>Reuters</w:t>
      </w:r>
      <w:r w:rsidRPr="001C09A8">
        <w:t xml:space="preserve"> (24 March 2015) &lt;http://www.reuters.com/article/2015/03/24/us-mideast-crisis-canada-idUSKBN0MK09220150324&gt; (accessed 23 April 2015)</w:t>
      </w:r>
    </w:p>
    <w:p w14:paraId="4F37FCEF" w14:textId="77777777" w:rsidR="001C09A8" w:rsidRDefault="001C09A8">
      <w:pPr>
        <w:rPr>
          <w:lang w:val="en-US"/>
        </w:rPr>
      </w:pPr>
    </w:p>
    <w:p w14:paraId="1D4D81CA" w14:textId="77777777" w:rsidR="00D012E6" w:rsidRDefault="00D012E6">
      <w:pPr>
        <w:rPr>
          <w:lang w:val="en-US"/>
        </w:rPr>
      </w:pPr>
    </w:p>
    <w:p w14:paraId="4178E811" w14:textId="77777777" w:rsidR="00D012E6" w:rsidRDefault="00D012E6">
      <w:pPr>
        <w:rPr>
          <w:lang w:val="en-US"/>
        </w:rPr>
      </w:pPr>
    </w:p>
    <w:p w14:paraId="566BAB2B" w14:textId="77777777" w:rsidR="00D012E6" w:rsidRDefault="00D012E6">
      <w:pPr>
        <w:rPr>
          <w:lang w:val="en-US"/>
        </w:rPr>
      </w:pPr>
    </w:p>
    <w:p w14:paraId="7B926609" w14:textId="77777777" w:rsidR="00D012E6" w:rsidRDefault="00D012E6">
      <w:pPr>
        <w:rPr>
          <w:lang w:val="en-US"/>
        </w:rPr>
      </w:pPr>
    </w:p>
    <w:p w14:paraId="3A616A2C" w14:textId="77777777" w:rsidR="00D012E6" w:rsidRDefault="00D012E6">
      <w:pPr>
        <w:rPr>
          <w:lang w:val="en-US"/>
        </w:rPr>
      </w:pPr>
    </w:p>
    <w:p w14:paraId="4632DA0C" w14:textId="77777777" w:rsidR="00D012E6" w:rsidRDefault="00D012E6">
      <w:pPr>
        <w:rPr>
          <w:lang w:val="en-US"/>
        </w:rPr>
      </w:pPr>
    </w:p>
    <w:p w14:paraId="27E3E3D0" w14:textId="77777777" w:rsidR="00D012E6" w:rsidRDefault="00D012E6">
      <w:pPr>
        <w:rPr>
          <w:lang w:val="en-US"/>
        </w:rPr>
      </w:pPr>
    </w:p>
    <w:p w14:paraId="6CA77A27" w14:textId="77777777" w:rsidR="00D012E6" w:rsidRDefault="00D012E6">
      <w:pPr>
        <w:rPr>
          <w:lang w:val="en-US"/>
        </w:rPr>
      </w:pPr>
    </w:p>
    <w:p w14:paraId="700610F8" w14:textId="77777777" w:rsidR="00D012E6" w:rsidRDefault="00D012E6">
      <w:pPr>
        <w:rPr>
          <w:lang w:val="en-US"/>
        </w:rPr>
      </w:pPr>
    </w:p>
    <w:p w14:paraId="33C5DC07" w14:textId="77777777" w:rsidR="00D012E6" w:rsidRDefault="00D012E6">
      <w:pPr>
        <w:rPr>
          <w:lang w:val="en-US"/>
        </w:rPr>
      </w:pPr>
    </w:p>
    <w:p w14:paraId="4896BB9B" w14:textId="77777777" w:rsidR="00D012E6" w:rsidRDefault="00D012E6">
      <w:pPr>
        <w:rPr>
          <w:lang w:val="en-US"/>
        </w:rPr>
      </w:pPr>
    </w:p>
    <w:p w14:paraId="59A7F296" w14:textId="77777777" w:rsidR="00D012E6" w:rsidRDefault="00D012E6">
      <w:pPr>
        <w:rPr>
          <w:lang w:val="en-US"/>
        </w:rPr>
      </w:pPr>
    </w:p>
    <w:p w14:paraId="1B12570F" w14:textId="77777777" w:rsidR="00D012E6" w:rsidRDefault="00D012E6">
      <w:pPr>
        <w:rPr>
          <w:lang w:val="en-US"/>
        </w:rPr>
      </w:pPr>
    </w:p>
    <w:p w14:paraId="29A2A9E0" w14:textId="77777777" w:rsidR="00D012E6" w:rsidRDefault="00D012E6">
      <w:pPr>
        <w:rPr>
          <w:lang w:val="en-US"/>
        </w:rPr>
      </w:pPr>
    </w:p>
    <w:p w14:paraId="605BBE88" w14:textId="77777777" w:rsidR="00D012E6" w:rsidRDefault="00D012E6">
      <w:pPr>
        <w:rPr>
          <w:lang w:val="en-US"/>
        </w:rPr>
      </w:pPr>
    </w:p>
    <w:p w14:paraId="3AA93E2D" w14:textId="77777777" w:rsidR="00D012E6" w:rsidRDefault="00D012E6">
      <w:pPr>
        <w:rPr>
          <w:lang w:val="en-US"/>
        </w:rPr>
      </w:pPr>
    </w:p>
    <w:p w14:paraId="09C304DD" w14:textId="77777777" w:rsidR="00D012E6" w:rsidRDefault="00D012E6">
      <w:pPr>
        <w:rPr>
          <w:lang w:val="en-US"/>
        </w:rPr>
      </w:pPr>
    </w:p>
    <w:p w14:paraId="199E54D3" w14:textId="77777777" w:rsidR="00D012E6" w:rsidRDefault="00D012E6">
      <w:pPr>
        <w:rPr>
          <w:lang w:val="en-US"/>
        </w:rPr>
      </w:pPr>
    </w:p>
    <w:p w14:paraId="6A28E184" w14:textId="77777777" w:rsidR="00D012E6" w:rsidRDefault="00D012E6">
      <w:pPr>
        <w:rPr>
          <w:lang w:val="en-US"/>
        </w:rPr>
      </w:pPr>
    </w:p>
    <w:p w14:paraId="3D606E01" w14:textId="77777777" w:rsidR="00D012E6" w:rsidRDefault="00D012E6">
      <w:pPr>
        <w:rPr>
          <w:lang w:val="en-US"/>
        </w:rPr>
      </w:pPr>
    </w:p>
    <w:p w14:paraId="3768E92A" w14:textId="77777777" w:rsidR="00D012E6" w:rsidRDefault="00D012E6">
      <w:pPr>
        <w:rPr>
          <w:lang w:val="en-US"/>
        </w:rPr>
      </w:pPr>
    </w:p>
    <w:p w14:paraId="4EC5D111" w14:textId="77777777" w:rsidR="00D012E6" w:rsidRDefault="00D012E6">
      <w:pPr>
        <w:rPr>
          <w:lang w:val="en-US"/>
        </w:rPr>
      </w:pPr>
    </w:p>
    <w:p w14:paraId="15F246BB" w14:textId="77777777" w:rsidR="00D012E6" w:rsidRDefault="00D012E6">
      <w:pPr>
        <w:rPr>
          <w:lang w:val="en-US"/>
        </w:rPr>
      </w:pPr>
    </w:p>
    <w:p w14:paraId="0A902757" w14:textId="77777777" w:rsidR="00D012E6" w:rsidRDefault="00D012E6">
      <w:pPr>
        <w:rPr>
          <w:lang w:val="en-US"/>
        </w:rPr>
      </w:pPr>
    </w:p>
    <w:p w14:paraId="5741D8F2" w14:textId="77777777" w:rsidR="00D012E6" w:rsidRDefault="00D012E6">
      <w:pPr>
        <w:rPr>
          <w:lang w:val="en-US"/>
        </w:rPr>
      </w:pPr>
    </w:p>
    <w:p w14:paraId="142C996D" w14:textId="77777777" w:rsidR="00D012E6" w:rsidRDefault="00D012E6">
      <w:pPr>
        <w:rPr>
          <w:lang w:val="en-US"/>
        </w:rPr>
      </w:pPr>
    </w:p>
    <w:p w14:paraId="0E06B874" w14:textId="77777777" w:rsidR="00D012E6" w:rsidRDefault="00D012E6">
      <w:pPr>
        <w:rPr>
          <w:lang w:val="en-US"/>
        </w:rPr>
      </w:pPr>
    </w:p>
    <w:p w14:paraId="32DEE30D" w14:textId="77777777" w:rsidR="00D012E6" w:rsidRDefault="00D012E6">
      <w:pPr>
        <w:rPr>
          <w:lang w:val="en-US"/>
        </w:rPr>
      </w:pPr>
    </w:p>
    <w:p w14:paraId="2BB94A4F" w14:textId="77777777" w:rsidR="00D012E6" w:rsidRDefault="00D012E6">
      <w:pPr>
        <w:rPr>
          <w:lang w:val="en-US"/>
        </w:rPr>
      </w:pPr>
    </w:p>
    <w:p w14:paraId="7E647157" w14:textId="77777777" w:rsidR="00D012E6" w:rsidRDefault="00D012E6">
      <w:pPr>
        <w:rPr>
          <w:lang w:val="en-US"/>
        </w:rPr>
      </w:pPr>
    </w:p>
    <w:p w14:paraId="6E5D2318" w14:textId="77777777" w:rsidR="00D012E6" w:rsidRDefault="00D012E6">
      <w:pPr>
        <w:rPr>
          <w:lang w:val="en-US"/>
        </w:rPr>
      </w:pPr>
    </w:p>
    <w:p w14:paraId="06183FBE" w14:textId="77777777" w:rsidR="00D012E6" w:rsidRDefault="00D012E6">
      <w:pPr>
        <w:rPr>
          <w:lang w:val="en-US"/>
        </w:rPr>
      </w:pPr>
    </w:p>
    <w:p w14:paraId="6B51FE6A" w14:textId="77777777" w:rsidR="00D012E6" w:rsidRDefault="00D012E6">
      <w:pPr>
        <w:rPr>
          <w:lang w:val="en-US"/>
        </w:rPr>
      </w:pPr>
    </w:p>
    <w:p w14:paraId="439A10A9" w14:textId="77777777" w:rsidR="00D012E6" w:rsidRDefault="00D012E6">
      <w:pPr>
        <w:rPr>
          <w:lang w:val="en-US"/>
        </w:rPr>
      </w:pPr>
    </w:p>
    <w:p w14:paraId="087DE975" w14:textId="77777777" w:rsidR="00D012E6" w:rsidRDefault="00D012E6">
      <w:pPr>
        <w:rPr>
          <w:lang w:val="en-US"/>
        </w:rPr>
      </w:pPr>
    </w:p>
    <w:p w14:paraId="6171DA9C" w14:textId="77777777" w:rsidR="00D012E6" w:rsidRDefault="00D012E6">
      <w:pPr>
        <w:rPr>
          <w:lang w:val="en-US"/>
        </w:rPr>
      </w:pPr>
    </w:p>
    <w:p w14:paraId="67DC79D9" w14:textId="77777777" w:rsidR="00D012E6" w:rsidRDefault="00D012E6">
      <w:pPr>
        <w:rPr>
          <w:lang w:val="en-US"/>
        </w:rPr>
      </w:pPr>
    </w:p>
    <w:p w14:paraId="103B583F" w14:textId="77777777" w:rsidR="00D012E6" w:rsidRDefault="00D012E6">
      <w:pPr>
        <w:rPr>
          <w:lang w:val="en-US"/>
        </w:rPr>
      </w:pPr>
    </w:p>
    <w:p w14:paraId="4FB51744" w14:textId="77777777" w:rsidR="00D012E6" w:rsidRDefault="00D012E6">
      <w:pPr>
        <w:rPr>
          <w:lang w:val="en-US"/>
        </w:rPr>
      </w:pPr>
    </w:p>
    <w:p w14:paraId="714A7640" w14:textId="77777777" w:rsidR="00D012E6" w:rsidRDefault="00D012E6">
      <w:pPr>
        <w:rPr>
          <w:lang w:val="en-US"/>
        </w:rPr>
      </w:pPr>
    </w:p>
    <w:p w14:paraId="50A75A54" w14:textId="77777777" w:rsidR="00D012E6" w:rsidRDefault="00D012E6">
      <w:pPr>
        <w:rPr>
          <w:lang w:val="en-US"/>
        </w:rPr>
      </w:pPr>
    </w:p>
    <w:p w14:paraId="5F3250F6" w14:textId="77777777" w:rsidR="00D012E6" w:rsidRDefault="00D012E6" w:rsidP="00D012E6">
      <w:pPr>
        <w:jc w:val="center"/>
        <w:rPr>
          <w:rFonts w:ascii="Times New Roman" w:hAnsi="Times New Roman"/>
          <w:b/>
        </w:rPr>
      </w:pPr>
      <w:r w:rsidRPr="00D71776">
        <w:rPr>
          <w:rFonts w:ascii="Times New Roman" w:hAnsi="Times New Roman"/>
          <w:b/>
        </w:rPr>
        <w:t>The University of Aberdeen</w:t>
      </w:r>
    </w:p>
    <w:p w14:paraId="2858DB97" w14:textId="77777777" w:rsidR="00D012E6" w:rsidRPr="00D71776" w:rsidRDefault="00D012E6" w:rsidP="00D012E6">
      <w:pPr>
        <w:jc w:val="center"/>
        <w:rPr>
          <w:rFonts w:ascii="Times New Roman" w:hAnsi="Times New Roman"/>
          <w:b/>
        </w:rPr>
      </w:pPr>
      <w:r w:rsidRPr="00D71776">
        <w:rPr>
          <w:rFonts w:ascii="Times New Roman" w:hAnsi="Times New Roman"/>
          <w:b/>
        </w:rPr>
        <w:t>School of Law</w:t>
      </w:r>
    </w:p>
    <w:p w14:paraId="73ECEABF" w14:textId="2D2FA5BE" w:rsidR="00D012E6" w:rsidRPr="00D71776" w:rsidRDefault="00AA5E3A" w:rsidP="00D012E6">
      <w:pPr>
        <w:jc w:val="center"/>
        <w:rPr>
          <w:rFonts w:ascii="Times New Roman" w:hAnsi="Times New Roman"/>
          <w:b/>
        </w:rPr>
      </w:pPr>
      <w:r>
        <w:rPr>
          <w:rFonts w:ascii="Times New Roman" w:hAnsi="Times New Roman"/>
          <w:b/>
        </w:rPr>
        <w:t>The Use of Force in International Law (LX4584)</w:t>
      </w:r>
    </w:p>
    <w:p w14:paraId="62F698BF" w14:textId="77777777" w:rsidR="00D012E6" w:rsidRPr="00774FB0" w:rsidRDefault="00D012E6" w:rsidP="00D012E6">
      <w:pPr>
        <w:pStyle w:val="ListParagraph"/>
        <w:rPr>
          <w:rFonts w:ascii="Times New Roman" w:hAnsi="Times New Roman"/>
          <w:b/>
        </w:rPr>
      </w:pPr>
    </w:p>
    <w:p w14:paraId="294EBEDD" w14:textId="77777777" w:rsidR="00D012E6" w:rsidRPr="00774FB0" w:rsidRDefault="00D012E6" w:rsidP="00D012E6">
      <w:pPr>
        <w:pStyle w:val="ListParagraph"/>
        <w:rPr>
          <w:rFonts w:ascii="Times New Roman" w:hAnsi="Times New Roman"/>
          <w:b/>
        </w:rPr>
      </w:pPr>
    </w:p>
    <w:p w14:paraId="4CFCF834" w14:textId="77777777" w:rsidR="00D012E6" w:rsidRPr="00774FB0" w:rsidRDefault="00D012E6" w:rsidP="00D012E6">
      <w:pPr>
        <w:pStyle w:val="ListParagraph"/>
        <w:rPr>
          <w:rFonts w:ascii="Times New Roman" w:hAnsi="Times New Roman"/>
          <w:b/>
        </w:rPr>
      </w:pPr>
    </w:p>
    <w:p w14:paraId="1FCACD84" w14:textId="77777777" w:rsidR="00D012E6" w:rsidRPr="00774FB0" w:rsidRDefault="00D012E6" w:rsidP="00D012E6">
      <w:pPr>
        <w:pStyle w:val="ListParagraph"/>
        <w:rPr>
          <w:rFonts w:ascii="Times New Roman" w:hAnsi="Times New Roman"/>
          <w:b/>
        </w:rPr>
      </w:pPr>
    </w:p>
    <w:p w14:paraId="423B06A3" w14:textId="77777777" w:rsidR="00D012E6" w:rsidRPr="00774FB0" w:rsidRDefault="00D012E6" w:rsidP="00D012E6">
      <w:pPr>
        <w:pStyle w:val="ListParagraph"/>
        <w:jc w:val="center"/>
        <w:rPr>
          <w:rFonts w:ascii="Times New Roman" w:hAnsi="Times New Roman"/>
          <w:b/>
        </w:rPr>
      </w:pPr>
    </w:p>
    <w:p w14:paraId="6D7A7234" w14:textId="77777777" w:rsidR="00D012E6" w:rsidRPr="00774FB0" w:rsidRDefault="00D012E6" w:rsidP="00D012E6">
      <w:pPr>
        <w:pStyle w:val="ListParagraph"/>
        <w:jc w:val="center"/>
        <w:rPr>
          <w:rFonts w:ascii="Times New Roman" w:hAnsi="Times New Roman"/>
          <w:b/>
        </w:rPr>
      </w:pPr>
    </w:p>
    <w:p w14:paraId="0D7C30AD" w14:textId="77777777" w:rsidR="00D012E6" w:rsidRPr="00774FB0" w:rsidRDefault="00D012E6" w:rsidP="00D012E6">
      <w:pPr>
        <w:pStyle w:val="ListParagraph"/>
        <w:jc w:val="center"/>
        <w:rPr>
          <w:rFonts w:ascii="Times New Roman" w:hAnsi="Times New Roman"/>
          <w:b/>
        </w:rPr>
      </w:pPr>
    </w:p>
    <w:p w14:paraId="70641305" w14:textId="77777777" w:rsidR="00D012E6" w:rsidRPr="00774FB0" w:rsidRDefault="00D012E6" w:rsidP="00D012E6">
      <w:pPr>
        <w:pStyle w:val="ListParagraph"/>
        <w:jc w:val="center"/>
        <w:rPr>
          <w:rFonts w:ascii="Times New Roman" w:hAnsi="Times New Roman"/>
          <w:b/>
        </w:rPr>
      </w:pPr>
    </w:p>
    <w:p w14:paraId="4A3A8D2B" w14:textId="77777777" w:rsidR="00D012E6" w:rsidRPr="00774FB0" w:rsidRDefault="00D012E6" w:rsidP="00D012E6">
      <w:pPr>
        <w:pStyle w:val="ListParagraph"/>
        <w:jc w:val="center"/>
        <w:rPr>
          <w:rFonts w:ascii="Times New Roman" w:hAnsi="Times New Roman"/>
          <w:b/>
        </w:rPr>
      </w:pPr>
    </w:p>
    <w:p w14:paraId="43468941" w14:textId="77777777" w:rsidR="00D012E6" w:rsidRPr="00774FB0" w:rsidRDefault="00D012E6" w:rsidP="00D012E6">
      <w:pPr>
        <w:pStyle w:val="ListParagraph"/>
        <w:jc w:val="center"/>
        <w:rPr>
          <w:rFonts w:ascii="Times New Roman" w:hAnsi="Times New Roman"/>
          <w:b/>
        </w:rPr>
      </w:pPr>
    </w:p>
    <w:p w14:paraId="040C6C44" w14:textId="77777777" w:rsidR="00D012E6" w:rsidRPr="00FA4379" w:rsidRDefault="00D012E6" w:rsidP="00D012E6">
      <w:pPr>
        <w:pStyle w:val="ListParagraph"/>
        <w:jc w:val="center"/>
        <w:rPr>
          <w:rFonts w:ascii="Times New Roman" w:hAnsi="Times New Roman" w:cs="Times New Roman"/>
          <w:b/>
        </w:rPr>
      </w:pPr>
    </w:p>
    <w:p w14:paraId="46600EE2" w14:textId="05363BDB" w:rsidR="00D012E6" w:rsidRPr="00D012E6" w:rsidRDefault="00D012E6" w:rsidP="00D012E6">
      <w:pPr>
        <w:jc w:val="center"/>
        <w:rPr>
          <w:rFonts w:ascii="Times New Roman" w:hAnsi="Times New Roman"/>
          <w:b/>
          <w:sz w:val="52"/>
          <w:szCs w:val="52"/>
        </w:rPr>
      </w:pPr>
      <w:r>
        <w:rPr>
          <w:rFonts w:asciiTheme="majorHAnsi" w:hAnsiTheme="majorHAnsi"/>
          <w:b/>
          <w:sz w:val="52"/>
          <w:szCs w:val="52"/>
        </w:rPr>
        <w:t xml:space="preserve">Assess whether </w:t>
      </w:r>
      <w:proofErr w:type="gramStart"/>
      <w:r>
        <w:rPr>
          <w:rFonts w:asciiTheme="majorHAnsi" w:hAnsiTheme="majorHAnsi"/>
          <w:b/>
          <w:sz w:val="52"/>
          <w:szCs w:val="52"/>
        </w:rPr>
        <w:t>There</w:t>
      </w:r>
      <w:proofErr w:type="gramEnd"/>
      <w:r>
        <w:rPr>
          <w:rFonts w:asciiTheme="majorHAnsi" w:hAnsiTheme="majorHAnsi"/>
          <w:b/>
          <w:sz w:val="52"/>
          <w:szCs w:val="52"/>
        </w:rPr>
        <w:t xml:space="preserve"> is a Right to Self-Defence Against Non-State A</w:t>
      </w:r>
      <w:r w:rsidRPr="00D012E6">
        <w:rPr>
          <w:rFonts w:asciiTheme="majorHAnsi" w:hAnsiTheme="majorHAnsi"/>
          <w:b/>
          <w:sz w:val="52"/>
          <w:szCs w:val="52"/>
        </w:rPr>
        <w:t xml:space="preserve">ctors. </w:t>
      </w:r>
      <w:r>
        <w:rPr>
          <w:rFonts w:asciiTheme="majorHAnsi" w:hAnsiTheme="majorHAnsi"/>
          <w:b/>
          <w:sz w:val="52"/>
          <w:szCs w:val="52"/>
        </w:rPr>
        <w:t>Illustrate Your Answer, in Particular R</w:t>
      </w:r>
      <w:r w:rsidRPr="00D012E6">
        <w:rPr>
          <w:rFonts w:asciiTheme="majorHAnsi" w:hAnsiTheme="majorHAnsi"/>
          <w:b/>
          <w:sz w:val="52"/>
          <w:szCs w:val="52"/>
        </w:rPr>
        <w:t>efer to the Islamic State in Iraq and the Levant</w:t>
      </w:r>
    </w:p>
    <w:p w14:paraId="6E27C4A6" w14:textId="77777777" w:rsidR="00D012E6" w:rsidRPr="00774FB0" w:rsidRDefault="00D012E6" w:rsidP="00D012E6">
      <w:pPr>
        <w:pStyle w:val="ListParagraph"/>
        <w:jc w:val="center"/>
        <w:rPr>
          <w:rFonts w:ascii="Times New Roman" w:hAnsi="Times New Roman"/>
          <w:b/>
        </w:rPr>
      </w:pPr>
    </w:p>
    <w:p w14:paraId="06AFF843" w14:textId="77777777" w:rsidR="00D012E6" w:rsidRDefault="00D012E6" w:rsidP="00D012E6">
      <w:pPr>
        <w:pStyle w:val="ListParagraph"/>
        <w:jc w:val="center"/>
        <w:rPr>
          <w:rFonts w:ascii="Times New Roman" w:hAnsi="Times New Roman"/>
          <w:b/>
        </w:rPr>
      </w:pPr>
    </w:p>
    <w:p w14:paraId="27D3E1CE" w14:textId="77777777" w:rsidR="00D012E6" w:rsidRDefault="00D012E6" w:rsidP="00D012E6">
      <w:pPr>
        <w:pStyle w:val="ListParagraph"/>
        <w:jc w:val="center"/>
        <w:rPr>
          <w:rFonts w:ascii="Times New Roman" w:hAnsi="Times New Roman"/>
          <w:b/>
        </w:rPr>
      </w:pPr>
    </w:p>
    <w:p w14:paraId="068A6FE9" w14:textId="77777777" w:rsidR="00D012E6" w:rsidRDefault="00D012E6" w:rsidP="00D012E6">
      <w:pPr>
        <w:pStyle w:val="ListParagraph"/>
        <w:jc w:val="center"/>
        <w:rPr>
          <w:rFonts w:ascii="Times New Roman" w:hAnsi="Times New Roman"/>
          <w:b/>
        </w:rPr>
      </w:pPr>
    </w:p>
    <w:p w14:paraId="07F3E97B" w14:textId="77777777" w:rsidR="00D012E6" w:rsidRPr="00774FB0" w:rsidRDefault="00D012E6" w:rsidP="00D012E6">
      <w:pPr>
        <w:pStyle w:val="ListParagraph"/>
        <w:jc w:val="center"/>
        <w:rPr>
          <w:rFonts w:ascii="Times New Roman" w:hAnsi="Times New Roman"/>
          <w:b/>
        </w:rPr>
      </w:pPr>
    </w:p>
    <w:p w14:paraId="3350D120" w14:textId="77777777" w:rsidR="00D012E6" w:rsidRPr="00774FB0" w:rsidRDefault="00D012E6" w:rsidP="00D012E6">
      <w:pPr>
        <w:pStyle w:val="ListParagraph"/>
        <w:jc w:val="center"/>
        <w:rPr>
          <w:rFonts w:ascii="Times New Roman" w:hAnsi="Times New Roman"/>
          <w:b/>
        </w:rPr>
      </w:pPr>
    </w:p>
    <w:p w14:paraId="3E73905E" w14:textId="77777777" w:rsidR="00D012E6" w:rsidRPr="00774FB0" w:rsidRDefault="00D012E6" w:rsidP="00D012E6">
      <w:pPr>
        <w:pStyle w:val="ListParagraph"/>
        <w:jc w:val="center"/>
        <w:rPr>
          <w:rFonts w:ascii="Times New Roman" w:hAnsi="Times New Roman"/>
          <w:b/>
        </w:rPr>
      </w:pPr>
    </w:p>
    <w:p w14:paraId="72763485" w14:textId="77777777" w:rsidR="00D012E6" w:rsidRPr="00774FB0" w:rsidRDefault="00D012E6" w:rsidP="00D012E6">
      <w:pPr>
        <w:pStyle w:val="ListParagraph"/>
        <w:jc w:val="center"/>
        <w:rPr>
          <w:rFonts w:ascii="Times New Roman" w:hAnsi="Times New Roman"/>
          <w:b/>
        </w:rPr>
      </w:pPr>
    </w:p>
    <w:p w14:paraId="3BC9D25F" w14:textId="77777777" w:rsidR="00D012E6" w:rsidRPr="00774FB0" w:rsidRDefault="00D012E6" w:rsidP="00D012E6">
      <w:pPr>
        <w:pStyle w:val="ListParagraph"/>
        <w:jc w:val="center"/>
        <w:rPr>
          <w:rFonts w:ascii="Times New Roman" w:hAnsi="Times New Roman"/>
          <w:b/>
        </w:rPr>
      </w:pPr>
    </w:p>
    <w:p w14:paraId="48984A52" w14:textId="77777777" w:rsidR="00D012E6" w:rsidRPr="00FA4379" w:rsidRDefault="00D012E6" w:rsidP="00D012E6">
      <w:pPr>
        <w:rPr>
          <w:rFonts w:ascii="Times New Roman" w:hAnsi="Times New Roman"/>
          <w:b/>
        </w:rPr>
      </w:pPr>
    </w:p>
    <w:p w14:paraId="15681464" w14:textId="77777777" w:rsidR="00D012E6" w:rsidRDefault="00D012E6" w:rsidP="00D012E6">
      <w:pPr>
        <w:pStyle w:val="ListParagraph"/>
        <w:jc w:val="center"/>
        <w:rPr>
          <w:rFonts w:ascii="Times New Roman" w:hAnsi="Times New Roman"/>
          <w:b/>
        </w:rPr>
      </w:pPr>
    </w:p>
    <w:p w14:paraId="0CA2FB75" w14:textId="77777777" w:rsidR="00D012E6" w:rsidRDefault="00D012E6" w:rsidP="00D012E6">
      <w:pPr>
        <w:pStyle w:val="ListParagraph"/>
        <w:jc w:val="center"/>
        <w:rPr>
          <w:rFonts w:ascii="Times New Roman" w:hAnsi="Times New Roman"/>
          <w:b/>
        </w:rPr>
      </w:pPr>
    </w:p>
    <w:p w14:paraId="63957921" w14:textId="77777777" w:rsidR="00D012E6" w:rsidRDefault="00D012E6" w:rsidP="00D012E6">
      <w:pPr>
        <w:pStyle w:val="ListParagraph"/>
        <w:jc w:val="center"/>
        <w:rPr>
          <w:rFonts w:ascii="Times New Roman" w:hAnsi="Times New Roman"/>
          <w:b/>
        </w:rPr>
      </w:pPr>
    </w:p>
    <w:p w14:paraId="7854DC6D" w14:textId="77777777" w:rsidR="00D012E6" w:rsidRDefault="00D012E6" w:rsidP="00D012E6">
      <w:pPr>
        <w:pStyle w:val="ListParagraph"/>
        <w:jc w:val="center"/>
        <w:rPr>
          <w:rFonts w:ascii="Times New Roman" w:hAnsi="Times New Roman"/>
          <w:b/>
        </w:rPr>
      </w:pPr>
    </w:p>
    <w:p w14:paraId="6A993B0E" w14:textId="77777777" w:rsidR="00D012E6" w:rsidRDefault="00D012E6" w:rsidP="00D012E6">
      <w:pPr>
        <w:pStyle w:val="ListParagraph"/>
        <w:jc w:val="center"/>
        <w:rPr>
          <w:rFonts w:ascii="Times New Roman" w:hAnsi="Times New Roman"/>
          <w:b/>
        </w:rPr>
      </w:pPr>
    </w:p>
    <w:p w14:paraId="137B72DD" w14:textId="77777777" w:rsidR="00D012E6" w:rsidRDefault="00D012E6" w:rsidP="00D012E6">
      <w:pPr>
        <w:pStyle w:val="ListParagraph"/>
        <w:jc w:val="center"/>
        <w:rPr>
          <w:rFonts w:ascii="Times New Roman" w:hAnsi="Times New Roman"/>
          <w:b/>
        </w:rPr>
      </w:pPr>
    </w:p>
    <w:p w14:paraId="01F2358C" w14:textId="77777777" w:rsidR="00D012E6" w:rsidRDefault="00D012E6" w:rsidP="00D012E6">
      <w:pPr>
        <w:pStyle w:val="ListParagraph"/>
        <w:jc w:val="center"/>
        <w:rPr>
          <w:rFonts w:ascii="Times New Roman" w:hAnsi="Times New Roman"/>
          <w:b/>
        </w:rPr>
      </w:pPr>
    </w:p>
    <w:p w14:paraId="7293D494" w14:textId="77777777" w:rsidR="00D012E6" w:rsidRDefault="00D012E6" w:rsidP="00D012E6">
      <w:pPr>
        <w:rPr>
          <w:rFonts w:ascii="Times New Roman" w:hAnsi="Times New Roman"/>
          <w:b/>
        </w:rPr>
      </w:pPr>
    </w:p>
    <w:p w14:paraId="204F1A27" w14:textId="77777777" w:rsidR="00D012E6" w:rsidRPr="00D012E6" w:rsidRDefault="00D012E6" w:rsidP="00D012E6">
      <w:pPr>
        <w:rPr>
          <w:rFonts w:ascii="Times New Roman" w:hAnsi="Times New Roman"/>
          <w:b/>
        </w:rPr>
      </w:pPr>
    </w:p>
    <w:p w14:paraId="54E309AF" w14:textId="77777777" w:rsidR="00D012E6" w:rsidRPr="00774FB0" w:rsidRDefault="00D012E6" w:rsidP="00D012E6">
      <w:pPr>
        <w:pStyle w:val="ListParagraph"/>
        <w:jc w:val="center"/>
        <w:rPr>
          <w:rFonts w:ascii="Times New Roman" w:hAnsi="Times New Roman"/>
          <w:b/>
        </w:rPr>
      </w:pPr>
    </w:p>
    <w:p w14:paraId="24F751BF" w14:textId="77777777" w:rsidR="00D012E6" w:rsidRPr="00774FB0" w:rsidRDefault="00D012E6" w:rsidP="00D012E6">
      <w:pPr>
        <w:pStyle w:val="ListParagraph"/>
        <w:jc w:val="center"/>
        <w:rPr>
          <w:rFonts w:ascii="Times New Roman" w:hAnsi="Times New Roman"/>
          <w:b/>
        </w:rPr>
      </w:pPr>
    </w:p>
    <w:p w14:paraId="3F07D7B1" w14:textId="77777777" w:rsidR="00D012E6" w:rsidRPr="00774FB0" w:rsidRDefault="00D012E6" w:rsidP="00D012E6">
      <w:pPr>
        <w:pStyle w:val="ListParagraph"/>
        <w:jc w:val="center"/>
        <w:rPr>
          <w:rFonts w:ascii="Times New Roman" w:hAnsi="Times New Roman"/>
          <w:b/>
        </w:rPr>
      </w:pPr>
      <w:r w:rsidRPr="00774FB0">
        <w:rPr>
          <w:rFonts w:ascii="Times New Roman" w:hAnsi="Times New Roman"/>
          <w:b/>
        </w:rPr>
        <w:t>By: Danil Osminin</w:t>
      </w:r>
    </w:p>
    <w:p w14:paraId="2AEA69D5" w14:textId="77777777" w:rsidR="00D012E6" w:rsidRPr="00774FB0" w:rsidRDefault="00D012E6" w:rsidP="00D012E6">
      <w:pPr>
        <w:pStyle w:val="ListParagraph"/>
        <w:jc w:val="center"/>
        <w:rPr>
          <w:rFonts w:ascii="Times New Roman" w:hAnsi="Times New Roman"/>
        </w:rPr>
      </w:pPr>
      <w:r w:rsidRPr="00774FB0">
        <w:rPr>
          <w:rFonts w:ascii="Times New Roman" w:hAnsi="Times New Roman"/>
        </w:rPr>
        <w:t>Student No.: 51230761</w:t>
      </w:r>
    </w:p>
    <w:p w14:paraId="7DEAE39F" w14:textId="2578A27A" w:rsidR="00D012E6" w:rsidRDefault="00D012E6" w:rsidP="00D012E6">
      <w:pPr>
        <w:pStyle w:val="ListParagraph"/>
        <w:jc w:val="center"/>
        <w:rPr>
          <w:rFonts w:ascii="Times New Roman" w:hAnsi="Times New Roman"/>
        </w:rPr>
      </w:pPr>
      <w:r w:rsidRPr="00774FB0">
        <w:rPr>
          <w:rFonts w:ascii="Times New Roman" w:hAnsi="Times New Roman"/>
        </w:rPr>
        <w:t>Course Co-</w:t>
      </w:r>
      <w:r w:rsidRPr="004F144B">
        <w:rPr>
          <w:rFonts w:ascii="Times New Roman" w:hAnsi="Times New Roman"/>
          <w:sz w:val="22"/>
          <w:szCs w:val="22"/>
        </w:rPr>
        <w:t>ordinator</w:t>
      </w:r>
      <w:r w:rsidRPr="004F144B">
        <w:rPr>
          <w:rFonts w:ascii="Times New Roman" w:hAnsi="Times New Roman" w:cs="Times New Roman"/>
          <w:sz w:val="22"/>
          <w:szCs w:val="22"/>
        </w:rPr>
        <w:t>:</w:t>
      </w:r>
      <w:r>
        <w:rPr>
          <w:rFonts w:ascii="Times New Roman" w:hAnsi="Times New Roman" w:cs="Times New Roman"/>
          <w:sz w:val="22"/>
          <w:szCs w:val="22"/>
        </w:rPr>
        <w:t xml:space="preserve"> Dr </w:t>
      </w:r>
      <w:proofErr w:type="spellStart"/>
      <w:r>
        <w:rPr>
          <w:rFonts w:ascii="Times New Roman" w:hAnsi="Times New Roman" w:cs="Times New Roman"/>
          <w:sz w:val="22"/>
          <w:szCs w:val="22"/>
        </w:rPr>
        <w:t>Irène</w:t>
      </w:r>
      <w:proofErr w:type="spellEnd"/>
      <w:r>
        <w:rPr>
          <w:rFonts w:ascii="Times New Roman" w:hAnsi="Times New Roman" w:cs="Times New Roman"/>
          <w:sz w:val="22"/>
          <w:szCs w:val="22"/>
        </w:rPr>
        <w:t xml:space="preserve"> </w:t>
      </w:r>
      <w:proofErr w:type="spellStart"/>
      <w:r>
        <w:rPr>
          <w:rFonts w:ascii="Times New Roman" w:hAnsi="Times New Roman" w:cs="Times New Roman"/>
          <w:sz w:val="22"/>
          <w:szCs w:val="22"/>
        </w:rPr>
        <w:t>Couzigou</w:t>
      </w:r>
      <w:proofErr w:type="spellEnd"/>
    </w:p>
    <w:p w14:paraId="3F4123B4" w14:textId="17F623A5" w:rsidR="00D012E6" w:rsidRPr="00AA5E3A" w:rsidRDefault="00D012E6" w:rsidP="00AA5E3A">
      <w:pPr>
        <w:pStyle w:val="ListParagraph"/>
        <w:jc w:val="center"/>
        <w:rPr>
          <w:rFonts w:ascii="Times New Roman" w:hAnsi="Times New Roman"/>
        </w:rPr>
      </w:pPr>
      <w:r>
        <w:rPr>
          <w:rFonts w:ascii="Times New Roman" w:hAnsi="Times New Roman"/>
        </w:rPr>
        <w:t>April 2015</w:t>
      </w:r>
    </w:p>
    <w:sectPr w:rsidR="00D012E6" w:rsidRPr="00AA5E3A" w:rsidSect="008946DB">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884340" w14:textId="77777777" w:rsidR="00AD4FBA" w:rsidRDefault="00AD4FBA" w:rsidP="006F0636">
      <w:r>
        <w:separator/>
      </w:r>
    </w:p>
  </w:endnote>
  <w:endnote w:type="continuationSeparator" w:id="0">
    <w:p w14:paraId="0CF8DF81" w14:textId="77777777" w:rsidR="00AD4FBA" w:rsidRDefault="00AD4FBA" w:rsidP="006F06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Lucida Sans Unicode">
    <w:panose1 w:val="020B0602030504020204"/>
    <w:charset w:val="00"/>
    <w:family w:val="auto"/>
    <w:pitch w:val="variable"/>
    <w:sig w:usb0="80000AFF" w:usb1="0000396B" w:usb2="00000000" w:usb3="00000000" w:csb0="000000BF" w:csb1="00000000"/>
  </w:font>
  <w:font w:name="ＭＳ ゴシック">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F0D8AB6" w14:textId="77777777" w:rsidR="00AD4FBA" w:rsidRDefault="00AD4FBA" w:rsidP="006F0636">
      <w:r>
        <w:separator/>
      </w:r>
    </w:p>
  </w:footnote>
  <w:footnote w:type="continuationSeparator" w:id="0">
    <w:p w14:paraId="53526C24" w14:textId="77777777" w:rsidR="00AD4FBA" w:rsidRDefault="00AD4FBA" w:rsidP="006F0636">
      <w:r>
        <w:continuationSeparator/>
      </w:r>
    </w:p>
  </w:footnote>
  <w:footnote w:id="1">
    <w:p w14:paraId="3BE75EE3" w14:textId="77777777" w:rsidR="00AD4FBA" w:rsidRPr="00CB7FE5" w:rsidRDefault="00AD4FBA">
      <w:pPr>
        <w:pStyle w:val="FootnoteText"/>
        <w:rPr>
          <w:sz w:val="18"/>
          <w:szCs w:val="18"/>
          <w:lang w:val="en-US"/>
        </w:rPr>
      </w:pPr>
      <w:r w:rsidRPr="00CB7FE5">
        <w:rPr>
          <w:rStyle w:val="FootnoteReference"/>
          <w:sz w:val="18"/>
          <w:szCs w:val="18"/>
        </w:rPr>
        <w:footnoteRef/>
      </w:r>
      <w:r w:rsidRPr="00CB7FE5">
        <w:rPr>
          <w:sz w:val="18"/>
          <w:szCs w:val="18"/>
        </w:rPr>
        <w:t xml:space="preserve"> </w:t>
      </w:r>
      <w:r w:rsidRPr="00CB7FE5">
        <w:rPr>
          <w:sz w:val="18"/>
          <w:szCs w:val="18"/>
          <w:lang w:val="en-US"/>
        </w:rPr>
        <w:t xml:space="preserve">Though the necessary amount of State involvement in order to attribute the actions of non-state actors to a State might be still disputable due to controversies between the ICJ judgments on the one side and state practice – on the other. </w:t>
      </w:r>
    </w:p>
  </w:footnote>
  <w:footnote w:id="2">
    <w:p w14:paraId="3630008F" w14:textId="77777777" w:rsidR="00AD4FBA" w:rsidRPr="0064300E" w:rsidRDefault="00AD4FBA">
      <w:pPr>
        <w:pStyle w:val="FootnoteText"/>
        <w:rPr>
          <w:sz w:val="20"/>
          <w:szCs w:val="20"/>
          <w:lang w:val="en-US"/>
        </w:rPr>
      </w:pPr>
      <w:r w:rsidRPr="0064300E">
        <w:rPr>
          <w:rStyle w:val="FootnoteReference"/>
          <w:sz w:val="20"/>
          <w:szCs w:val="20"/>
        </w:rPr>
        <w:footnoteRef/>
      </w:r>
      <w:r w:rsidRPr="0064300E">
        <w:rPr>
          <w:sz w:val="20"/>
          <w:szCs w:val="20"/>
        </w:rPr>
        <w:t xml:space="preserve"> </w:t>
      </w:r>
      <w:r w:rsidRPr="00E9415F">
        <w:rPr>
          <w:i/>
          <w:sz w:val="20"/>
          <w:szCs w:val="20"/>
          <w:lang w:val="en-US"/>
        </w:rPr>
        <w:t>Case Concerning Military and Paramilitary Activities in and against Nicaragua</w:t>
      </w:r>
      <w:r>
        <w:rPr>
          <w:sz w:val="20"/>
          <w:szCs w:val="20"/>
          <w:lang w:val="en-US"/>
        </w:rPr>
        <w:t xml:space="preserve"> (Nicaragua v </w:t>
      </w:r>
      <w:r w:rsidRPr="003912F8">
        <w:rPr>
          <w:sz w:val="20"/>
          <w:szCs w:val="20"/>
          <w:lang w:val="en-US"/>
        </w:rPr>
        <w:t>United States), ICJ Reports (1986) 14</w:t>
      </w:r>
      <w:r>
        <w:rPr>
          <w:sz w:val="20"/>
          <w:szCs w:val="20"/>
          <w:lang w:val="en-US"/>
        </w:rPr>
        <w:t xml:space="preserve"> para</w:t>
      </w:r>
      <w:r w:rsidRPr="006F7F5C">
        <w:rPr>
          <w:sz w:val="20"/>
          <w:szCs w:val="20"/>
          <w:lang w:val="en-US"/>
        </w:rPr>
        <w:t xml:space="preserve"> </w:t>
      </w:r>
      <w:r w:rsidRPr="0064300E">
        <w:rPr>
          <w:sz w:val="20"/>
          <w:szCs w:val="20"/>
          <w:lang w:val="en-US"/>
        </w:rPr>
        <w:t>176, 193</w:t>
      </w:r>
    </w:p>
  </w:footnote>
  <w:footnote w:id="3">
    <w:p w14:paraId="6A923C79" w14:textId="77777777" w:rsidR="00AD4FBA" w:rsidRPr="0064300E" w:rsidRDefault="00AD4FBA">
      <w:pPr>
        <w:pStyle w:val="FootnoteText"/>
        <w:rPr>
          <w:sz w:val="20"/>
          <w:szCs w:val="20"/>
          <w:lang w:val="en-US"/>
        </w:rPr>
      </w:pPr>
      <w:r w:rsidRPr="0064300E">
        <w:rPr>
          <w:rStyle w:val="FootnoteReference"/>
          <w:sz w:val="20"/>
          <w:szCs w:val="20"/>
        </w:rPr>
        <w:footnoteRef/>
      </w:r>
      <w:r w:rsidRPr="0064300E">
        <w:rPr>
          <w:sz w:val="20"/>
          <w:szCs w:val="20"/>
        </w:rPr>
        <w:t xml:space="preserve"> </w:t>
      </w:r>
      <w:r w:rsidRPr="0064300E">
        <w:rPr>
          <w:sz w:val="20"/>
          <w:szCs w:val="20"/>
          <w:lang w:val="en-US"/>
        </w:rPr>
        <w:t>Ibid,</w:t>
      </w:r>
      <w:r>
        <w:rPr>
          <w:sz w:val="20"/>
          <w:szCs w:val="20"/>
          <w:lang w:val="en-US"/>
        </w:rPr>
        <w:t xml:space="preserve"> para 176</w:t>
      </w:r>
    </w:p>
  </w:footnote>
  <w:footnote w:id="4">
    <w:p w14:paraId="0726D596" w14:textId="77777777" w:rsidR="00AD4FBA" w:rsidRPr="0064300E" w:rsidRDefault="00AD4FBA">
      <w:pPr>
        <w:pStyle w:val="FootnoteText"/>
        <w:rPr>
          <w:sz w:val="20"/>
          <w:szCs w:val="20"/>
          <w:lang w:val="en-US"/>
        </w:rPr>
      </w:pPr>
      <w:r w:rsidRPr="0064300E">
        <w:rPr>
          <w:rStyle w:val="FootnoteReference"/>
          <w:sz w:val="20"/>
          <w:szCs w:val="20"/>
        </w:rPr>
        <w:footnoteRef/>
      </w:r>
      <w:r w:rsidRPr="0064300E">
        <w:rPr>
          <w:sz w:val="20"/>
          <w:szCs w:val="20"/>
        </w:rPr>
        <w:t xml:space="preserve"> </w:t>
      </w:r>
      <w:r>
        <w:rPr>
          <w:sz w:val="20"/>
          <w:szCs w:val="20"/>
        </w:rPr>
        <w:t xml:space="preserve">Murray Colin </w:t>
      </w:r>
      <w:r w:rsidRPr="0064300E">
        <w:rPr>
          <w:sz w:val="20"/>
          <w:szCs w:val="20"/>
        </w:rPr>
        <w:t>Adler,</w:t>
      </w:r>
      <w:r>
        <w:rPr>
          <w:sz w:val="20"/>
          <w:szCs w:val="20"/>
        </w:rPr>
        <w:t xml:space="preserve"> </w:t>
      </w:r>
      <w:r w:rsidRPr="00921DF4">
        <w:rPr>
          <w:i/>
          <w:sz w:val="20"/>
          <w:szCs w:val="20"/>
        </w:rPr>
        <w:t>The Inherent Right of Self-Defence in International Law</w:t>
      </w:r>
      <w:r>
        <w:rPr>
          <w:sz w:val="20"/>
          <w:szCs w:val="20"/>
        </w:rPr>
        <w:t>,</w:t>
      </w:r>
      <w:r w:rsidRPr="0064300E">
        <w:rPr>
          <w:sz w:val="20"/>
          <w:szCs w:val="20"/>
        </w:rPr>
        <w:t xml:space="preserve"> </w:t>
      </w:r>
      <w:r>
        <w:rPr>
          <w:sz w:val="20"/>
          <w:szCs w:val="20"/>
        </w:rPr>
        <w:t xml:space="preserve">(Springer 2013) </w:t>
      </w:r>
      <w:r w:rsidRPr="0064300E">
        <w:rPr>
          <w:sz w:val="20"/>
          <w:szCs w:val="20"/>
        </w:rPr>
        <w:t>36</w:t>
      </w:r>
    </w:p>
  </w:footnote>
  <w:footnote w:id="5">
    <w:p w14:paraId="77DC96FB" w14:textId="77777777" w:rsidR="00AD4FBA" w:rsidRPr="00921DF4" w:rsidRDefault="00AD4FBA">
      <w:pPr>
        <w:pStyle w:val="FootnoteText"/>
        <w:rPr>
          <w:sz w:val="20"/>
          <w:szCs w:val="20"/>
          <w:lang w:val="en-US"/>
        </w:rPr>
      </w:pPr>
      <w:r w:rsidRPr="00921DF4">
        <w:rPr>
          <w:rStyle w:val="FootnoteReference"/>
          <w:sz w:val="20"/>
          <w:szCs w:val="20"/>
        </w:rPr>
        <w:footnoteRef/>
      </w:r>
      <w:r w:rsidRPr="00921DF4">
        <w:rPr>
          <w:sz w:val="20"/>
          <w:szCs w:val="20"/>
        </w:rPr>
        <w:t xml:space="preserve"> </w:t>
      </w:r>
      <w:proofErr w:type="gramStart"/>
      <w:r w:rsidRPr="00921DF4">
        <w:rPr>
          <w:rFonts w:cs="Times"/>
          <w:i/>
          <w:iCs/>
          <w:sz w:val="20"/>
          <w:szCs w:val="20"/>
          <w:lang w:val="en-US"/>
        </w:rPr>
        <w:t xml:space="preserve">Caroline </w:t>
      </w:r>
      <w:r w:rsidRPr="00921DF4">
        <w:rPr>
          <w:rFonts w:cs="Times"/>
          <w:sz w:val="20"/>
          <w:szCs w:val="20"/>
          <w:lang w:val="en-US"/>
        </w:rPr>
        <w:t>[1837] 30 B.F.S.P.</w:t>
      </w:r>
      <w:proofErr w:type="gramEnd"/>
    </w:p>
  </w:footnote>
  <w:footnote w:id="6">
    <w:p w14:paraId="649923ED" w14:textId="77777777" w:rsidR="00AD4FBA" w:rsidRPr="005B4B9E" w:rsidRDefault="00AD4FBA">
      <w:pPr>
        <w:pStyle w:val="FootnoteText"/>
        <w:rPr>
          <w:lang w:val="en-US"/>
        </w:rPr>
      </w:pPr>
      <w:r>
        <w:rPr>
          <w:rStyle w:val="FootnoteReference"/>
        </w:rPr>
        <w:footnoteRef/>
      </w:r>
      <w:r>
        <w:t xml:space="preserve"> </w:t>
      </w:r>
      <w:r>
        <w:rPr>
          <w:sz w:val="20"/>
          <w:szCs w:val="20"/>
          <w:lang w:val="en-US"/>
        </w:rPr>
        <w:t xml:space="preserve">Christine Gray, </w:t>
      </w:r>
      <w:r w:rsidRPr="005B4B9E">
        <w:rPr>
          <w:i/>
          <w:sz w:val="20"/>
          <w:szCs w:val="20"/>
          <w:lang w:val="en-US"/>
        </w:rPr>
        <w:t>International Law and the Use of Force</w:t>
      </w:r>
      <w:r>
        <w:rPr>
          <w:sz w:val="20"/>
          <w:szCs w:val="20"/>
          <w:lang w:val="en-US"/>
        </w:rPr>
        <w:t>, (3</w:t>
      </w:r>
      <w:r w:rsidRPr="005B4B9E">
        <w:rPr>
          <w:sz w:val="20"/>
          <w:szCs w:val="20"/>
          <w:vertAlign w:val="superscript"/>
          <w:lang w:val="en-US"/>
        </w:rPr>
        <w:t>rd</w:t>
      </w:r>
      <w:r>
        <w:rPr>
          <w:sz w:val="20"/>
          <w:szCs w:val="20"/>
          <w:lang w:val="en-US"/>
        </w:rPr>
        <w:t xml:space="preserve"> edn, OUP, 2008) 148-150</w:t>
      </w:r>
    </w:p>
  </w:footnote>
  <w:footnote w:id="7">
    <w:p w14:paraId="620427F7" w14:textId="77777777" w:rsidR="00AD4FBA" w:rsidRPr="00D012E6" w:rsidRDefault="00AD4FBA">
      <w:pPr>
        <w:pStyle w:val="FootnoteText"/>
        <w:rPr>
          <w:sz w:val="20"/>
          <w:szCs w:val="20"/>
          <w:lang w:val="en-US"/>
        </w:rPr>
      </w:pPr>
      <w:r w:rsidRPr="0064300E">
        <w:rPr>
          <w:rStyle w:val="FootnoteReference"/>
          <w:sz w:val="20"/>
          <w:szCs w:val="20"/>
        </w:rPr>
        <w:footnoteRef/>
      </w:r>
      <w:r w:rsidRPr="0064300E">
        <w:rPr>
          <w:sz w:val="20"/>
          <w:szCs w:val="20"/>
        </w:rPr>
        <w:t xml:space="preserve"> </w:t>
      </w:r>
      <w:r w:rsidRPr="0064300E">
        <w:rPr>
          <w:sz w:val="20"/>
          <w:szCs w:val="20"/>
          <w:lang w:val="en-US"/>
        </w:rPr>
        <w:t xml:space="preserve">Some authors, as mentioned by Tom </w:t>
      </w:r>
      <w:proofErr w:type="spellStart"/>
      <w:r w:rsidRPr="0064300E">
        <w:rPr>
          <w:sz w:val="20"/>
          <w:szCs w:val="20"/>
          <w:lang w:val="en-US"/>
        </w:rPr>
        <w:t>Ruys</w:t>
      </w:r>
      <w:proofErr w:type="spellEnd"/>
      <w:r w:rsidRPr="0064300E">
        <w:rPr>
          <w:sz w:val="20"/>
          <w:szCs w:val="20"/>
          <w:lang w:val="en-US"/>
        </w:rPr>
        <w:t xml:space="preserve">, argued that the aim of Art 51, according to the </w:t>
      </w:r>
      <w:proofErr w:type="spellStart"/>
      <w:r w:rsidRPr="0064300E">
        <w:rPr>
          <w:i/>
          <w:sz w:val="20"/>
          <w:szCs w:val="20"/>
          <w:lang w:val="en-US"/>
        </w:rPr>
        <w:t>travaux</w:t>
      </w:r>
      <w:proofErr w:type="spellEnd"/>
      <w:r w:rsidRPr="0064300E">
        <w:rPr>
          <w:i/>
          <w:sz w:val="20"/>
          <w:szCs w:val="20"/>
          <w:lang w:val="en-US"/>
        </w:rPr>
        <w:t xml:space="preserve"> </w:t>
      </w:r>
      <w:proofErr w:type="spellStart"/>
      <w:r w:rsidRPr="0064300E">
        <w:rPr>
          <w:i/>
          <w:sz w:val="20"/>
          <w:szCs w:val="20"/>
          <w:lang w:val="en-US"/>
        </w:rPr>
        <w:t>preparatoir</w:t>
      </w:r>
      <w:r>
        <w:rPr>
          <w:i/>
          <w:sz w:val="20"/>
          <w:szCs w:val="20"/>
          <w:lang w:val="en-US"/>
        </w:rPr>
        <w:t>e</w:t>
      </w:r>
      <w:r w:rsidRPr="0064300E">
        <w:rPr>
          <w:i/>
          <w:sz w:val="20"/>
          <w:szCs w:val="20"/>
          <w:lang w:val="en-US"/>
        </w:rPr>
        <w:t>s</w:t>
      </w:r>
      <w:proofErr w:type="spellEnd"/>
      <w:r w:rsidRPr="0064300E">
        <w:rPr>
          <w:sz w:val="20"/>
          <w:szCs w:val="20"/>
          <w:lang w:val="en-US"/>
        </w:rPr>
        <w:t xml:space="preserve">, was to clarify the position towards collective </w:t>
      </w:r>
      <w:r w:rsidRPr="00D012E6">
        <w:rPr>
          <w:sz w:val="20"/>
          <w:szCs w:val="20"/>
          <w:lang w:val="en-US"/>
        </w:rPr>
        <w:t>security agreements. See</w:t>
      </w:r>
    </w:p>
    <w:p w14:paraId="547E2C02" w14:textId="77777777" w:rsidR="00AD4FBA" w:rsidRPr="00D012E6" w:rsidRDefault="00AD4FBA">
      <w:pPr>
        <w:pStyle w:val="FootnoteText"/>
        <w:rPr>
          <w:sz w:val="20"/>
          <w:szCs w:val="20"/>
          <w:lang w:val="en-US"/>
        </w:rPr>
      </w:pPr>
      <w:r w:rsidRPr="00D012E6">
        <w:rPr>
          <w:sz w:val="20"/>
          <w:szCs w:val="20"/>
          <w:lang w:val="en-US"/>
        </w:rPr>
        <w:t xml:space="preserve">Tom </w:t>
      </w:r>
      <w:proofErr w:type="spellStart"/>
      <w:r w:rsidRPr="00D012E6">
        <w:rPr>
          <w:sz w:val="20"/>
          <w:szCs w:val="20"/>
          <w:lang w:val="en-US"/>
        </w:rPr>
        <w:t>Ruys</w:t>
      </w:r>
      <w:proofErr w:type="spellEnd"/>
      <w:r w:rsidRPr="00D012E6">
        <w:rPr>
          <w:sz w:val="20"/>
          <w:szCs w:val="20"/>
          <w:lang w:val="en-US"/>
        </w:rPr>
        <w:t xml:space="preserve">, </w:t>
      </w:r>
      <w:r w:rsidRPr="00D012E6">
        <w:rPr>
          <w:i/>
          <w:sz w:val="20"/>
          <w:szCs w:val="20"/>
          <w:lang w:val="en-US"/>
        </w:rPr>
        <w:t>‘Armed Attack’ and Article 51 of the UN Charter</w:t>
      </w:r>
      <w:r w:rsidRPr="00D012E6">
        <w:rPr>
          <w:sz w:val="20"/>
          <w:szCs w:val="20"/>
          <w:lang w:val="en-US"/>
        </w:rPr>
        <w:t xml:space="preserve">, (Cambridge University Press 2013) 9; </w:t>
      </w:r>
      <w:proofErr w:type="spellStart"/>
      <w:r w:rsidRPr="00D012E6">
        <w:rPr>
          <w:sz w:val="20"/>
          <w:szCs w:val="20"/>
          <w:lang w:val="en-US"/>
        </w:rPr>
        <w:t>Avra</w:t>
      </w:r>
      <w:proofErr w:type="spellEnd"/>
      <w:r w:rsidRPr="00D012E6">
        <w:rPr>
          <w:sz w:val="20"/>
          <w:szCs w:val="20"/>
          <w:lang w:val="en-US"/>
        </w:rPr>
        <w:t xml:space="preserve"> </w:t>
      </w:r>
      <w:proofErr w:type="spellStart"/>
      <w:r w:rsidRPr="00D012E6">
        <w:rPr>
          <w:sz w:val="20"/>
          <w:szCs w:val="20"/>
          <w:lang w:val="en-US"/>
        </w:rPr>
        <w:t>Constantinou</w:t>
      </w:r>
      <w:proofErr w:type="spellEnd"/>
      <w:r w:rsidRPr="00D012E6">
        <w:rPr>
          <w:sz w:val="20"/>
          <w:szCs w:val="20"/>
          <w:lang w:val="en-US"/>
        </w:rPr>
        <w:t xml:space="preserve">, ‘The Right of </w:t>
      </w:r>
      <w:proofErr w:type="spellStart"/>
      <w:r w:rsidRPr="00D012E6">
        <w:rPr>
          <w:sz w:val="20"/>
          <w:szCs w:val="20"/>
          <w:lang w:val="en-US"/>
        </w:rPr>
        <w:t>Slef</w:t>
      </w:r>
      <w:proofErr w:type="spellEnd"/>
      <w:r w:rsidRPr="00D012E6">
        <w:rPr>
          <w:sz w:val="20"/>
          <w:szCs w:val="20"/>
          <w:lang w:val="en-US"/>
        </w:rPr>
        <w:t>-Defence under Customary International Law and Article 51 of the United Nations Charter’ (DPhil, thesis, University of Nottingham 1996) 12-15</w:t>
      </w:r>
    </w:p>
  </w:footnote>
  <w:footnote w:id="8">
    <w:p w14:paraId="076B3D8B" w14:textId="77777777" w:rsidR="00AD4FBA" w:rsidRPr="00D012E6" w:rsidRDefault="00AD4FBA">
      <w:pPr>
        <w:pStyle w:val="FootnoteText"/>
        <w:rPr>
          <w:sz w:val="20"/>
          <w:szCs w:val="20"/>
          <w:lang w:val="en-US"/>
        </w:rPr>
      </w:pPr>
      <w:r w:rsidRPr="00D012E6">
        <w:rPr>
          <w:rStyle w:val="FootnoteReference"/>
          <w:sz w:val="20"/>
          <w:szCs w:val="20"/>
        </w:rPr>
        <w:footnoteRef/>
      </w:r>
      <w:r w:rsidRPr="00D012E6">
        <w:rPr>
          <w:sz w:val="20"/>
          <w:szCs w:val="20"/>
        </w:rPr>
        <w:t xml:space="preserve"> </w:t>
      </w:r>
      <w:proofErr w:type="spellStart"/>
      <w:r w:rsidRPr="00D012E6">
        <w:rPr>
          <w:sz w:val="20"/>
          <w:szCs w:val="20"/>
          <w:lang w:val="en-US"/>
        </w:rPr>
        <w:t>Ruys</w:t>
      </w:r>
      <w:proofErr w:type="spellEnd"/>
      <w:r w:rsidRPr="00D012E6">
        <w:rPr>
          <w:sz w:val="20"/>
          <w:szCs w:val="20"/>
          <w:lang w:val="en-US"/>
        </w:rPr>
        <w:t xml:space="preserve"> (n7) 9</w:t>
      </w:r>
      <w:proofErr w:type="gramStart"/>
      <w:r w:rsidRPr="00D012E6">
        <w:rPr>
          <w:sz w:val="20"/>
          <w:szCs w:val="20"/>
          <w:lang w:val="en-US"/>
        </w:rPr>
        <w:t>;  Relevant</w:t>
      </w:r>
      <w:proofErr w:type="gramEnd"/>
      <w:r w:rsidRPr="00D012E6">
        <w:rPr>
          <w:sz w:val="20"/>
          <w:szCs w:val="20"/>
          <w:lang w:val="en-US"/>
        </w:rPr>
        <w:t xml:space="preserve"> example: Derek William </w:t>
      </w:r>
      <w:proofErr w:type="spellStart"/>
      <w:r w:rsidRPr="00D012E6">
        <w:rPr>
          <w:sz w:val="20"/>
          <w:szCs w:val="20"/>
          <w:lang w:val="en-US"/>
        </w:rPr>
        <w:t>Bowett</w:t>
      </w:r>
      <w:proofErr w:type="spellEnd"/>
      <w:r w:rsidRPr="00D012E6">
        <w:rPr>
          <w:sz w:val="20"/>
          <w:szCs w:val="20"/>
          <w:lang w:val="en-US"/>
        </w:rPr>
        <w:t>, ‘The Use of Force in the Protection of Nationals’ (1957) 43 Transactions of the Grotius Society 111</w:t>
      </w:r>
    </w:p>
  </w:footnote>
  <w:footnote w:id="9">
    <w:p w14:paraId="3824B7CB" w14:textId="200B848A" w:rsidR="00AD4FBA" w:rsidRPr="00D012E6" w:rsidRDefault="00AD4FBA">
      <w:pPr>
        <w:pStyle w:val="FootnoteText"/>
        <w:rPr>
          <w:sz w:val="20"/>
          <w:szCs w:val="20"/>
          <w:lang w:val="en-US"/>
        </w:rPr>
      </w:pPr>
      <w:r w:rsidRPr="00D012E6">
        <w:rPr>
          <w:rStyle w:val="FootnoteReference"/>
          <w:sz w:val="20"/>
          <w:szCs w:val="20"/>
        </w:rPr>
        <w:footnoteRef/>
      </w:r>
      <w:r w:rsidRPr="00D012E6">
        <w:rPr>
          <w:sz w:val="20"/>
          <w:szCs w:val="20"/>
        </w:rPr>
        <w:t xml:space="preserve"> </w:t>
      </w:r>
      <w:proofErr w:type="spellStart"/>
      <w:r w:rsidRPr="00D012E6">
        <w:rPr>
          <w:sz w:val="20"/>
          <w:szCs w:val="20"/>
          <w:lang w:val="en-US"/>
        </w:rPr>
        <w:t>Ruys</w:t>
      </w:r>
      <w:proofErr w:type="spellEnd"/>
      <w:r w:rsidRPr="00D012E6">
        <w:rPr>
          <w:sz w:val="20"/>
          <w:szCs w:val="20"/>
          <w:lang w:val="en-US"/>
        </w:rPr>
        <w:t xml:space="preserve"> (n7) 10; Gray (n6) 117-118; Albrecht </w:t>
      </w:r>
      <w:proofErr w:type="spellStart"/>
      <w:r w:rsidRPr="00D012E6">
        <w:rPr>
          <w:sz w:val="20"/>
          <w:szCs w:val="20"/>
          <w:lang w:val="en-US"/>
        </w:rPr>
        <w:t>Randelzhofer</w:t>
      </w:r>
      <w:proofErr w:type="spellEnd"/>
      <w:r w:rsidRPr="00D012E6">
        <w:rPr>
          <w:sz w:val="20"/>
          <w:szCs w:val="20"/>
          <w:lang w:val="en-US"/>
        </w:rPr>
        <w:t xml:space="preserve"> and Georg Nolte, ‘Article 51’ in B. </w:t>
      </w:r>
      <w:proofErr w:type="spellStart"/>
      <w:r w:rsidRPr="00D012E6">
        <w:rPr>
          <w:sz w:val="20"/>
          <w:szCs w:val="20"/>
          <w:lang w:val="en-US"/>
        </w:rPr>
        <w:t>Simma</w:t>
      </w:r>
      <w:proofErr w:type="spellEnd"/>
      <w:r w:rsidRPr="00D012E6">
        <w:rPr>
          <w:sz w:val="20"/>
          <w:szCs w:val="20"/>
          <w:lang w:val="en-US"/>
        </w:rPr>
        <w:t xml:space="preserve"> and others (eds), The Charter of the United Nations: A Commentary, (3rd edn, OUP 2002) 1403-</w:t>
      </w:r>
      <w:proofErr w:type="gramStart"/>
      <w:r w:rsidRPr="00D012E6">
        <w:rPr>
          <w:sz w:val="20"/>
          <w:szCs w:val="20"/>
          <w:lang w:val="en-US"/>
        </w:rPr>
        <w:t>1404 ;</w:t>
      </w:r>
      <w:proofErr w:type="gramEnd"/>
      <w:r w:rsidRPr="00D012E6">
        <w:rPr>
          <w:sz w:val="20"/>
          <w:szCs w:val="20"/>
          <w:lang w:val="en-US"/>
        </w:rPr>
        <w:t xml:space="preserve"> ILC, ‘Reports of the Commission to the General Assembly ‘, (1996-II) YBILC 247</w:t>
      </w:r>
    </w:p>
  </w:footnote>
  <w:footnote w:id="10">
    <w:p w14:paraId="73ABA65B" w14:textId="14D1FDAD" w:rsidR="00AD4FBA" w:rsidRPr="00BA47CB" w:rsidRDefault="00AD4FBA">
      <w:pPr>
        <w:pStyle w:val="FootnoteText"/>
        <w:rPr>
          <w:sz w:val="20"/>
          <w:szCs w:val="20"/>
          <w:lang w:val="en-US"/>
        </w:rPr>
      </w:pPr>
      <w:r w:rsidRPr="00D012E6">
        <w:rPr>
          <w:rStyle w:val="FootnoteReference"/>
          <w:sz w:val="20"/>
          <w:szCs w:val="20"/>
        </w:rPr>
        <w:footnoteRef/>
      </w:r>
      <w:r w:rsidRPr="00D012E6">
        <w:rPr>
          <w:sz w:val="20"/>
          <w:szCs w:val="20"/>
        </w:rPr>
        <w:t xml:space="preserve"> </w:t>
      </w:r>
      <w:r w:rsidRPr="00D012E6">
        <w:rPr>
          <w:sz w:val="20"/>
          <w:szCs w:val="20"/>
          <w:lang w:val="en-US"/>
        </w:rPr>
        <w:t xml:space="preserve">Thomas Frank, </w:t>
      </w:r>
      <w:r w:rsidRPr="00D012E6">
        <w:rPr>
          <w:i/>
          <w:sz w:val="20"/>
          <w:szCs w:val="20"/>
          <w:lang w:val="en-US"/>
        </w:rPr>
        <w:t xml:space="preserve">Recourse to Force: State Actions Against Threats and Armed Attacks, </w:t>
      </w:r>
      <w:r w:rsidRPr="00D012E6">
        <w:rPr>
          <w:sz w:val="20"/>
          <w:szCs w:val="20"/>
          <w:lang w:val="en-US"/>
        </w:rPr>
        <w:t>(Cambridge University Press 2002) 11-12</w:t>
      </w:r>
      <w:r>
        <w:rPr>
          <w:sz w:val="20"/>
          <w:szCs w:val="20"/>
          <w:lang w:val="en-US"/>
        </w:rPr>
        <w:t xml:space="preserve">; </w:t>
      </w:r>
      <w:proofErr w:type="spellStart"/>
      <w:r>
        <w:rPr>
          <w:sz w:val="20"/>
          <w:szCs w:val="20"/>
          <w:lang w:val="en-US"/>
        </w:rPr>
        <w:t>Constantionu</w:t>
      </w:r>
      <w:proofErr w:type="spellEnd"/>
      <w:r>
        <w:rPr>
          <w:sz w:val="20"/>
          <w:szCs w:val="20"/>
          <w:lang w:val="en-US"/>
        </w:rPr>
        <w:t xml:space="preserve"> (n7) 55-56</w:t>
      </w:r>
    </w:p>
  </w:footnote>
  <w:footnote w:id="11">
    <w:p w14:paraId="1B19F96E" w14:textId="77777777" w:rsidR="00AD4FBA" w:rsidRPr="0064300E" w:rsidRDefault="00AD4FBA">
      <w:pPr>
        <w:pStyle w:val="FootnoteText"/>
        <w:rPr>
          <w:sz w:val="20"/>
          <w:szCs w:val="20"/>
          <w:lang w:val="en-US"/>
        </w:rPr>
      </w:pPr>
      <w:r w:rsidRPr="0064300E">
        <w:rPr>
          <w:rStyle w:val="FootnoteReference"/>
          <w:sz w:val="20"/>
          <w:szCs w:val="20"/>
        </w:rPr>
        <w:footnoteRef/>
      </w:r>
      <w:r w:rsidRPr="0064300E">
        <w:rPr>
          <w:sz w:val="20"/>
          <w:szCs w:val="20"/>
        </w:rPr>
        <w:t xml:space="preserve"> Declaration on the Principles of International Law concerning Friendly Relations and Cooperation among States in accordance with the Charter of the United Nations, General Assembly R</w:t>
      </w:r>
      <w:r>
        <w:rPr>
          <w:sz w:val="20"/>
          <w:szCs w:val="20"/>
        </w:rPr>
        <w:t>es. 2625 (XXV), 24 October 1970</w:t>
      </w:r>
    </w:p>
  </w:footnote>
  <w:footnote w:id="12">
    <w:p w14:paraId="4E82BAEA" w14:textId="77777777" w:rsidR="00AD4FBA" w:rsidRPr="00113241" w:rsidRDefault="00AD4FBA">
      <w:pPr>
        <w:pStyle w:val="FootnoteText"/>
        <w:rPr>
          <w:sz w:val="20"/>
          <w:szCs w:val="20"/>
          <w:lang w:val="en-US"/>
        </w:rPr>
      </w:pPr>
      <w:r w:rsidRPr="0064300E">
        <w:rPr>
          <w:rStyle w:val="FootnoteReference"/>
          <w:sz w:val="20"/>
          <w:szCs w:val="20"/>
        </w:rPr>
        <w:footnoteRef/>
      </w:r>
      <w:r w:rsidRPr="0064300E">
        <w:rPr>
          <w:sz w:val="20"/>
          <w:szCs w:val="20"/>
        </w:rPr>
        <w:t xml:space="preserve"> Declaration on the Enhancement of the Effectiveness of the Principle of Refraining from the </w:t>
      </w:r>
      <w:r w:rsidRPr="00113241">
        <w:rPr>
          <w:sz w:val="20"/>
          <w:szCs w:val="20"/>
        </w:rPr>
        <w:t xml:space="preserve">Threat or the Use of Force in International Relations, </w:t>
      </w:r>
      <w:r>
        <w:rPr>
          <w:sz w:val="20"/>
          <w:szCs w:val="20"/>
        </w:rPr>
        <w:t>GA Res. 42/22, 18 November 1987</w:t>
      </w:r>
    </w:p>
  </w:footnote>
  <w:footnote w:id="13">
    <w:p w14:paraId="08498791" w14:textId="77777777" w:rsidR="00AD4FBA" w:rsidRPr="00113241" w:rsidRDefault="00AD4FBA">
      <w:pPr>
        <w:pStyle w:val="FootnoteText"/>
        <w:rPr>
          <w:sz w:val="20"/>
          <w:szCs w:val="20"/>
          <w:lang w:val="en-US"/>
        </w:rPr>
      </w:pPr>
      <w:r w:rsidRPr="00113241">
        <w:rPr>
          <w:rStyle w:val="FootnoteReference"/>
          <w:sz w:val="20"/>
          <w:szCs w:val="20"/>
        </w:rPr>
        <w:footnoteRef/>
      </w:r>
      <w:r w:rsidRPr="00113241">
        <w:rPr>
          <w:sz w:val="20"/>
          <w:szCs w:val="20"/>
        </w:rPr>
        <w:t xml:space="preserve"> </w:t>
      </w:r>
      <w:proofErr w:type="spellStart"/>
      <w:r w:rsidRPr="00113241">
        <w:rPr>
          <w:sz w:val="20"/>
          <w:szCs w:val="20"/>
          <w:lang w:val="en-US"/>
        </w:rPr>
        <w:t>Ruys</w:t>
      </w:r>
      <w:proofErr w:type="spellEnd"/>
      <w:r>
        <w:rPr>
          <w:sz w:val="20"/>
          <w:szCs w:val="20"/>
          <w:lang w:val="en-US"/>
        </w:rPr>
        <w:t xml:space="preserve"> (n7)</w:t>
      </w:r>
      <w:r w:rsidRPr="00113241">
        <w:rPr>
          <w:sz w:val="20"/>
          <w:szCs w:val="20"/>
          <w:lang w:val="en-US"/>
        </w:rPr>
        <w:t>, 21</w:t>
      </w:r>
    </w:p>
  </w:footnote>
  <w:footnote w:id="14">
    <w:p w14:paraId="07E27004" w14:textId="77777777" w:rsidR="00AD4FBA" w:rsidRPr="00113241" w:rsidRDefault="00AD4FBA">
      <w:pPr>
        <w:pStyle w:val="FootnoteText"/>
        <w:rPr>
          <w:sz w:val="20"/>
          <w:szCs w:val="20"/>
          <w:lang w:val="en-US"/>
        </w:rPr>
      </w:pPr>
      <w:r w:rsidRPr="00113241">
        <w:rPr>
          <w:rStyle w:val="FootnoteReference"/>
          <w:sz w:val="20"/>
          <w:szCs w:val="20"/>
        </w:rPr>
        <w:footnoteRef/>
      </w:r>
      <w:r w:rsidRPr="00113241">
        <w:rPr>
          <w:sz w:val="20"/>
          <w:szCs w:val="20"/>
        </w:rPr>
        <w:t xml:space="preserve"> ILC, Report of the 57</w:t>
      </w:r>
      <w:r w:rsidRPr="00113241">
        <w:rPr>
          <w:sz w:val="20"/>
          <w:szCs w:val="20"/>
          <w:vertAlign w:val="superscript"/>
        </w:rPr>
        <w:t>th</w:t>
      </w:r>
      <w:r w:rsidRPr="00113241">
        <w:rPr>
          <w:sz w:val="20"/>
          <w:szCs w:val="20"/>
        </w:rPr>
        <w:t xml:space="preserve"> session,</w:t>
      </w:r>
      <w:r>
        <w:rPr>
          <w:sz w:val="20"/>
          <w:szCs w:val="20"/>
        </w:rPr>
        <w:t xml:space="preserve"> 2005, UN Doc. A/60/10 para 474</w:t>
      </w:r>
    </w:p>
  </w:footnote>
  <w:footnote w:id="15">
    <w:p w14:paraId="14EFEE9F" w14:textId="77777777" w:rsidR="00AD4FBA" w:rsidRPr="00113241" w:rsidRDefault="00AD4FBA">
      <w:pPr>
        <w:pStyle w:val="FootnoteText"/>
        <w:rPr>
          <w:sz w:val="20"/>
          <w:szCs w:val="20"/>
          <w:lang w:val="en-US"/>
        </w:rPr>
      </w:pPr>
      <w:r w:rsidRPr="00113241">
        <w:rPr>
          <w:rStyle w:val="FootnoteReference"/>
          <w:sz w:val="20"/>
          <w:szCs w:val="20"/>
        </w:rPr>
        <w:footnoteRef/>
      </w:r>
      <w:r w:rsidRPr="00113241">
        <w:rPr>
          <w:sz w:val="20"/>
          <w:szCs w:val="20"/>
        </w:rPr>
        <w:t xml:space="preserve"> </w:t>
      </w:r>
      <w:r>
        <w:rPr>
          <w:sz w:val="20"/>
          <w:szCs w:val="20"/>
        </w:rPr>
        <w:t xml:space="preserve">Olivier </w:t>
      </w:r>
      <w:proofErr w:type="spellStart"/>
      <w:r w:rsidRPr="00113241">
        <w:rPr>
          <w:sz w:val="20"/>
          <w:szCs w:val="20"/>
        </w:rPr>
        <w:t>Corten</w:t>
      </w:r>
      <w:proofErr w:type="spellEnd"/>
      <w:r w:rsidRPr="00113241">
        <w:rPr>
          <w:sz w:val="20"/>
          <w:szCs w:val="20"/>
        </w:rPr>
        <w:t>,</w:t>
      </w:r>
      <w:r>
        <w:rPr>
          <w:sz w:val="20"/>
          <w:szCs w:val="20"/>
        </w:rPr>
        <w:t xml:space="preserve"> </w:t>
      </w:r>
      <w:r w:rsidRPr="00D060F7">
        <w:rPr>
          <w:i/>
          <w:sz w:val="20"/>
          <w:szCs w:val="20"/>
        </w:rPr>
        <w:t>The Law Against War: The Prohibition on the Use of Force in Contemporary International Law</w:t>
      </w:r>
      <w:r>
        <w:rPr>
          <w:i/>
          <w:sz w:val="20"/>
          <w:szCs w:val="20"/>
        </w:rPr>
        <w:t xml:space="preserve">, </w:t>
      </w:r>
      <w:r>
        <w:rPr>
          <w:sz w:val="20"/>
          <w:szCs w:val="20"/>
        </w:rPr>
        <w:t>(Hart Publishing 2010)</w:t>
      </w:r>
      <w:r w:rsidRPr="00113241">
        <w:rPr>
          <w:sz w:val="20"/>
          <w:szCs w:val="20"/>
        </w:rPr>
        <w:t xml:space="preserve"> 200-213</w:t>
      </w:r>
    </w:p>
  </w:footnote>
  <w:footnote w:id="16">
    <w:p w14:paraId="53A200D5" w14:textId="77777777" w:rsidR="00AD4FBA" w:rsidRPr="00113241" w:rsidRDefault="00AD4FBA">
      <w:pPr>
        <w:pStyle w:val="FootnoteText"/>
        <w:rPr>
          <w:sz w:val="20"/>
          <w:szCs w:val="20"/>
          <w:lang w:val="en-US"/>
        </w:rPr>
      </w:pPr>
      <w:r w:rsidRPr="00113241">
        <w:rPr>
          <w:rStyle w:val="FootnoteReference"/>
          <w:sz w:val="20"/>
          <w:szCs w:val="20"/>
        </w:rPr>
        <w:footnoteRef/>
      </w:r>
      <w:r w:rsidRPr="00113241">
        <w:rPr>
          <w:sz w:val="20"/>
          <w:szCs w:val="20"/>
        </w:rPr>
        <w:t xml:space="preserve"> </w:t>
      </w:r>
      <w:r w:rsidRPr="00113241">
        <w:rPr>
          <w:sz w:val="20"/>
          <w:szCs w:val="20"/>
          <w:lang w:val="en-US"/>
        </w:rPr>
        <w:t xml:space="preserve">ILC, Report </w:t>
      </w:r>
      <w:proofErr w:type="gramStart"/>
      <w:r w:rsidRPr="00113241">
        <w:rPr>
          <w:sz w:val="20"/>
          <w:szCs w:val="20"/>
          <w:lang w:val="en-US"/>
        </w:rPr>
        <w:t>of  the</w:t>
      </w:r>
      <w:proofErr w:type="gramEnd"/>
      <w:r w:rsidRPr="00113241">
        <w:rPr>
          <w:sz w:val="20"/>
          <w:szCs w:val="20"/>
          <w:lang w:val="en-US"/>
        </w:rPr>
        <w:t xml:space="preserve"> ILC Study Group, ‘Fragmentation </w:t>
      </w:r>
      <w:r>
        <w:rPr>
          <w:sz w:val="20"/>
          <w:szCs w:val="20"/>
          <w:lang w:val="en-US"/>
        </w:rPr>
        <w:t>of International Law’, para 374</w:t>
      </w:r>
    </w:p>
  </w:footnote>
  <w:footnote w:id="17">
    <w:p w14:paraId="0906D8A1" w14:textId="77777777" w:rsidR="00AD4FBA" w:rsidRPr="00D012E6" w:rsidRDefault="00AD4FBA">
      <w:pPr>
        <w:pStyle w:val="FootnoteText"/>
        <w:rPr>
          <w:lang w:val="en-US"/>
        </w:rPr>
      </w:pPr>
      <w:r w:rsidRPr="00113241">
        <w:rPr>
          <w:rStyle w:val="FootnoteReference"/>
          <w:sz w:val="20"/>
          <w:szCs w:val="20"/>
        </w:rPr>
        <w:footnoteRef/>
      </w:r>
      <w:r w:rsidRPr="00113241">
        <w:rPr>
          <w:sz w:val="20"/>
          <w:szCs w:val="20"/>
        </w:rPr>
        <w:t xml:space="preserve"> </w:t>
      </w:r>
      <w:proofErr w:type="spellStart"/>
      <w:r w:rsidRPr="00113241">
        <w:rPr>
          <w:sz w:val="20"/>
          <w:szCs w:val="20"/>
          <w:lang w:val="en-US"/>
        </w:rPr>
        <w:t>Ruys</w:t>
      </w:r>
      <w:proofErr w:type="spellEnd"/>
      <w:r>
        <w:rPr>
          <w:sz w:val="20"/>
          <w:szCs w:val="20"/>
          <w:lang w:val="en-US"/>
        </w:rPr>
        <w:t xml:space="preserve"> (n7)</w:t>
      </w:r>
      <w:r w:rsidRPr="00113241">
        <w:rPr>
          <w:sz w:val="20"/>
          <w:szCs w:val="20"/>
          <w:lang w:val="en-US"/>
        </w:rPr>
        <w:t xml:space="preserve"> 26-27</w:t>
      </w:r>
    </w:p>
  </w:footnote>
  <w:footnote w:id="18">
    <w:p w14:paraId="66B14585" w14:textId="77777777" w:rsidR="00AD4FBA" w:rsidRPr="00D012E6" w:rsidRDefault="00AD4FBA">
      <w:pPr>
        <w:pStyle w:val="FootnoteText"/>
        <w:rPr>
          <w:sz w:val="20"/>
          <w:szCs w:val="20"/>
          <w:lang w:val="en-US"/>
        </w:rPr>
      </w:pPr>
      <w:r w:rsidRPr="00D012E6">
        <w:rPr>
          <w:rStyle w:val="FootnoteReference"/>
          <w:sz w:val="20"/>
          <w:szCs w:val="20"/>
        </w:rPr>
        <w:footnoteRef/>
      </w:r>
      <w:r w:rsidRPr="00D012E6">
        <w:rPr>
          <w:sz w:val="20"/>
          <w:szCs w:val="20"/>
        </w:rPr>
        <w:t xml:space="preserve"> </w:t>
      </w:r>
      <w:r w:rsidRPr="00D012E6">
        <w:rPr>
          <w:i/>
          <w:sz w:val="20"/>
          <w:szCs w:val="20"/>
        </w:rPr>
        <w:t xml:space="preserve">Nicaragua </w:t>
      </w:r>
      <w:r w:rsidRPr="00D012E6">
        <w:rPr>
          <w:sz w:val="20"/>
          <w:szCs w:val="20"/>
        </w:rPr>
        <w:t>(n2), para 195</w:t>
      </w:r>
    </w:p>
  </w:footnote>
  <w:footnote w:id="19">
    <w:p w14:paraId="39C4DF86" w14:textId="77777777" w:rsidR="00AD4FBA" w:rsidRPr="00D012E6" w:rsidRDefault="00AD4FBA">
      <w:pPr>
        <w:pStyle w:val="FootnoteText"/>
        <w:rPr>
          <w:sz w:val="20"/>
          <w:szCs w:val="20"/>
          <w:lang w:val="en-US"/>
        </w:rPr>
      </w:pPr>
      <w:r w:rsidRPr="00D012E6">
        <w:rPr>
          <w:rStyle w:val="FootnoteReference"/>
          <w:sz w:val="20"/>
          <w:szCs w:val="20"/>
        </w:rPr>
        <w:footnoteRef/>
      </w:r>
      <w:r w:rsidRPr="00D012E6">
        <w:rPr>
          <w:sz w:val="20"/>
          <w:szCs w:val="20"/>
        </w:rPr>
        <w:t xml:space="preserve"> </w:t>
      </w:r>
      <w:r w:rsidRPr="00D012E6">
        <w:rPr>
          <w:sz w:val="20"/>
          <w:szCs w:val="20"/>
          <w:lang w:val="en-US"/>
        </w:rPr>
        <w:t>Ibid</w:t>
      </w:r>
    </w:p>
  </w:footnote>
  <w:footnote w:id="20">
    <w:p w14:paraId="50BFFA36" w14:textId="56FD990F" w:rsidR="00AD4FBA" w:rsidRPr="0049594D" w:rsidRDefault="00AD4FBA">
      <w:pPr>
        <w:pStyle w:val="FootnoteText"/>
        <w:rPr>
          <w:color w:val="FF0000"/>
          <w:sz w:val="20"/>
          <w:szCs w:val="20"/>
          <w:lang w:val="en-US"/>
        </w:rPr>
      </w:pPr>
      <w:r w:rsidRPr="00D012E6">
        <w:rPr>
          <w:rStyle w:val="FootnoteReference"/>
          <w:sz w:val="20"/>
          <w:szCs w:val="20"/>
        </w:rPr>
        <w:footnoteRef/>
      </w:r>
      <w:r w:rsidRPr="00D012E6">
        <w:rPr>
          <w:sz w:val="20"/>
          <w:szCs w:val="20"/>
        </w:rPr>
        <w:t xml:space="preserve"> </w:t>
      </w:r>
      <w:proofErr w:type="spellStart"/>
      <w:r w:rsidRPr="00D012E6">
        <w:rPr>
          <w:sz w:val="20"/>
          <w:szCs w:val="20"/>
        </w:rPr>
        <w:t>Randelzhofer</w:t>
      </w:r>
      <w:proofErr w:type="spellEnd"/>
      <w:r w:rsidRPr="00D012E6">
        <w:rPr>
          <w:sz w:val="20"/>
          <w:szCs w:val="20"/>
        </w:rPr>
        <w:t xml:space="preserve"> and Nolte (n9) 1415</w:t>
      </w:r>
    </w:p>
  </w:footnote>
  <w:footnote w:id="21">
    <w:p w14:paraId="6FEEBDFC" w14:textId="7B284D6F" w:rsidR="00AD4FBA" w:rsidRPr="00C96FBC" w:rsidRDefault="00AD4FBA">
      <w:pPr>
        <w:pStyle w:val="FootnoteText"/>
        <w:rPr>
          <w:sz w:val="20"/>
          <w:szCs w:val="20"/>
          <w:lang w:val="en-US"/>
        </w:rPr>
      </w:pPr>
      <w:r w:rsidRPr="0049594D">
        <w:rPr>
          <w:rStyle w:val="FootnoteReference"/>
          <w:sz w:val="20"/>
          <w:szCs w:val="20"/>
        </w:rPr>
        <w:footnoteRef/>
      </w:r>
      <w:r w:rsidRPr="0049594D">
        <w:rPr>
          <w:sz w:val="20"/>
          <w:szCs w:val="20"/>
        </w:rPr>
        <w:t xml:space="preserve"> </w:t>
      </w:r>
      <w:r w:rsidRPr="0049594D">
        <w:rPr>
          <w:sz w:val="20"/>
          <w:szCs w:val="20"/>
          <w:lang w:val="en-US"/>
        </w:rPr>
        <w:t>Christine</w:t>
      </w:r>
      <w:r>
        <w:rPr>
          <w:sz w:val="20"/>
          <w:szCs w:val="20"/>
          <w:lang w:val="en-US"/>
        </w:rPr>
        <w:t xml:space="preserve"> Gray</w:t>
      </w:r>
      <w:r w:rsidRPr="0049594D">
        <w:rPr>
          <w:sz w:val="20"/>
          <w:szCs w:val="20"/>
          <w:lang w:val="en-US"/>
        </w:rPr>
        <w:t xml:space="preserve">, </w:t>
      </w:r>
      <w:r w:rsidRPr="0049594D">
        <w:rPr>
          <w:i/>
          <w:sz w:val="20"/>
          <w:szCs w:val="20"/>
          <w:lang w:val="en-US"/>
        </w:rPr>
        <w:t>The ICJ and the Use of Force,</w:t>
      </w:r>
      <w:r w:rsidRPr="0049594D">
        <w:rPr>
          <w:sz w:val="20"/>
          <w:szCs w:val="20"/>
          <w:lang w:val="en-US"/>
        </w:rPr>
        <w:t xml:space="preserve"> (December 16, 2012) 21 &lt;http://ssrn.com</w:t>
      </w:r>
      <w:r>
        <w:rPr>
          <w:sz w:val="20"/>
          <w:szCs w:val="20"/>
          <w:lang w:val="en-US"/>
        </w:rPr>
        <w:t>/abstract=2311217&gt; accessed 19 April 2015</w:t>
      </w:r>
    </w:p>
  </w:footnote>
  <w:footnote w:id="22">
    <w:p w14:paraId="34FB5A9E" w14:textId="77777777" w:rsidR="00AD4FBA" w:rsidRPr="00C96FBC" w:rsidRDefault="00AD4FBA">
      <w:pPr>
        <w:pStyle w:val="FootnoteText"/>
        <w:rPr>
          <w:sz w:val="20"/>
          <w:szCs w:val="20"/>
          <w:lang w:val="en-US"/>
        </w:rPr>
      </w:pPr>
      <w:r w:rsidRPr="00C96FBC">
        <w:rPr>
          <w:rStyle w:val="FootnoteReference"/>
          <w:sz w:val="20"/>
          <w:szCs w:val="20"/>
        </w:rPr>
        <w:footnoteRef/>
      </w:r>
      <w:r w:rsidRPr="00C96FBC">
        <w:rPr>
          <w:sz w:val="20"/>
          <w:szCs w:val="20"/>
        </w:rPr>
        <w:t xml:space="preserve"> </w:t>
      </w:r>
      <w:r>
        <w:rPr>
          <w:sz w:val="20"/>
          <w:szCs w:val="20"/>
          <w:lang w:val="en-US"/>
        </w:rPr>
        <w:t>Nicaragua (n2)</w:t>
      </w:r>
      <w:r w:rsidRPr="00C96FBC">
        <w:rPr>
          <w:sz w:val="20"/>
          <w:szCs w:val="20"/>
          <w:lang w:val="en-US"/>
        </w:rPr>
        <w:t>, para 109, 115</w:t>
      </w:r>
    </w:p>
  </w:footnote>
  <w:footnote w:id="23">
    <w:p w14:paraId="29D032CC" w14:textId="77777777" w:rsidR="00AD4FBA" w:rsidRPr="00CD22BB" w:rsidRDefault="00AD4FBA" w:rsidP="00CD22BB">
      <w:pPr>
        <w:pStyle w:val="FootnoteText"/>
        <w:rPr>
          <w:lang w:val="en-US"/>
        </w:rPr>
      </w:pPr>
      <w:r w:rsidRPr="00C96FBC">
        <w:rPr>
          <w:rStyle w:val="FootnoteReference"/>
          <w:sz w:val="20"/>
          <w:szCs w:val="20"/>
        </w:rPr>
        <w:footnoteRef/>
      </w:r>
      <w:r w:rsidRPr="00C96FBC">
        <w:rPr>
          <w:sz w:val="20"/>
          <w:szCs w:val="20"/>
        </w:rPr>
        <w:t xml:space="preserve"> </w:t>
      </w:r>
      <w:r>
        <w:rPr>
          <w:sz w:val="20"/>
          <w:szCs w:val="20"/>
        </w:rPr>
        <w:t xml:space="preserve">Christian </w:t>
      </w:r>
      <w:r w:rsidRPr="00C96FBC">
        <w:rPr>
          <w:sz w:val="20"/>
          <w:szCs w:val="20"/>
          <w:lang w:val="en-US"/>
        </w:rPr>
        <w:t>Tams,</w:t>
      </w:r>
      <w:r>
        <w:rPr>
          <w:sz w:val="20"/>
          <w:szCs w:val="20"/>
          <w:lang w:val="en-US"/>
        </w:rPr>
        <w:t xml:space="preserve"> ‘The Use of Force against Terrorists’ (2009) 20(2) EJIL </w:t>
      </w:r>
      <w:r w:rsidRPr="00C96FBC">
        <w:rPr>
          <w:sz w:val="20"/>
          <w:szCs w:val="20"/>
          <w:lang w:val="en-US"/>
        </w:rPr>
        <w:t>369</w:t>
      </w:r>
      <w:r>
        <w:rPr>
          <w:sz w:val="20"/>
          <w:szCs w:val="20"/>
          <w:lang w:val="en-US"/>
        </w:rPr>
        <w:t xml:space="preserve"> &lt;</w:t>
      </w:r>
      <w:r w:rsidRPr="0049594D">
        <w:rPr>
          <w:sz w:val="20"/>
          <w:szCs w:val="20"/>
          <w:lang w:val="en-US"/>
        </w:rPr>
        <w:t>http://www.ejil.org/pdfs/20/2/1793.pdf</w:t>
      </w:r>
      <w:r>
        <w:rPr>
          <w:sz w:val="20"/>
          <w:szCs w:val="20"/>
          <w:lang w:val="en-US"/>
        </w:rPr>
        <w:t>&gt; accessed 19 April 2015</w:t>
      </w:r>
    </w:p>
  </w:footnote>
  <w:footnote w:id="24">
    <w:p w14:paraId="333975F5" w14:textId="77777777" w:rsidR="00AD4FBA" w:rsidRPr="009B27F7" w:rsidRDefault="00AD4FBA">
      <w:pPr>
        <w:pStyle w:val="FootnoteText"/>
        <w:rPr>
          <w:sz w:val="20"/>
          <w:szCs w:val="20"/>
          <w:lang w:val="en-US"/>
        </w:rPr>
      </w:pPr>
      <w:r w:rsidRPr="009B27F7">
        <w:rPr>
          <w:rStyle w:val="FootnoteReference"/>
          <w:sz w:val="20"/>
          <w:szCs w:val="20"/>
        </w:rPr>
        <w:footnoteRef/>
      </w:r>
      <w:r w:rsidRPr="009B27F7">
        <w:rPr>
          <w:sz w:val="20"/>
          <w:szCs w:val="20"/>
        </w:rPr>
        <w:t xml:space="preserve"> </w:t>
      </w:r>
      <w:r w:rsidRPr="009B27F7">
        <w:rPr>
          <w:rFonts w:cs="Times"/>
          <w:sz w:val="20"/>
          <w:szCs w:val="20"/>
          <w:lang w:val="en-US"/>
        </w:rPr>
        <w:t xml:space="preserve">Case IT-94-1, </w:t>
      </w:r>
      <w:r w:rsidRPr="009B27F7">
        <w:rPr>
          <w:rFonts w:cs="Times"/>
          <w:i/>
          <w:iCs/>
          <w:sz w:val="20"/>
          <w:szCs w:val="20"/>
          <w:lang w:val="en-US"/>
        </w:rPr>
        <w:t xml:space="preserve">Prosecutor v. </w:t>
      </w:r>
      <w:proofErr w:type="spellStart"/>
      <w:r w:rsidRPr="009B27F7">
        <w:rPr>
          <w:rFonts w:cs="Times"/>
          <w:i/>
          <w:iCs/>
          <w:sz w:val="20"/>
          <w:szCs w:val="20"/>
          <w:lang w:val="en-US"/>
        </w:rPr>
        <w:t>Tadic</w:t>
      </w:r>
      <w:proofErr w:type="spellEnd"/>
      <w:r w:rsidRPr="009B27F7">
        <w:rPr>
          <w:rFonts w:cs="Times"/>
          <w:i/>
          <w:iCs/>
          <w:sz w:val="20"/>
          <w:szCs w:val="20"/>
          <w:lang w:val="en-US"/>
        </w:rPr>
        <w:t xml:space="preserve">, </w:t>
      </w:r>
      <w:r w:rsidRPr="009B27F7">
        <w:rPr>
          <w:rFonts w:cs="Times"/>
          <w:sz w:val="20"/>
          <w:szCs w:val="20"/>
          <w:lang w:val="en-US"/>
        </w:rPr>
        <w:t>38 ILM (1999) 1518</w:t>
      </w:r>
    </w:p>
  </w:footnote>
  <w:footnote w:id="25">
    <w:p w14:paraId="3E6EF42C" w14:textId="77777777" w:rsidR="00AD4FBA" w:rsidRPr="009B27F7" w:rsidRDefault="00AD4FBA">
      <w:pPr>
        <w:pStyle w:val="FootnoteText"/>
        <w:rPr>
          <w:lang w:val="en-US"/>
        </w:rPr>
      </w:pPr>
      <w:r w:rsidRPr="009B27F7">
        <w:rPr>
          <w:rStyle w:val="FootnoteReference"/>
          <w:sz w:val="20"/>
          <w:szCs w:val="20"/>
        </w:rPr>
        <w:footnoteRef/>
      </w:r>
      <w:r w:rsidRPr="009B27F7">
        <w:rPr>
          <w:sz w:val="20"/>
          <w:szCs w:val="20"/>
        </w:rPr>
        <w:t xml:space="preserve"> </w:t>
      </w:r>
      <w:proofErr w:type="spellStart"/>
      <w:r w:rsidRPr="009B27F7">
        <w:rPr>
          <w:sz w:val="20"/>
          <w:szCs w:val="20"/>
          <w:lang w:val="en-US"/>
        </w:rPr>
        <w:t>Ruys</w:t>
      </w:r>
      <w:proofErr w:type="spellEnd"/>
      <w:r w:rsidRPr="009B27F7">
        <w:rPr>
          <w:sz w:val="20"/>
          <w:szCs w:val="20"/>
          <w:lang w:val="en-US"/>
        </w:rPr>
        <w:t>, (n7) 410, 411</w:t>
      </w:r>
    </w:p>
  </w:footnote>
  <w:footnote w:id="26">
    <w:p w14:paraId="419A105B" w14:textId="77777777" w:rsidR="00AD4FBA" w:rsidRPr="00E01F73" w:rsidRDefault="00AD4FBA">
      <w:pPr>
        <w:pStyle w:val="FootnoteText"/>
        <w:rPr>
          <w:lang w:val="en-US"/>
        </w:rPr>
      </w:pPr>
      <w:r w:rsidRPr="009B27F7">
        <w:rPr>
          <w:rStyle w:val="FootnoteReference"/>
          <w:sz w:val="20"/>
          <w:szCs w:val="20"/>
        </w:rPr>
        <w:footnoteRef/>
      </w:r>
      <w:r w:rsidRPr="009B27F7">
        <w:rPr>
          <w:sz w:val="20"/>
          <w:szCs w:val="20"/>
        </w:rPr>
        <w:t xml:space="preserve"> </w:t>
      </w:r>
      <w:r>
        <w:rPr>
          <w:sz w:val="20"/>
          <w:szCs w:val="20"/>
          <w:lang w:val="en-US"/>
        </w:rPr>
        <w:t xml:space="preserve">Ibid </w:t>
      </w:r>
      <w:r w:rsidRPr="009B27F7">
        <w:rPr>
          <w:sz w:val="20"/>
          <w:szCs w:val="20"/>
          <w:lang w:val="en-US"/>
        </w:rPr>
        <w:t>118, 132</w:t>
      </w:r>
    </w:p>
  </w:footnote>
  <w:footnote w:id="27">
    <w:p w14:paraId="4E723AC4" w14:textId="77777777" w:rsidR="00AD4FBA" w:rsidRPr="00284E4B" w:rsidRDefault="00AD4FBA">
      <w:pPr>
        <w:pStyle w:val="FootnoteText"/>
        <w:rPr>
          <w:sz w:val="20"/>
          <w:szCs w:val="20"/>
          <w:lang w:val="en-US"/>
        </w:rPr>
      </w:pPr>
      <w:r w:rsidRPr="00284E4B">
        <w:rPr>
          <w:rStyle w:val="FootnoteReference"/>
          <w:sz w:val="20"/>
          <w:szCs w:val="20"/>
        </w:rPr>
        <w:footnoteRef/>
      </w:r>
      <w:r w:rsidRPr="00284E4B">
        <w:rPr>
          <w:sz w:val="20"/>
          <w:szCs w:val="20"/>
        </w:rPr>
        <w:t xml:space="preserve"> </w:t>
      </w:r>
      <w:r w:rsidRPr="00284E4B">
        <w:rPr>
          <w:sz w:val="20"/>
          <w:szCs w:val="20"/>
          <w:lang w:val="en-US"/>
        </w:rPr>
        <w:t>Ibid 120, 130, 131, 137</w:t>
      </w:r>
    </w:p>
  </w:footnote>
  <w:footnote w:id="28">
    <w:p w14:paraId="0F454487" w14:textId="77777777" w:rsidR="00AD4FBA" w:rsidRPr="000F1F2D" w:rsidRDefault="00AD4FBA" w:rsidP="00284E4B">
      <w:pPr>
        <w:rPr>
          <w:rFonts w:eastAsia="Times New Roman" w:cs="Times New Roman"/>
          <w:sz w:val="20"/>
          <w:szCs w:val="20"/>
        </w:rPr>
      </w:pPr>
      <w:r w:rsidRPr="004E6CD1">
        <w:rPr>
          <w:rStyle w:val="FootnoteReference"/>
          <w:sz w:val="20"/>
          <w:szCs w:val="20"/>
        </w:rPr>
        <w:footnoteRef/>
      </w:r>
      <w:r w:rsidRPr="004E6CD1">
        <w:rPr>
          <w:sz w:val="20"/>
          <w:szCs w:val="20"/>
        </w:rPr>
        <w:t xml:space="preserve"> </w:t>
      </w:r>
      <w:r w:rsidRPr="004E6CD1">
        <w:rPr>
          <w:rFonts w:eastAsia="Times New Roman" w:cs="Lucida Sans Unicode"/>
          <w:i/>
          <w:iCs/>
          <w:sz w:val="20"/>
          <w:szCs w:val="20"/>
          <w:shd w:val="clear" w:color="auto" w:fill="FFFFFF"/>
        </w:rPr>
        <w:t>Legal Consequences of the Construction of a Wall in the Occupied Palestinian Territory </w:t>
      </w:r>
      <w:r w:rsidRPr="004E6CD1">
        <w:rPr>
          <w:rFonts w:eastAsia="Times New Roman" w:cs="Lucida Sans Unicode"/>
          <w:sz w:val="20"/>
          <w:szCs w:val="20"/>
          <w:shd w:val="clear" w:color="auto" w:fill="FFFFFF"/>
        </w:rPr>
        <w:t xml:space="preserve">(Advisory Opinion) [2004] ICJ </w:t>
      </w:r>
      <w:r w:rsidRPr="000F1F2D">
        <w:rPr>
          <w:rFonts w:eastAsia="Times New Roman" w:cs="Lucida Sans Unicode"/>
          <w:sz w:val="20"/>
          <w:szCs w:val="20"/>
          <w:shd w:val="clear" w:color="auto" w:fill="FFFFFF"/>
        </w:rPr>
        <w:t>Rep 136</w:t>
      </w:r>
    </w:p>
  </w:footnote>
  <w:footnote w:id="29">
    <w:p w14:paraId="6F62A1EB" w14:textId="77777777" w:rsidR="00AD4FBA" w:rsidRPr="00F343E6" w:rsidRDefault="00AD4FBA">
      <w:pPr>
        <w:pStyle w:val="FootnoteText"/>
        <w:rPr>
          <w:sz w:val="20"/>
          <w:szCs w:val="20"/>
          <w:lang w:val="en-US"/>
        </w:rPr>
      </w:pPr>
      <w:r w:rsidRPr="000F1F2D">
        <w:rPr>
          <w:rStyle w:val="FootnoteReference"/>
          <w:sz w:val="20"/>
          <w:szCs w:val="20"/>
        </w:rPr>
        <w:footnoteRef/>
      </w:r>
      <w:r w:rsidRPr="000F1F2D">
        <w:rPr>
          <w:sz w:val="20"/>
          <w:szCs w:val="20"/>
        </w:rPr>
        <w:t xml:space="preserve"> </w:t>
      </w:r>
      <w:r w:rsidRPr="00F343E6">
        <w:rPr>
          <w:i/>
          <w:sz w:val="20"/>
          <w:szCs w:val="20"/>
        </w:rPr>
        <w:t>Armed Activities on the Territory of the Congo (DRC v. Uganda)</w:t>
      </w:r>
      <w:r w:rsidRPr="00F343E6">
        <w:rPr>
          <w:sz w:val="20"/>
          <w:szCs w:val="20"/>
        </w:rPr>
        <w:t>, ICJ Reports (2005) 201</w:t>
      </w:r>
    </w:p>
  </w:footnote>
  <w:footnote w:id="30">
    <w:p w14:paraId="35EA9B06" w14:textId="3B900D9E" w:rsidR="00AD4FBA" w:rsidRPr="00F343E6" w:rsidRDefault="00AD4FBA">
      <w:pPr>
        <w:pStyle w:val="FootnoteText"/>
        <w:rPr>
          <w:sz w:val="20"/>
          <w:szCs w:val="20"/>
          <w:lang w:val="en-US"/>
        </w:rPr>
      </w:pPr>
      <w:r w:rsidRPr="00F343E6">
        <w:rPr>
          <w:rStyle w:val="FootnoteReference"/>
          <w:sz w:val="20"/>
          <w:szCs w:val="20"/>
        </w:rPr>
        <w:footnoteRef/>
      </w:r>
      <w:r w:rsidRPr="00F343E6">
        <w:rPr>
          <w:sz w:val="20"/>
          <w:szCs w:val="20"/>
        </w:rPr>
        <w:t xml:space="preserve"> </w:t>
      </w:r>
      <w:r w:rsidRPr="00F343E6">
        <w:rPr>
          <w:sz w:val="20"/>
          <w:szCs w:val="20"/>
          <w:lang w:val="en-US"/>
        </w:rPr>
        <w:t xml:space="preserve"> Wall Advisory Opinion (n28), 139</w:t>
      </w:r>
    </w:p>
  </w:footnote>
  <w:footnote w:id="31">
    <w:p w14:paraId="044A0954" w14:textId="77777777" w:rsidR="00AD4FBA" w:rsidRPr="00F343E6" w:rsidRDefault="00AD4FBA">
      <w:pPr>
        <w:pStyle w:val="FootnoteText"/>
        <w:rPr>
          <w:sz w:val="20"/>
          <w:szCs w:val="20"/>
          <w:lang w:val="en-US"/>
        </w:rPr>
      </w:pPr>
      <w:r w:rsidRPr="00F343E6">
        <w:rPr>
          <w:rStyle w:val="FootnoteReference"/>
          <w:sz w:val="20"/>
          <w:szCs w:val="20"/>
        </w:rPr>
        <w:footnoteRef/>
      </w:r>
      <w:r w:rsidRPr="00F343E6">
        <w:rPr>
          <w:sz w:val="20"/>
          <w:szCs w:val="20"/>
        </w:rPr>
        <w:t xml:space="preserve"> </w:t>
      </w:r>
      <w:r w:rsidRPr="00F343E6">
        <w:rPr>
          <w:sz w:val="20"/>
          <w:szCs w:val="20"/>
          <w:lang w:val="en-US"/>
        </w:rPr>
        <w:t>Ibid</w:t>
      </w:r>
    </w:p>
  </w:footnote>
  <w:footnote w:id="32">
    <w:p w14:paraId="33FE56FF" w14:textId="4A1E8E9B" w:rsidR="00AD4FBA" w:rsidRPr="00F343E6" w:rsidRDefault="00AD4FBA">
      <w:pPr>
        <w:pStyle w:val="FootnoteText"/>
        <w:rPr>
          <w:sz w:val="20"/>
          <w:szCs w:val="20"/>
          <w:lang w:val="en-US"/>
        </w:rPr>
      </w:pPr>
      <w:r w:rsidRPr="00F343E6">
        <w:rPr>
          <w:rStyle w:val="FootnoteReference"/>
          <w:sz w:val="20"/>
          <w:szCs w:val="20"/>
        </w:rPr>
        <w:footnoteRef/>
      </w:r>
      <w:r w:rsidRPr="00F343E6">
        <w:rPr>
          <w:sz w:val="20"/>
          <w:szCs w:val="20"/>
        </w:rPr>
        <w:t xml:space="preserve"> </w:t>
      </w:r>
      <w:r w:rsidRPr="00F343E6">
        <w:rPr>
          <w:sz w:val="20"/>
          <w:szCs w:val="20"/>
          <w:lang w:val="en-US"/>
        </w:rPr>
        <w:t>DRC v Uganda (n29), 146</w:t>
      </w:r>
    </w:p>
  </w:footnote>
  <w:footnote w:id="33">
    <w:p w14:paraId="165EFD30" w14:textId="1151BA2F" w:rsidR="00AD4FBA" w:rsidRPr="00F343E6" w:rsidRDefault="00AD4FBA">
      <w:pPr>
        <w:pStyle w:val="FootnoteText"/>
        <w:rPr>
          <w:sz w:val="20"/>
          <w:szCs w:val="20"/>
          <w:lang w:val="en-US"/>
        </w:rPr>
      </w:pPr>
      <w:r w:rsidRPr="00F343E6">
        <w:rPr>
          <w:rStyle w:val="FootnoteReference"/>
          <w:sz w:val="20"/>
          <w:szCs w:val="20"/>
        </w:rPr>
        <w:footnoteRef/>
      </w:r>
      <w:r w:rsidRPr="00F343E6">
        <w:rPr>
          <w:sz w:val="20"/>
          <w:szCs w:val="20"/>
        </w:rPr>
        <w:t xml:space="preserve"> Ibid, 147</w:t>
      </w:r>
    </w:p>
  </w:footnote>
  <w:footnote w:id="34">
    <w:p w14:paraId="626896CB" w14:textId="6FEA0D9C" w:rsidR="00AD4FBA" w:rsidRPr="00F343E6" w:rsidRDefault="00AD4FBA">
      <w:pPr>
        <w:pStyle w:val="FootnoteText"/>
        <w:rPr>
          <w:sz w:val="20"/>
          <w:szCs w:val="20"/>
          <w:lang w:val="en-US"/>
        </w:rPr>
      </w:pPr>
      <w:r w:rsidRPr="00F343E6">
        <w:rPr>
          <w:rStyle w:val="FootnoteReference"/>
          <w:sz w:val="20"/>
          <w:szCs w:val="20"/>
        </w:rPr>
        <w:footnoteRef/>
      </w:r>
      <w:r w:rsidRPr="00F343E6">
        <w:rPr>
          <w:sz w:val="20"/>
          <w:szCs w:val="20"/>
        </w:rPr>
        <w:t xml:space="preserve"> </w:t>
      </w:r>
      <w:proofErr w:type="spellStart"/>
      <w:r w:rsidRPr="00F343E6">
        <w:rPr>
          <w:sz w:val="20"/>
          <w:szCs w:val="20"/>
          <w:lang w:val="en-US"/>
        </w:rPr>
        <w:t>Ruys</w:t>
      </w:r>
      <w:proofErr w:type="spellEnd"/>
      <w:r w:rsidRPr="00F343E6">
        <w:rPr>
          <w:sz w:val="20"/>
          <w:szCs w:val="20"/>
          <w:lang w:val="en-US"/>
        </w:rPr>
        <w:t xml:space="preserve"> (n7), 173-175</w:t>
      </w:r>
    </w:p>
  </w:footnote>
  <w:footnote w:id="35">
    <w:p w14:paraId="4B251BEA" w14:textId="42E0E77D" w:rsidR="00AD4FBA" w:rsidRPr="00464157" w:rsidRDefault="00AD4FBA" w:rsidP="00FF5C43">
      <w:pPr>
        <w:rPr>
          <w:rFonts w:cs="Times"/>
          <w:sz w:val="20"/>
          <w:szCs w:val="20"/>
          <w:lang w:val="en-US"/>
        </w:rPr>
      </w:pPr>
      <w:r w:rsidRPr="00FF5C43">
        <w:rPr>
          <w:rStyle w:val="FootnoteReference"/>
          <w:sz w:val="20"/>
          <w:szCs w:val="20"/>
        </w:rPr>
        <w:footnoteRef/>
      </w:r>
      <w:r w:rsidRPr="00FF5C43">
        <w:rPr>
          <w:sz w:val="20"/>
          <w:szCs w:val="20"/>
        </w:rPr>
        <w:t xml:space="preserve"> </w:t>
      </w:r>
      <w:r>
        <w:rPr>
          <w:sz w:val="20"/>
          <w:szCs w:val="20"/>
          <w:lang w:val="en-US"/>
        </w:rPr>
        <w:t>Gray (n6) 135; Gray (n21)</w:t>
      </w:r>
      <w:r w:rsidRPr="00FF5C43">
        <w:rPr>
          <w:sz w:val="20"/>
          <w:szCs w:val="20"/>
          <w:lang w:val="en-US"/>
        </w:rPr>
        <w:t xml:space="preserve"> 21-22; </w:t>
      </w:r>
      <w:proofErr w:type="spellStart"/>
      <w:r w:rsidRPr="00FF5C43">
        <w:rPr>
          <w:sz w:val="20"/>
          <w:szCs w:val="20"/>
          <w:lang w:val="en-US"/>
        </w:rPr>
        <w:t>Ruys</w:t>
      </w:r>
      <w:proofErr w:type="spellEnd"/>
      <w:r w:rsidRPr="00FF5C43">
        <w:rPr>
          <w:sz w:val="20"/>
          <w:szCs w:val="20"/>
          <w:lang w:val="en-US"/>
        </w:rPr>
        <w:t xml:space="preserve"> (n7), 476-477, 484-485; </w:t>
      </w:r>
      <w:r w:rsidRPr="00FF5C43">
        <w:rPr>
          <w:color w:val="FF0000"/>
          <w:sz w:val="20"/>
          <w:szCs w:val="20"/>
          <w:lang w:val="en-US"/>
        </w:rPr>
        <w:t>(n9) 1417;</w:t>
      </w:r>
      <w:r w:rsidRPr="00FF5C43">
        <w:rPr>
          <w:sz w:val="20"/>
          <w:szCs w:val="20"/>
          <w:lang w:val="en-US"/>
        </w:rPr>
        <w:t xml:space="preserve"> Kimberley Trapp, </w:t>
      </w:r>
      <w:r w:rsidRPr="004543FE">
        <w:rPr>
          <w:sz w:val="20"/>
          <w:szCs w:val="20"/>
          <w:lang w:val="en-US"/>
        </w:rPr>
        <w:t xml:space="preserve">‘Back to Basics: Necessity, Proportionality, and the Right of Self-Defence Against Non-State </w:t>
      </w:r>
      <w:r w:rsidRPr="00C77641">
        <w:rPr>
          <w:sz w:val="20"/>
          <w:szCs w:val="20"/>
          <w:lang w:val="en-US"/>
        </w:rPr>
        <w:t>Terrorist </w:t>
      </w:r>
      <w:r w:rsidRPr="00464157">
        <w:rPr>
          <w:sz w:val="20"/>
          <w:szCs w:val="20"/>
          <w:lang w:val="en-US"/>
        </w:rPr>
        <w:t>Actors’ (2007) 56(1) International and Comparative Law Quarterly 143-144</w:t>
      </w:r>
    </w:p>
  </w:footnote>
  <w:footnote w:id="36">
    <w:p w14:paraId="2408F144" w14:textId="6F2A9459" w:rsidR="00AD4FBA" w:rsidRPr="00464157" w:rsidRDefault="00AD4FBA" w:rsidP="00FF5C43">
      <w:pPr>
        <w:rPr>
          <w:sz w:val="20"/>
          <w:szCs w:val="20"/>
          <w:lang w:val="en-US"/>
        </w:rPr>
      </w:pPr>
      <w:r w:rsidRPr="00464157">
        <w:rPr>
          <w:rStyle w:val="FootnoteReference"/>
          <w:sz w:val="20"/>
          <w:szCs w:val="20"/>
        </w:rPr>
        <w:footnoteRef/>
      </w:r>
      <w:r w:rsidRPr="00464157">
        <w:rPr>
          <w:sz w:val="20"/>
          <w:szCs w:val="20"/>
        </w:rPr>
        <w:t xml:space="preserve"> </w:t>
      </w:r>
      <w:proofErr w:type="spellStart"/>
      <w:r w:rsidRPr="00464157">
        <w:rPr>
          <w:sz w:val="20"/>
          <w:szCs w:val="20"/>
          <w:lang w:val="en-US"/>
        </w:rPr>
        <w:t>Ruys</w:t>
      </w:r>
      <w:proofErr w:type="spellEnd"/>
      <w:r w:rsidRPr="00464157">
        <w:rPr>
          <w:sz w:val="20"/>
          <w:szCs w:val="20"/>
          <w:lang w:val="en-US"/>
        </w:rPr>
        <w:t xml:space="preserve"> (n7), 494-396</w:t>
      </w:r>
    </w:p>
  </w:footnote>
  <w:footnote w:id="37">
    <w:p w14:paraId="3C917861" w14:textId="37628656" w:rsidR="00AD4FBA" w:rsidRPr="00464157" w:rsidRDefault="00AD4FBA">
      <w:pPr>
        <w:pStyle w:val="FootnoteText"/>
        <w:rPr>
          <w:sz w:val="20"/>
          <w:szCs w:val="20"/>
          <w:lang w:val="en-US"/>
        </w:rPr>
      </w:pPr>
      <w:r w:rsidRPr="00464157">
        <w:rPr>
          <w:rStyle w:val="FootnoteReference"/>
          <w:sz w:val="20"/>
          <w:szCs w:val="20"/>
        </w:rPr>
        <w:footnoteRef/>
      </w:r>
      <w:r w:rsidRPr="00464157">
        <w:rPr>
          <w:sz w:val="20"/>
          <w:szCs w:val="20"/>
        </w:rPr>
        <w:t xml:space="preserve"> Adler (n4), </w:t>
      </w:r>
      <w:r w:rsidRPr="00464157">
        <w:rPr>
          <w:sz w:val="20"/>
          <w:szCs w:val="20"/>
          <w:lang w:val="en-US"/>
        </w:rPr>
        <w:t>137-138</w:t>
      </w:r>
    </w:p>
  </w:footnote>
  <w:footnote w:id="38">
    <w:p w14:paraId="439EA9B8" w14:textId="739DC3F8" w:rsidR="00AD4FBA" w:rsidRPr="00464157" w:rsidRDefault="00AD4FBA">
      <w:pPr>
        <w:pStyle w:val="FootnoteText"/>
        <w:rPr>
          <w:sz w:val="20"/>
          <w:szCs w:val="20"/>
          <w:lang w:val="en-US"/>
        </w:rPr>
      </w:pPr>
      <w:r w:rsidRPr="00464157">
        <w:rPr>
          <w:rStyle w:val="FootnoteReference"/>
          <w:sz w:val="20"/>
          <w:szCs w:val="20"/>
        </w:rPr>
        <w:footnoteRef/>
      </w:r>
      <w:r w:rsidRPr="00464157">
        <w:rPr>
          <w:sz w:val="20"/>
          <w:szCs w:val="20"/>
        </w:rPr>
        <w:t xml:space="preserve"> </w:t>
      </w:r>
      <w:proofErr w:type="spellStart"/>
      <w:r w:rsidRPr="00464157">
        <w:rPr>
          <w:sz w:val="20"/>
          <w:szCs w:val="20"/>
          <w:lang w:val="en-US"/>
        </w:rPr>
        <w:t>Ruys</w:t>
      </w:r>
      <w:proofErr w:type="spellEnd"/>
      <w:r w:rsidRPr="00464157">
        <w:rPr>
          <w:sz w:val="20"/>
          <w:szCs w:val="20"/>
          <w:lang w:val="en-US"/>
        </w:rPr>
        <w:t xml:space="preserve"> (n7), 425-426</w:t>
      </w:r>
    </w:p>
  </w:footnote>
  <w:footnote w:id="39">
    <w:p w14:paraId="63292E13" w14:textId="1F8F524D" w:rsidR="00AD4FBA" w:rsidRPr="00464157" w:rsidRDefault="00AD4FBA">
      <w:pPr>
        <w:pStyle w:val="FootnoteText"/>
        <w:rPr>
          <w:sz w:val="20"/>
          <w:szCs w:val="20"/>
          <w:lang w:val="en-US"/>
        </w:rPr>
      </w:pPr>
      <w:r w:rsidRPr="00464157">
        <w:rPr>
          <w:rStyle w:val="FootnoteReference"/>
          <w:sz w:val="20"/>
          <w:szCs w:val="20"/>
        </w:rPr>
        <w:footnoteRef/>
      </w:r>
      <w:r w:rsidRPr="00464157">
        <w:rPr>
          <w:sz w:val="20"/>
          <w:szCs w:val="20"/>
        </w:rPr>
        <w:t xml:space="preserve"> </w:t>
      </w:r>
      <w:r w:rsidRPr="00464157">
        <w:rPr>
          <w:sz w:val="20"/>
          <w:szCs w:val="20"/>
          <w:lang w:val="en-US"/>
        </w:rPr>
        <w:t>Adler (n4), 173-174</w:t>
      </w:r>
    </w:p>
  </w:footnote>
  <w:footnote w:id="40">
    <w:p w14:paraId="54624E1F" w14:textId="6CAD6D4C" w:rsidR="00AD4FBA" w:rsidRPr="00F343E6" w:rsidRDefault="00AD4FBA">
      <w:pPr>
        <w:pStyle w:val="FootnoteText"/>
        <w:rPr>
          <w:sz w:val="20"/>
          <w:szCs w:val="20"/>
          <w:lang w:val="en-US"/>
        </w:rPr>
      </w:pPr>
      <w:r w:rsidRPr="00464157">
        <w:rPr>
          <w:rStyle w:val="FootnoteReference"/>
          <w:sz w:val="20"/>
          <w:szCs w:val="20"/>
        </w:rPr>
        <w:footnoteRef/>
      </w:r>
      <w:r w:rsidRPr="00464157">
        <w:rPr>
          <w:sz w:val="20"/>
          <w:szCs w:val="20"/>
        </w:rPr>
        <w:t xml:space="preserve"> </w:t>
      </w:r>
      <w:r w:rsidRPr="00F343E6">
        <w:rPr>
          <w:sz w:val="20"/>
          <w:szCs w:val="20"/>
        </w:rPr>
        <w:t>Frank (n10), 63-64</w:t>
      </w:r>
    </w:p>
  </w:footnote>
  <w:footnote w:id="41">
    <w:p w14:paraId="6463605B" w14:textId="078F9C48" w:rsidR="00AD4FBA" w:rsidRPr="001F0379" w:rsidRDefault="00AD4FBA">
      <w:pPr>
        <w:pStyle w:val="FootnoteText"/>
        <w:rPr>
          <w:sz w:val="20"/>
          <w:szCs w:val="20"/>
          <w:lang w:val="en-US"/>
        </w:rPr>
      </w:pPr>
      <w:r w:rsidRPr="001F0379">
        <w:rPr>
          <w:rStyle w:val="FootnoteReference"/>
          <w:sz w:val="20"/>
          <w:szCs w:val="20"/>
        </w:rPr>
        <w:footnoteRef/>
      </w:r>
      <w:r w:rsidRPr="001F0379">
        <w:rPr>
          <w:sz w:val="20"/>
          <w:szCs w:val="20"/>
        </w:rPr>
        <w:t xml:space="preserve"> </w:t>
      </w:r>
      <w:r w:rsidRPr="001F0379">
        <w:rPr>
          <w:sz w:val="20"/>
          <w:szCs w:val="20"/>
          <w:lang w:val="en-US"/>
        </w:rPr>
        <w:t>Security Council Res 1368 (2001) of 12 September 2001</w:t>
      </w:r>
    </w:p>
  </w:footnote>
  <w:footnote w:id="42">
    <w:p w14:paraId="2E5309EB" w14:textId="4B27ECCA" w:rsidR="00AD4FBA" w:rsidRPr="001F0379" w:rsidRDefault="00AD4FBA">
      <w:pPr>
        <w:pStyle w:val="FootnoteText"/>
        <w:rPr>
          <w:sz w:val="20"/>
          <w:szCs w:val="20"/>
          <w:lang w:val="en-US"/>
        </w:rPr>
      </w:pPr>
      <w:r w:rsidRPr="001F0379">
        <w:rPr>
          <w:rStyle w:val="FootnoteReference"/>
          <w:sz w:val="20"/>
          <w:szCs w:val="20"/>
        </w:rPr>
        <w:footnoteRef/>
      </w:r>
      <w:r w:rsidRPr="001F0379">
        <w:rPr>
          <w:sz w:val="20"/>
          <w:szCs w:val="20"/>
        </w:rPr>
        <w:t xml:space="preserve"> </w:t>
      </w:r>
      <w:proofErr w:type="spellStart"/>
      <w:r w:rsidRPr="001F0379">
        <w:rPr>
          <w:sz w:val="20"/>
          <w:szCs w:val="20"/>
          <w:lang w:val="en-US"/>
        </w:rPr>
        <w:t>Ruys</w:t>
      </w:r>
      <w:proofErr w:type="spellEnd"/>
      <w:r w:rsidRPr="001F0379">
        <w:rPr>
          <w:sz w:val="20"/>
          <w:szCs w:val="20"/>
          <w:lang w:val="en-US"/>
        </w:rPr>
        <w:t xml:space="preserve"> (n7) 442-443</w:t>
      </w:r>
    </w:p>
  </w:footnote>
  <w:footnote w:id="43">
    <w:p w14:paraId="20967F86" w14:textId="6A6953D7" w:rsidR="00AD4FBA" w:rsidRPr="001F0379" w:rsidRDefault="00AD4FBA">
      <w:pPr>
        <w:pStyle w:val="FootnoteText"/>
        <w:rPr>
          <w:sz w:val="20"/>
          <w:szCs w:val="20"/>
          <w:lang w:val="en-US"/>
        </w:rPr>
      </w:pPr>
      <w:r w:rsidRPr="001F0379">
        <w:rPr>
          <w:rStyle w:val="FootnoteReference"/>
          <w:sz w:val="20"/>
          <w:szCs w:val="20"/>
        </w:rPr>
        <w:footnoteRef/>
      </w:r>
      <w:r w:rsidRPr="001F0379">
        <w:rPr>
          <w:sz w:val="20"/>
          <w:szCs w:val="20"/>
        </w:rPr>
        <w:t xml:space="preserve"> </w:t>
      </w:r>
      <w:r w:rsidRPr="001F0379">
        <w:rPr>
          <w:sz w:val="20"/>
          <w:szCs w:val="20"/>
          <w:lang w:val="en-US"/>
        </w:rPr>
        <w:t>The US, Israel, occasionally by Turkey and Iran</w:t>
      </w:r>
    </w:p>
  </w:footnote>
  <w:footnote w:id="44">
    <w:p w14:paraId="423DAF33" w14:textId="6B22DEA3" w:rsidR="00AD4FBA" w:rsidRPr="001F0379" w:rsidRDefault="00AD4FBA">
      <w:pPr>
        <w:pStyle w:val="FootnoteText"/>
        <w:rPr>
          <w:sz w:val="20"/>
          <w:szCs w:val="20"/>
          <w:lang w:val="en-US"/>
        </w:rPr>
      </w:pPr>
      <w:r w:rsidRPr="001F0379">
        <w:rPr>
          <w:rStyle w:val="FootnoteReference"/>
          <w:sz w:val="20"/>
          <w:szCs w:val="20"/>
        </w:rPr>
        <w:footnoteRef/>
      </w:r>
      <w:r w:rsidRPr="001F0379">
        <w:rPr>
          <w:sz w:val="20"/>
          <w:szCs w:val="20"/>
        </w:rPr>
        <w:t xml:space="preserve"> </w:t>
      </w:r>
      <w:proofErr w:type="spellStart"/>
      <w:r w:rsidRPr="001F0379">
        <w:rPr>
          <w:sz w:val="20"/>
          <w:szCs w:val="20"/>
        </w:rPr>
        <w:t>Ruys</w:t>
      </w:r>
      <w:proofErr w:type="spellEnd"/>
      <w:r w:rsidRPr="001F0379">
        <w:rPr>
          <w:sz w:val="20"/>
          <w:szCs w:val="20"/>
        </w:rPr>
        <w:t xml:space="preserve"> (n7) 435-436, 443-446</w:t>
      </w:r>
    </w:p>
  </w:footnote>
  <w:footnote w:id="45">
    <w:p w14:paraId="4CABBA58" w14:textId="162A2AB5" w:rsidR="00AD4FBA" w:rsidRPr="001F0379" w:rsidRDefault="00AD4FBA">
      <w:pPr>
        <w:pStyle w:val="FootnoteText"/>
        <w:rPr>
          <w:lang w:val="en-US"/>
        </w:rPr>
      </w:pPr>
      <w:r w:rsidRPr="001F0379">
        <w:rPr>
          <w:rStyle w:val="FootnoteReference"/>
          <w:sz w:val="20"/>
          <w:szCs w:val="20"/>
        </w:rPr>
        <w:footnoteRef/>
      </w:r>
      <w:r w:rsidRPr="001F0379">
        <w:rPr>
          <w:sz w:val="20"/>
          <w:szCs w:val="20"/>
        </w:rPr>
        <w:t xml:space="preserve"> Trapp (n35) 153-155</w:t>
      </w:r>
    </w:p>
  </w:footnote>
  <w:footnote w:id="46">
    <w:p w14:paraId="5F0867F7" w14:textId="18A09753" w:rsidR="00AD4FBA" w:rsidRPr="001F0379" w:rsidRDefault="00AD4FBA">
      <w:pPr>
        <w:pStyle w:val="FootnoteText"/>
        <w:rPr>
          <w:sz w:val="20"/>
          <w:szCs w:val="20"/>
          <w:lang w:val="en-US"/>
        </w:rPr>
      </w:pPr>
      <w:r w:rsidRPr="001F0379">
        <w:rPr>
          <w:rStyle w:val="FootnoteReference"/>
          <w:sz w:val="20"/>
          <w:szCs w:val="20"/>
        </w:rPr>
        <w:footnoteRef/>
      </w:r>
      <w:r w:rsidRPr="001F0379">
        <w:rPr>
          <w:sz w:val="20"/>
          <w:szCs w:val="20"/>
        </w:rPr>
        <w:t xml:space="preserve"> </w:t>
      </w:r>
      <w:proofErr w:type="spellStart"/>
      <w:r w:rsidRPr="001F0379">
        <w:rPr>
          <w:sz w:val="20"/>
          <w:szCs w:val="20"/>
          <w:lang w:val="en-US"/>
        </w:rPr>
        <w:t>Ruys</w:t>
      </w:r>
      <w:proofErr w:type="spellEnd"/>
      <w:r w:rsidRPr="001F0379">
        <w:rPr>
          <w:sz w:val="20"/>
          <w:szCs w:val="20"/>
          <w:lang w:val="en-US"/>
        </w:rPr>
        <w:t xml:space="preserve"> (n7) 457-462</w:t>
      </w:r>
    </w:p>
  </w:footnote>
  <w:footnote w:id="47">
    <w:p w14:paraId="2DABD25E" w14:textId="44185AC6" w:rsidR="00AD4FBA" w:rsidRPr="00AA2AD1" w:rsidRDefault="00AD4FBA">
      <w:pPr>
        <w:pStyle w:val="FootnoteText"/>
        <w:rPr>
          <w:sz w:val="20"/>
          <w:szCs w:val="20"/>
          <w:lang w:val="en-US"/>
        </w:rPr>
      </w:pPr>
      <w:r w:rsidRPr="001F0379">
        <w:rPr>
          <w:rStyle w:val="FootnoteReference"/>
          <w:sz w:val="20"/>
          <w:szCs w:val="20"/>
        </w:rPr>
        <w:footnoteRef/>
      </w:r>
      <w:r w:rsidRPr="001F0379">
        <w:rPr>
          <w:sz w:val="20"/>
          <w:szCs w:val="20"/>
        </w:rPr>
        <w:t xml:space="preserve"> Trapp </w:t>
      </w:r>
      <w:r w:rsidRPr="00AA2AD1">
        <w:rPr>
          <w:sz w:val="20"/>
          <w:szCs w:val="20"/>
        </w:rPr>
        <w:t>(n35) 152-153</w:t>
      </w:r>
    </w:p>
  </w:footnote>
  <w:footnote w:id="48">
    <w:p w14:paraId="7D079EB0" w14:textId="49666790" w:rsidR="00AD4FBA" w:rsidRPr="00D82855" w:rsidRDefault="00AD4FBA">
      <w:pPr>
        <w:pStyle w:val="FootnoteText"/>
        <w:rPr>
          <w:sz w:val="20"/>
          <w:szCs w:val="20"/>
          <w:lang w:val="en-US"/>
        </w:rPr>
      </w:pPr>
      <w:r>
        <w:rPr>
          <w:rStyle w:val="FootnoteReference"/>
        </w:rPr>
        <w:footnoteRef/>
      </w:r>
      <w:r>
        <w:t xml:space="preserve"> </w:t>
      </w:r>
      <w:r w:rsidRPr="007B101F">
        <w:rPr>
          <w:sz w:val="20"/>
          <w:szCs w:val="20"/>
        </w:rPr>
        <w:t xml:space="preserve">Louise </w:t>
      </w:r>
      <w:proofErr w:type="spellStart"/>
      <w:r w:rsidRPr="007B101F">
        <w:rPr>
          <w:sz w:val="20"/>
          <w:szCs w:val="20"/>
        </w:rPr>
        <w:t>Arimatsu</w:t>
      </w:r>
      <w:proofErr w:type="spellEnd"/>
      <w:r w:rsidRPr="007B101F">
        <w:rPr>
          <w:sz w:val="20"/>
          <w:szCs w:val="20"/>
        </w:rPr>
        <w:t xml:space="preserve"> and Michael Schmitt, “Attacking “Islamic State” and the </w:t>
      </w:r>
      <w:proofErr w:type="spellStart"/>
      <w:r w:rsidRPr="007B101F">
        <w:rPr>
          <w:sz w:val="20"/>
          <w:szCs w:val="20"/>
        </w:rPr>
        <w:t>Khorasan</w:t>
      </w:r>
      <w:proofErr w:type="spellEnd"/>
      <w:r w:rsidRPr="007B101F">
        <w:rPr>
          <w:sz w:val="20"/>
          <w:szCs w:val="20"/>
        </w:rPr>
        <w:t xml:space="preserve"> Group: Surveying the International Law Landscape” (2014) 53(1) Colum</w:t>
      </w:r>
      <w:r>
        <w:rPr>
          <w:sz w:val="20"/>
          <w:szCs w:val="20"/>
        </w:rPr>
        <w:t xml:space="preserve"> Journal of Transnational Law 1-6, 9</w:t>
      </w:r>
    </w:p>
  </w:footnote>
  <w:footnote w:id="49">
    <w:p w14:paraId="10081F58" w14:textId="3081F45D" w:rsidR="00AD4FBA" w:rsidRPr="007B101F" w:rsidRDefault="00AD4FBA">
      <w:pPr>
        <w:pStyle w:val="FootnoteText"/>
        <w:rPr>
          <w:sz w:val="20"/>
          <w:szCs w:val="20"/>
          <w:lang w:val="en-US"/>
        </w:rPr>
      </w:pPr>
      <w:r w:rsidRPr="007B101F">
        <w:rPr>
          <w:rStyle w:val="FootnoteReference"/>
          <w:sz w:val="20"/>
          <w:szCs w:val="20"/>
        </w:rPr>
        <w:footnoteRef/>
      </w:r>
      <w:r w:rsidRPr="007B101F">
        <w:rPr>
          <w:sz w:val="20"/>
          <w:szCs w:val="20"/>
        </w:rPr>
        <w:t xml:space="preserve"> Letter dated 23 September 2014 from the Permanent Representative of the United States of America to the United Nations addressed to the Secretary-General, U.N. Doc. S/2014/695 (Sept. 23, 2014).</w:t>
      </w:r>
    </w:p>
  </w:footnote>
  <w:footnote w:id="50">
    <w:p w14:paraId="5641EEE7" w14:textId="3D6F7C06" w:rsidR="00AD4FBA" w:rsidRPr="007B101F" w:rsidRDefault="00AD4FBA">
      <w:pPr>
        <w:pStyle w:val="FootnoteText"/>
        <w:rPr>
          <w:lang w:val="en-US"/>
        </w:rPr>
      </w:pPr>
      <w:r w:rsidRPr="007B101F">
        <w:rPr>
          <w:rStyle w:val="FootnoteReference"/>
          <w:sz w:val="20"/>
          <w:szCs w:val="20"/>
        </w:rPr>
        <w:footnoteRef/>
      </w:r>
      <w:r w:rsidRPr="007B101F">
        <w:rPr>
          <w:sz w:val="20"/>
          <w:szCs w:val="20"/>
        </w:rPr>
        <w:t xml:space="preserve"> </w:t>
      </w:r>
      <w:r w:rsidRPr="007B101F">
        <w:rPr>
          <w:sz w:val="20"/>
          <w:szCs w:val="20"/>
          <w:lang w:val="en-US"/>
        </w:rPr>
        <w:t>In order for the “unwilling or unable test” to comply with Article 2(4), its proponents argue that if self-defence is conducted proportionally, there would be no danger to another State’s sovereignty and territorial integrity. This interpretation of Art 2(4), if returning to the previous parts of this essay, is unconvincing</w:t>
      </w:r>
      <w:r>
        <w:rPr>
          <w:lang w:val="en-US"/>
        </w:rPr>
        <w:t xml:space="preserve">  </w:t>
      </w:r>
    </w:p>
  </w:footnote>
  <w:footnote w:id="51">
    <w:p w14:paraId="3E2F9930" w14:textId="4716DE2E" w:rsidR="00AD4FBA" w:rsidRPr="00D31248" w:rsidRDefault="00AD4FBA">
      <w:pPr>
        <w:pStyle w:val="FootnoteText"/>
        <w:rPr>
          <w:sz w:val="20"/>
          <w:szCs w:val="20"/>
          <w:lang w:val="en-US"/>
        </w:rPr>
      </w:pPr>
      <w:r w:rsidRPr="005519F2">
        <w:rPr>
          <w:rStyle w:val="FootnoteReference"/>
          <w:sz w:val="20"/>
          <w:szCs w:val="20"/>
        </w:rPr>
        <w:footnoteRef/>
      </w:r>
      <w:r w:rsidRPr="005519F2">
        <w:rPr>
          <w:sz w:val="20"/>
          <w:szCs w:val="20"/>
        </w:rPr>
        <w:t xml:space="preserve"> </w:t>
      </w:r>
      <w:r w:rsidRPr="005519F2">
        <w:rPr>
          <w:sz w:val="20"/>
          <w:szCs w:val="20"/>
          <w:lang w:val="en-US"/>
        </w:rPr>
        <w:t xml:space="preserve">Similar with the 2002 argument between Russia and Georgia, where Georgia asserted that the Chechen terrorist hiding in remote locations in Georgia originated and entered the country from </w:t>
      </w:r>
      <w:r w:rsidRPr="00D31248">
        <w:rPr>
          <w:sz w:val="20"/>
          <w:szCs w:val="20"/>
          <w:lang w:val="en-US"/>
        </w:rPr>
        <w:t>Russia in the first place. See Trapp (n35) 153</w:t>
      </w:r>
    </w:p>
  </w:footnote>
  <w:footnote w:id="52">
    <w:p w14:paraId="37C2F40A" w14:textId="28FBA0BD" w:rsidR="00AD4FBA" w:rsidRPr="00D31248" w:rsidRDefault="00AD4FBA">
      <w:pPr>
        <w:pStyle w:val="FootnoteText"/>
        <w:rPr>
          <w:sz w:val="20"/>
          <w:szCs w:val="20"/>
          <w:lang w:val="en-US"/>
        </w:rPr>
      </w:pPr>
      <w:r w:rsidRPr="00D31248">
        <w:rPr>
          <w:rStyle w:val="FootnoteReference"/>
          <w:sz w:val="20"/>
          <w:szCs w:val="20"/>
        </w:rPr>
        <w:footnoteRef/>
      </w:r>
      <w:r w:rsidRPr="00D31248">
        <w:rPr>
          <w:sz w:val="20"/>
          <w:szCs w:val="20"/>
        </w:rPr>
        <w:t xml:space="preserve"> </w:t>
      </w:r>
      <w:proofErr w:type="spellStart"/>
      <w:r w:rsidRPr="00D31248">
        <w:rPr>
          <w:sz w:val="20"/>
          <w:szCs w:val="20"/>
        </w:rPr>
        <w:t>Arimatsu</w:t>
      </w:r>
      <w:proofErr w:type="spellEnd"/>
      <w:r w:rsidRPr="00D31248">
        <w:rPr>
          <w:sz w:val="20"/>
          <w:szCs w:val="20"/>
        </w:rPr>
        <w:t xml:space="preserve"> and Schmitt (n49) 4</w:t>
      </w:r>
    </w:p>
  </w:footnote>
  <w:footnote w:id="53">
    <w:p w14:paraId="728B0F3D" w14:textId="7269FC74" w:rsidR="00AD4FBA" w:rsidRPr="005A4218" w:rsidRDefault="00AD4FBA">
      <w:pPr>
        <w:pStyle w:val="FootnoteText"/>
        <w:rPr>
          <w:sz w:val="20"/>
          <w:szCs w:val="20"/>
          <w:lang w:val="en-US"/>
        </w:rPr>
      </w:pPr>
      <w:r w:rsidRPr="00D31248">
        <w:rPr>
          <w:rStyle w:val="FootnoteReference"/>
          <w:sz w:val="20"/>
          <w:szCs w:val="20"/>
        </w:rPr>
        <w:footnoteRef/>
      </w:r>
      <w:r w:rsidRPr="00D31248">
        <w:rPr>
          <w:sz w:val="20"/>
          <w:szCs w:val="20"/>
        </w:rPr>
        <w:t xml:space="preserve"> David </w:t>
      </w:r>
      <w:proofErr w:type="spellStart"/>
      <w:r w:rsidRPr="00D31248">
        <w:rPr>
          <w:sz w:val="20"/>
          <w:szCs w:val="20"/>
        </w:rPr>
        <w:t>Ljunggren</w:t>
      </w:r>
      <w:proofErr w:type="spellEnd"/>
      <w:r w:rsidRPr="00D31248">
        <w:rPr>
          <w:sz w:val="20"/>
          <w:szCs w:val="20"/>
        </w:rPr>
        <w:t xml:space="preserve">, ‘Canada will expand anti-ISIS bombing campaign to Syria: sources’ </w:t>
      </w:r>
      <w:r w:rsidRPr="00D31248">
        <w:rPr>
          <w:i/>
          <w:sz w:val="20"/>
          <w:szCs w:val="20"/>
        </w:rPr>
        <w:t>Reuters</w:t>
      </w:r>
      <w:r w:rsidRPr="00D31248">
        <w:rPr>
          <w:sz w:val="20"/>
          <w:szCs w:val="20"/>
        </w:rPr>
        <w:t xml:space="preserve"> (24 March 2015) &lt;http://www.reuters.com/article/2015/03/24/us-mideast-crisis-canada-</w:t>
      </w:r>
      <w:r w:rsidRPr="005A4218">
        <w:rPr>
          <w:sz w:val="20"/>
          <w:szCs w:val="20"/>
        </w:rPr>
        <w:t>idUSKBN0MK09220150324&gt; (accessed 23 April 2015)</w:t>
      </w:r>
    </w:p>
  </w:footnote>
  <w:footnote w:id="54">
    <w:p w14:paraId="17A59D70" w14:textId="6706DDB5" w:rsidR="00AD4FBA" w:rsidRPr="005A4218" w:rsidRDefault="00AD4FBA">
      <w:pPr>
        <w:pStyle w:val="FootnoteText"/>
        <w:rPr>
          <w:sz w:val="20"/>
          <w:szCs w:val="20"/>
          <w:lang w:val="en-US"/>
        </w:rPr>
      </w:pPr>
      <w:r w:rsidRPr="005A4218">
        <w:rPr>
          <w:rStyle w:val="FootnoteReference"/>
          <w:sz w:val="20"/>
          <w:szCs w:val="20"/>
        </w:rPr>
        <w:footnoteRef/>
      </w:r>
      <w:r w:rsidRPr="005A4218">
        <w:rPr>
          <w:sz w:val="20"/>
          <w:szCs w:val="20"/>
        </w:rPr>
        <w:t xml:space="preserve"> </w:t>
      </w:r>
      <w:proofErr w:type="spellStart"/>
      <w:r w:rsidRPr="005A4218">
        <w:rPr>
          <w:sz w:val="20"/>
          <w:szCs w:val="20"/>
        </w:rPr>
        <w:t>Arimatsu</w:t>
      </w:r>
      <w:proofErr w:type="spellEnd"/>
      <w:r w:rsidRPr="005A4218">
        <w:rPr>
          <w:sz w:val="20"/>
          <w:szCs w:val="20"/>
        </w:rPr>
        <w:t xml:space="preserve"> and Schmitt (n49) 4</w:t>
      </w:r>
    </w:p>
  </w:footnote>
  <w:footnote w:id="55">
    <w:p w14:paraId="276F0868" w14:textId="5959BDBC" w:rsidR="00AD4FBA" w:rsidRPr="00417E98" w:rsidRDefault="00AD4FBA">
      <w:pPr>
        <w:pStyle w:val="FootnoteText"/>
        <w:rPr>
          <w:lang w:val="en-US"/>
        </w:rPr>
      </w:pPr>
      <w:r w:rsidRPr="005A4218">
        <w:rPr>
          <w:rStyle w:val="FootnoteReference"/>
          <w:sz w:val="20"/>
          <w:szCs w:val="20"/>
        </w:rPr>
        <w:footnoteRef/>
      </w:r>
      <w:r w:rsidRPr="005A4218">
        <w:rPr>
          <w:sz w:val="20"/>
          <w:szCs w:val="20"/>
        </w:rPr>
        <w:t xml:space="preserve"> </w:t>
      </w:r>
      <w:proofErr w:type="spellStart"/>
      <w:r w:rsidRPr="005A4218">
        <w:rPr>
          <w:sz w:val="20"/>
          <w:szCs w:val="20"/>
        </w:rPr>
        <w:t>Ruys</w:t>
      </w:r>
      <w:proofErr w:type="spellEnd"/>
      <w:r w:rsidRPr="005A4218">
        <w:rPr>
          <w:sz w:val="20"/>
          <w:szCs w:val="20"/>
        </w:rPr>
        <w:t xml:space="preserve"> (n7) 443-447</w:t>
      </w:r>
    </w:p>
  </w:footnote>
  <w:footnote w:id="56">
    <w:p w14:paraId="5CE6A49B" w14:textId="4AD652C1" w:rsidR="00AD4FBA" w:rsidRPr="001C09A8" w:rsidRDefault="00AD4FBA">
      <w:pPr>
        <w:pStyle w:val="FootnoteText"/>
        <w:rPr>
          <w:lang w:val="en-US"/>
        </w:rPr>
      </w:pPr>
      <w:r>
        <w:rPr>
          <w:rStyle w:val="FootnoteReference"/>
        </w:rPr>
        <w:footnoteRef/>
      </w:r>
      <w:r>
        <w:t xml:space="preserve"> </w:t>
      </w:r>
      <w:r>
        <w:rPr>
          <w:lang w:val="en-US"/>
        </w:rPr>
        <w:t>Subsequently published as a book</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823"/>
    <w:rsid w:val="00002677"/>
    <w:rsid w:val="0000696D"/>
    <w:rsid w:val="00054DC7"/>
    <w:rsid w:val="000600B1"/>
    <w:rsid w:val="0007253E"/>
    <w:rsid w:val="00093BF4"/>
    <w:rsid w:val="000A5F1C"/>
    <w:rsid w:val="000C5F6D"/>
    <w:rsid w:val="000C6A8F"/>
    <w:rsid w:val="000F1F2D"/>
    <w:rsid w:val="000F39CF"/>
    <w:rsid w:val="00102F1E"/>
    <w:rsid w:val="00105B9F"/>
    <w:rsid w:val="001109DB"/>
    <w:rsid w:val="00113241"/>
    <w:rsid w:val="00120DE1"/>
    <w:rsid w:val="001225BC"/>
    <w:rsid w:val="00147BDB"/>
    <w:rsid w:val="00173C9B"/>
    <w:rsid w:val="00193601"/>
    <w:rsid w:val="001A1C69"/>
    <w:rsid w:val="001A6A3F"/>
    <w:rsid w:val="001B55C0"/>
    <w:rsid w:val="001C09A8"/>
    <w:rsid w:val="001D0BFB"/>
    <w:rsid w:val="001D5424"/>
    <w:rsid w:val="001E1C7D"/>
    <w:rsid w:val="001E25CA"/>
    <w:rsid w:val="001F0379"/>
    <w:rsid w:val="00211032"/>
    <w:rsid w:val="002257B1"/>
    <w:rsid w:val="00240D21"/>
    <w:rsid w:val="00246CB5"/>
    <w:rsid w:val="00250988"/>
    <w:rsid w:val="002665E1"/>
    <w:rsid w:val="00284E4B"/>
    <w:rsid w:val="002C50AD"/>
    <w:rsid w:val="002D4921"/>
    <w:rsid w:val="002F055A"/>
    <w:rsid w:val="002F1406"/>
    <w:rsid w:val="00306DB6"/>
    <w:rsid w:val="0031417C"/>
    <w:rsid w:val="00367D16"/>
    <w:rsid w:val="003854D7"/>
    <w:rsid w:val="0039120A"/>
    <w:rsid w:val="003912F8"/>
    <w:rsid w:val="003A745B"/>
    <w:rsid w:val="0040387A"/>
    <w:rsid w:val="004177E6"/>
    <w:rsid w:val="00417E98"/>
    <w:rsid w:val="00421027"/>
    <w:rsid w:val="004210D2"/>
    <w:rsid w:val="0042790D"/>
    <w:rsid w:val="004543FE"/>
    <w:rsid w:val="0045602D"/>
    <w:rsid w:val="00460CFE"/>
    <w:rsid w:val="00464157"/>
    <w:rsid w:val="004669FC"/>
    <w:rsid w:val="004678A6"/>
    <w:rsid w:val="00481D1E"/>
    <w:rsid w:val="0049594D"/>
    <w:rsid w:val="004C5F56"/>
    <w:rsid w:val="004D20F2"/>
    <w:rsid w:val="004E000A"/>
    <w:rsid w:val="004E6CD1"/>
    <w:rsid w:val="004F5936"/>
    <w:rsid w:val="0051275A"/>
    <w:rsid w:val="00526E67"/>
    <w:rsid w:val="005519F2"/>
    <w:rsid w:val="00553963"/>
    <w:rsid w:val="0056437A"/>
    <w:rsid w:val="005705B0"/>
    <w:rsid w:val="0057411F"/>
    <w:rsid w:val="005835B9"/>
    <w:rsid w:val="00583B6D"/>
    <w:rsid w:val="005A4218"/>
    <w:rsid w:val="005B2596"/>
    <w:rsid w:val="005B4B9E"/>
    <w:rsid w:val="005D7746"/>
    <w:rsid w:val="005E5EA1"/>
    <w:rsid w:val="006018C7"/>
    <w:rsid w:val="00607AAD"/>
    <w:rsid w:val="00612594"/>
    <w:rsid w:val="00625B1B"/>
    <w:rsid w:val="00625B84"/>
    <w:rsid w:val="0064300E"/>
    <w:rsid w:val="006440A9"/>
    <w:rsid w:val="00651B53"/>
    <w:rsid w:val="0065420B"/>
    <w:rsid w:val="00692E4B"/>
    <w:rsid w:val="006A156A"/>
    <w:rsid w:val="006A1A77"/>
    <w:rsid w:val="006B7648"/>
    <w:rsid w:val="006F0636"/>
    <w:rsid w:val="006F7F5C"/>
    <w:rsid w:val="0070749C"/>
    <w:rsid w:val="00707BE3"/>
    <w:rsid w:val="007451E8"/>
    <w:rsid w:val="0075096D"/>
    <w:rsid w:val="00753247"/>
    <w:rsid w:val="007616BD"/>
    <w:rsid w:val="007644FA"/>
    <w:rsid w:val="00764720"/>
    <w:rsid w:val="007B101F"/>
    <w:rsid w:val="007B42A0"/>
    <w:rsid w:val="007C5937"/>
    <w:rsid w:val="007D18E6"/>
    <w:rsid w:val="007D4022"/>
    <w:rsid w:val="007E0569"/>
    <w:rsid w:val="007E44B6"/>
    <w:rsid w:val="007F43E1"/>
    <w:rsid w:val="008070FB"/>
    <w:rsid w:val="00812522"/>
    <w:rsid w:val="0083136F"/>
    <w:rsid w:val="00847C8D"/>
    <w:rsid w:val="00872520"/>
    <w:rsid w:val="0088374B"/>
    <w:rsid w:val="008878F8"/>
    <w:rsid w:val="008946DB"/>
    <w:rsid w:val="008E5E34"/>
    <w:rsid w:val="008F59B8"/>
    <w:rsid w:val="008F7FDB"/>
    <w:rsid w:val="00903DB2"/>
    <w:rsid w:val="009077ED"/>
    <w:rsid w:val="00912812"/>
    <w:rsid w:val="00921DF4"/>
    <w:rsid w:val="0092368D"/>
    <w:rsid w:val="009561FE"/>
    <w:rsid w:val="009665A9"/>
    <w:rsid w:val="009B27F7"/>
    <w:rsid w:val="009C6EE2"/>
    <w:rsid w:val="009D11E0"/>
    <w:rsid w:val="009D265F"/>
    <w:rsid w:val="009E346D"/>
    <w:rsid w:val="00A01B04"/>
    <w:rsid w:val="00A1457E"/>
    <w:rsid w:val="00A223D4"/>
    <w:rsid w:val="00A52127"/>
    <w:rsid w:val="00A7033E"/>
    <w:rsid w:val="00A95394"/>
    <w:rsid w:val="00AA2AD1"/>
    <w:rsid w:val="00AA5E3A"/>
    <w:rsid w:val="00AB00E0"/>
    <w:rsid w:val="00AC558A"/>
    <w:rsid w:val="00AD07C9"/>
    <w:rsid w:val="00AD4FBA"/>
    <w:rsid w:val="00AF4644"/>
    <w:rsid w:val="00B04E77"/>
    <w:rsid w:val="00B108E4"/>
    <w:rsid w:val="00B14C7E"/>
    <w:rsid w:val="00B16BDF"/>
    <w:rsid w:val="00B2157E"/>
    <w:rsid w:val="00B23823"/>
    <w:rsid w:val="00B45434"/>
    <w:rsid w:val="00B466E9"/>
    <w:rsid w:val="00B74746"/>
    <w:rsid w:val="00B83D9F"/>
    <w:rsid w:val="00B87321"/>
    <w:rsid w:val="00B91A1C"/>
    <w:rsid w:val="00B97347"/>
    <w:rsid w:val="00BA1598"/>
    <w:rsid w:val="00BA47CB"/>
    <w:rsid w:val="00BC5694"/>
    <w:rsid w:val="00BD3E65"/>
    <w:rsid w:val="00BE4A8D"/>
    <w:rsid w:val="00BF0C75"/>
    <w:rsid w:val="00C10233"/>
    <w:rsid w:val="00C15510"/>
    <w:rsid w:val="00C15BB0"/>
    <w:rsid w:val="00C15C5D"/>
    <w:rsid w:val="00C25CFE"/>
    <w:rsid w:val="00C30E1F"/>
    <w:rsid w:val="00C77641"/>
    <w:rsid w:val="00C96FBC"/>
    <w:rsid w:val="00CB7FE5"/>
    <w:rsid w:val="00CC4F8A"/>
    <w:rsid w:val="00CD22BB"/>
    <w:rsid w:val="00CE4F19"/>
    <w:rsid w:val="00D012E6"/>
    <w:rsid w:val="00D060F7"/>
    <w:rsid w:val="00D1025F"/>
    <w:rsid w:val="00D11F26"/>
    <w:rsid w:val="00D31248"/>
    <w:rsid w:val="00D50396"/>
    <w:rsid w:val="00D6528A"/>
    <w:rsid w:val="00D74907"/>
    <w:rsid w:val="00D82855"/>
    <w:rsid w:val="00D94031"/>
    <w:rsid w:val="00DC21E3"/>
    <w:rsid w:val="00DC2C40"/>
    <w:rsid w:val="00DF748C"/>
    <w:rsid w:val="00E01F73"/>
    <w:rsid w:val="00E055D6"/>
    <w:rsid w:val="00E17FAB"/>
    <w:rsid w:val="00E55EDF"/>
    <w:rsid w:val="00E60FD7"/>
    <w:rsid w:val="00E62DE4"/>
    <w:rsid w:val="00E756E7"/>
    <w:rsid w:val="00E911BC"/>
    <w:rsid w:val="00E9415F"/>
    <w:rsid w:val="00EA41F7"/>
    <w:rsid w:val="00EB2495"/>
    <w:rsid w:val="00EC3DFF"/>
    <w:rsid w:val="00EC3EAA"/>
    <w:rsid w:val="00ED3E94"/>
    <w:rsid w:val="00EF6C9D"/>
    <w:rsid w:val="00EF7E95"/>
    <w:rsid w:val="00F11C96"/>
    <w:rsid w:val="00F15F11"/>
    <w:rsid w:val="00F16480"/>
    <w:rsid w:val="00F23E91"/>
    <w:rsid w:val="00F27F6E"/>
    <w:rsid w:val="00F34002"/>
    <w:rsid w:val="00F343E6"/>
    <w:rsid w:val="00F361BC"/>
    <w:rsid w:val="00F57593"/>
    <w:rsid w:val="00F6350F"/>
    <w:rsid w:val="00FB054F"/>
    <w:rsid w:val="00FB399F"/>
    <w:rsid w:val="00FC6170"/>
    <w:rsid w:val="00FF5C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9D29F4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3823"/>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6F0636"/>
  </w:style>
  <w:style w:type="character" w:customStyle="1" w:styleId="FootnoteTextChar">
    <w:name w:val="Footnote Text Char"/>
    <w:basedOn w:val="DefaultParagraphFont"/>
    <w:link w:val="FootnoteText"/>
    <w:uiPriority w:val="99"/>
    <w:rsid w:val="006F0636"/>
    <w:rPr>
      <w:lang w:val="en-GB"/>
    </w:rPr>
  </w:style>
  <w:style w:type="character" w:styleId="FootnoteReference">
    <w:name w:val="footnote reference"/>
    <w:basedOn w:val="DefaultParagraphFont"/>
    <w:uiPriority w:val="99"/>
    <w:unhideWhenUsed/>
    <w:rsid w:val="006F0636"/>
    <w:rPr>
      <w:vertAlign w:val="superscript"/>
    </w:rPr>
  </w:style>
  <w:style w:type="character" w:styleId="Hyperlink">
    <w:name w:val="Hyperlink"/>
    <w:basedOn w:val="DefaultParagraphFont"/>
    <w:uiPriority w:val="99"/>
    <w:unhideWhenUsed/>
    <w:rsid w:val="00120DE1"/>
    <w:rPr>
      <w:color w:val="0000FF" w:themeColor="hyperlink"/>
      <w:u w:val="single"/>
    </w:rPr>
  </w:style>
  <w:style w:type="character" w:customStyle="1" w:styleId="apple-converted-space">
    <w:name w:val="apple-converted-space"/>
    <w:basedOn w:val="DefaultParagraphFont"/>
    <w:rsid w:val="00284E4B"/>
  </w:style>
  <w:style w:type="paragraph" w:styleId="ListParagraph">
    <w:name w:val="List Paragraph"/>
    <w:basedOn w:val="Normal"/>
    <w:uiPriority w:val="34"/>
    <w:qFormat/>
    <w:rsid w:val="00D012E6"/>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3823"/>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6F0636"/>
  </w:style>
  <w:style w:type="character" w:customStyle="1" w:styleId="FootnoteTextChar">
    <w:name w:val="Footnote Text Char"/>
    <w:basedOn w:val="DefaultParagraphFont"/>
    <w:link w:val="FootnoteText"/>
    <w:uiPriority w:val="99"/>
    <w:rsid w:val="006F0636"/>
    <w:rPr>
      <w:lang w:val="en-GB"/>
    </w:rPr>
  </w:style>
  <w:style w:type="character" w:styleId="FootnoteReference">
    <w:name w:val="footnote reference"/>
    <w:basedOn w:val="DefaultParagraphFont"/>
    <w:uiPriority w:val="99"/>
    <w:unhideWhenUsed/>
    <w:rsid w:val="006F0636"/>
    <w:rPr>
      <w:vertAlign w:val="superscript"/>
    </w:rPr>
  </w:style>
  <w:style w:type="character" w:styleId="Hyperlink">
    <w:name w:val="Hyperlink"/>
    <w:basedOn w:val="DefaultParagraphFont"/>
    <w:uiPriority w:val="99"/>
    <w:unhideWhenUsed/>
    <w:rsid w:val="00120DE1"/>
    <w:rPr>
      <w:color w:val="0000FF" w:themeColor="hyperlink"/>
      <w:u w:val="single"/>
    </w:rPr>
  </w:style>
  <w:style w:type="character" w:customStyle="1" w:styleId="apple-converted-space">
    <w:name w:val="apple-converted-space"/>
    <w:basedOn w:val="DefaultParagraphFont"/>
    <w:rsid w:val="00284E4B"/>
  </w:style>
  <w:style w:type="paragraph" w:styleId="ListParagraph">
    <w:name w:val="List Paragraph"/>
    <w:basedOn w:val="Normal"/>
    <w:uiPriority w:val="34"/>
    <w:qFormat/>
    <w:rsid w:val="00D012E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580829">
      <w:bodyDiv w:val="1"/>
      <w:marLeft w:val="0"/>
      <w:marRight w:val="0"/>
      <w:marTop w:val="0"/>
      <w:marBottom w:val="0"/>
      <w:divBdr>
        <w:top w:val="none" w:sz="0" w:space="0" w:color="auto"/>
        <w:left w:val="none" w:sz="0" w:space="0" w:color="auto"/>
        <w:bottom w:val="none" w:sz="0" w:space="0" w:color="auto"/>
        <w:right w:val="none" w:sz="0" w:space="0" w:color="auto"/>
      </w:divBdr>
    </w:div>
    <w:div w:id="343096386">
      <w:bodyDiv w:val="1"/>
      <w:marLeft w:val="0"/>
      <w:marRight w:val="0"/>
      <w:marTop w:val="0"/>
      <w:marBottom w:val="0"/>
      <w:divBdr>
        <w:top w:val="none" w:sz="0" w:space="0" w:color="auto"/>
        <w:left w:val="none" w:sz="0" w:space="0" w:color="auto"/>
        <w:bottom w:val="none" w:sz="0" w:space="0" w:color="auto"/>
        <w:right w:val="none" w:sz="0" w:space="0" w:color="auto"/>
      </w:divBdr>
    </w:div>
    <w:div w:id="526871532">
      <w:bodyDiv w:val="1"/>
      <w:marLeft w:val="0"/>
      <w:marRight w:val="0"/>
      <w:marTop w:val="0"/>
      <w:marBottom w:val="0"/>
      <w:divBdr>
        <w:top w:val="none" w:sz="0" w:space="0" w:color="auto"/>
        <w:left w:val="none" w:sz="0" w:space="0" w:color="auto"/>
        <w:bottom w:val="none" w:sz="0" w:space="0" w:color="auto"/>
        <w:right w:val="none" w:sz="0" w:space="0" w:color="auto"/>
      </w:divBdr>
    </w:div>
    <w:div w:id="530269730">
      <w:bodyDiv w:val="1"/>
      <w:marLeft w:val="0"/>
      <w:marRight w:val="0"/>
      <w:marTop w:val="0"/>
      <w:marBottom w:val="0"/>
      <w:divBdr>
        <w:top w:val="none" w:sz="0" w:space="0" w:color="auto"/>
        <w:left w:val="none" w:sz="0" w:space="0" w:color="auto"/>
        <w:bottom w:val="none" w:sz="0" w:space="0" w:color="auto"/>
        <w:right w:val="none" w:sz="0" w:space="0" w:color="auto"/>
      </w:divBdr>
    </w:div>
    <w:div w:id="570239502">
      <w:bodyDiv w:val="1"/>
      <w:marLeft w:val="0"/>
      <w:marRight w:val="0"/>
      <w:marTop w:val="0"/>
      <w:marBottom w:val="0"/>
      <w:divBdr>
        <w:top w:val="none" w:sz="0" w:space="0" w:color="auto"/>
        <w:left w:val="none" w:sz="0" w:space="0" w:color="auto"/>
        <w:bottom w:val="none" w:sz="0" w:space="0" w:color="auto"/>
        <w:right w:val="none" w:sz="0" w:space="0" w:color="auto"/>
      </w:divBdr>
    </w:div>
    <w:div w:id="621502184">
      <w:bodyDiv w:val="1"/>
      <w:marLeft w:val="0"/>
      <w:marRight w:val="0"/>
      <w:marTop w:val="0"/>
      <w:marBottom w:val="0"/>
      <w:divBdr>
        <w:top w:val="none" w:sz="0" w:space="0" w:color="auto"/>
        <w:left w:val="none" w:sz="0" w:space="0" w:color="auto"/>
        <w:bottom w:val="none" w:sz="0" w:space="0" w:color="auto"/>
        <w:right w:val="none" w:sz="0" w:space="0" w:color="auto"/>
      </w:divBdr>
    </w:div>
    <w:div w:id="712077633">
      <w:bodyDiv w:val="1"/>
      <w:marLeft w:val="0"/>
      <w:marRight w:val="0"/>
      <w:marTop w:val="0"/>
      <w:marBottom w:val="0"/>
      <w:divBdr>
        <w:top w:val="none" w:sz="0" w:space="0" w:color="auto"/>
        <w:left w:val="none" w:sz="0" w:space="0" w:color="auto"/>
        <w:bottom w:val="none" w:sz="0" w:space="0" w:color="auto"/>
        <w:right w:val="none" w:sz="0" w:space="0" w:color="auto"/>
      </w:divBdr>
      <w:divsChild>
        <w:div w:id="86776950">
          <w:marLeft w:val="0"/>
          <w:marRight w:val="0"/>
          <w:marTop w:val="0"/>
          <w:marBottom w:val="0"/>
          <w:divBdr>
            <w:top w:val="none" w:sz="0" w:space="0" w:color="auto"/>
            <w:left w:val="none" w:sz="0" w:space="0" w:color="auto"/>
            <w:bottom w:val="none" w:sz="0" w:space="0" w:color="auto"/>
            <w:right w:val="none" w:sz="0" w:space="0" w:color="auto"/>
          </w:divBdr>
        </w:div>
        <w:div w:id="1634213437">
          <w:marLeft w:val="0"/>
          <w:marRight w:val="0"/>
          <w:marTop w:val="0"/>
          <w:marBottom w:val="0"/>
          <w:divBdr>
            <w:top w:val="none" w:sz="0" w:space="0" w:color="auto"/>
            <w:left w:val="none" w:sz="0" w:space="0" w:color="auto"/>
            <w:bottom w:val="none" w:sz="0" w:space="0" w:color="auto"/>
            <w:right w:val="none" w:sz="0" w:space="0" w:color="auto"/>
          </w:divBdr>
        </w:div>
      </w:divsChild>
    </w:div>
    <w:div w:id="787705127">
      <w:bodyDiv w:val="1"/>
      <w:marLeft w:val="0"/>
      <w:marRight w:val="0"/>
      <w:marTop w:val="0"/>
      <w:marBottom w:val="0"/>
      <w:divBdr>
        <w:top w:val="none" w:sz="0" w:space="0" w:color="auto"/>
        <w:left w:val="none" w:sz="0" w:space="0" w:color="auto"/>
        <w:bottom w:val="none" w:sz="0" w:space="0" w:color="auto"/>
        <w:right w:val="none" w:sz="0" w:space="0" w:color="auto"/>
      </w:divBdr>
    </w:div>
    <w:div w:id="904801173">
      <w:bodyDiv w:val="1"/>
      <w:marLeft w:val="0"/>
      <w:marRight w:val="0"/>
      <w:marTop w:val="0"/>
      <w:marBottom w:val="0"/>
      <w:divBdr>
        <w:top w:val="none" w:sz="0" w:space="0" w:color="auto"/>
        <w:left w:val="none" w:sz="0" w:space="0" w:color="auto"/>
        <w:bottom w:val="none" w:sz="0" w:space="0" w:color="auto"/>
        <w:right w:val="none" w:sz="0" w:space="0" w:color="auto"/>
      </w:divBdr>
    </w:div>
    <w:div w:id="1010908742">
      <w:bodyDiv w:val="1"/>
      <w:marLeft w:val="0"/>
      <w:marRight w:val="0"/>
      <w:marTop w:val="0"/>
      <w:marBottom w:val="0"/>
      <w:divBdr>
        <w:top w:val="none" w:sz="0" w:space="0" w:color="auto"/>
        <w:left w:val="none" w:sz="0" w:space="0" w:color="auto"/>
        <w:bottom w:val="none" w:sz="0" w:space="0" w:color="auto"/>
        <w:right w:val="none" w:sz="0" w:space="0" w:color="auto"/>
      </w:divBdr>
      <w:divsChild>
        <w:div w:id="1268854764">
          <w:marLeft w:val="0"/>
          <w:marRight w:val="0"/>
          <w:marTop w:val="0"/>
          <w:marBottom w:val="0"/>
          <w:divBdr>
            <w:top w:val="none" w:sz="0" w:space="0" w:color="auto"/>
            <w:left w:val="none" w:sz="0" w:space="0" w:color="auto"/>
            <w:bottom w:val="none" w:sz="0" w:space="0" w:color="auto"/>
            <w:right w:val="none" w:sz="0" w:space="0" w:color="auto"/>
          </w:divBdr>
        </w:div>
        <w:div w:id="2035879008">
          <w:marLeft w:val="0"/>
          <w:marRight w:val="0"/>
          <w:marTop w:val="0"/>
          <w:marBottom w:val="0"/>
          <w:divBdr>
            <w:top w:val="none" w:sz="0" w:space="0" w:color="auto"/>
            <w:left w:val="none" w:sz="0" w:space="0" w:color="auto"/>
            <w:bottom w:val="none" w:sz="0" w:space="0" w:color="auto"/>
            <w:right w:val="none" w:sz="0" w:space="0" w:color="auto"/>
          </w:divBdr>
        </w:div>
      </w:divsChild>
    </w:div>
    <w:div w:id="1060789197">
      <w:bodyDiv w:val="1"/>
      <w:marLeft w:val="0"/>
      <w:marRight w:val="0"/>
      <w:marTop w:val="0"/>
      <w:marBottom w:val="0"/>
      <w:divBdr>
        <w:top w:val="none" w:sz="0" w:space="0" w:color="auto"/>
        <w:left w:val="none" w:sz="0" w:space="0" w:color="auto"/>
        <w:bottom w:val="none" w:sz="0" w:space="0" w:color="auto"/>
        <w:right w:val="none" w:sz="0" w:space="0" w:color="auto"/>
      </w:divBdr>
      <w:divsChild>
        <w:div w:id="1824275256">
          <w:marLeft w:val="0"/>
          <w:marRight w:val="0"/>
          <w:marTop w:val="0"/>
          <w:marBottom w:val="0"/>
          <w:divBdr>
            <w:top w:val="none" w:sz="0" w:space="0" w:color="auto"/>
            <w:left w:val="none" w:sz="0" w:space="0" w:color="auto"/>
            <w:bottom w:val="none" w:sz="0" w:space="0" w:color="auto"/>
            <w:right w:val="none" w:sz="0" w:space="0" w:color="auto"/>
          </w:divBdr>
        </w:div>
        <w:div w:id="1984462624">
          <w:marLeft w:val="0"/>
          <w:marRight w:val="0"/>
          <w:marTop w:val="0"/>
          <w:marBottom w:val="0"/>
          <w:divBdr>
            <w:top w:val="none" w:sz="0" w:space="0" w:color="auto"/>
            <w:left w:val="none" w:sz="0" w:space="0" w:color="auto"/>
            <w:bottom w:val="none" w:sz="0" w:space="0" w:color="auto"/>
            <w:right w:val="none" w:sz="0" w:space="0" w:color="auto"/>
          </w:divBdr>
        </w:div>
        <w:div w:id="730269007">
          <w:marLeft w:val="0"/>
          <w:marRight w:val="0"/>
          <w:marTop w:val="0"/>
          <w:marBottom w:val="0"/>
          <w:divBdr>
            <w:top w:val="none" w:sz="0" w:space="0" w:color="auto"/>
            <w:left w:val="none" w:sz="0" w:space="0" w:color="auto"/>
            <w:bottom w:val="none" w:sz="0" w:space="0" w:color="auto"/>
            <w:right w:val="none" w:sz="0" w:space="0" w:color="auto"/>
          </w:divBdr>
        </w:div>
      </w:divsChild>
    </w:div>
    <w:div w:id="1168256408">
      <w:bodyDiv w:val="1"/>
      <w:marLeft w:val="0"/>
      <w:marRight w:val="0"/>
      <w:marTop w:val="0"/>
      <w:marBottom w:val="0"/>
      <w:divBdr>
        <w:top w:val="none" w:sz="0" w:space="0" w:color="auto"/>
        <w:left w:val="none" w:sz="0" w:space="0" w:color="auto"/>
        <w:bottom w:val="none" w:sz="0" w:space="0" w:color="auto"/>
        <w:right w:val="none" w:sz="0" w:space="0" w:color="auto"/>
      </w:divBdr>
    </w:div>
    <w:div w:id="1343161416">
      <w:bodyDiv w:val="1"/>
      <w:marLeft w:val="0"/>
      <w:marRight w:val="0"/>
      <w:marTop w:val="0"/>
      <w:marBottom w:val="0"/>
      <w:divBdr>
        <w:top w:val="none" w:sz="0" w:space="0" w:color="auto"/>
        <w:left w:val="none" w:sz="0" w:space="0" w:color="auto"/>
        <w:bottom w:val="none" w:sz="0" w:space="0" w:color="auto"/>
        <w:right w:val="none" w:sz="0" w:space="0" w:color="auto"/>
      </w:divBdr>
    </w:div>
    <w:div w:id="1349874137">
      <w:bodyDiv w:val="1"/>
      <w:marLeft w:val="0"/>
      <w:marRight w:val="0"/>
      <w:marTop w:val="0"/>
      <w:marBottom w:val="0"/>
      <w:divBdr>
        <w:top w:val="none" w:sz="0" w:space="0" w:color="auto"/>
        <w:left w:val="none" w:sz="0" w:space="0" w:color="auto"/>
        <w:bottom w:val="none" w:sz="0" w:space="0" w:color="auto"/>
        <w:right w:val="none" w:sz="0" w:space="0" w:color="auto"/>
      </w:divBdr>
      <w:divsChild>
        <w:div w:id="287468782">
          <w:marLeft w:val="0"/>
          <w:marRight w:val="0"/>
          <w:marTop w:val="0"/>
          <w:marBottom w:val="0"/>
          <w:divBdr>
            <w:top w:val="none" w:sz="0" w:space="0" w:color="auto"/>
            <w:left w:val="none" w:sz="0" w:space="0" w:color="auto"/>
            <w:bottom w:val="none" w:sz="0" w:space="0" w:color="auto"/>
            <w:right w:val="none" w:sz="0" w:space="0" w:color="auto"/>
          </w:divBdr>
        </w:div>
        <w:div w:id="542519271">
          <w:marLeft w:val="0"/>
          <w:marRight w:val="0"/>
          <w:marTop w:val="0"/>
          <w:marBottom w:val="0"/>
          <w:divBdr>
            <w:top w:val="none" w:sz="0" w:space="0" w:color="auto"/>
            <w:left w:val="none" w:sz="0" w:space="0" w:color="auto"/>
            <w:bottom w:val="none" w:sz="0" w:space="0" w:color="auto"/>
            <w:right w:val="none" w:sz="0" w:space="0" w:color="auto"/>
          </w:divBdr>
        </w:div>
      </w:divsChild>
    </w:div>
    <w:div w:id="1434595706">
      <w:bodyDiv w:val="1"/>
      <w:marLeft w:val="0"/>
      <w:marRight w:val="0"/>
      <w:marTop w:val="0"/>
      <w:marBottom w:val="0"/>
      <w:divBdr>
        <w:top w:val="none" w:sz="0" w:space="0" w:color="auto"/>
        <w:left w:val="none" w:sz="0" w:space="0" w:color="auto"/>
        <w:bottom w:val="none" w:sz="0" w:space="0" w:color="auto"/>
        <w:right w:val="none" w:sz="0" w:space="0" w:color="auto"/>
      </w:divBdr>
    </w:div>
    <w:div w:id="1466504283">
      <w:bodyDiv w:val="1"/>
      <w:marLeft w:val="0"/>
      <w:marRight w:val="0"/>
      <w:marTop w:val="0"/>
      <w:marBottom w:val="0"/>
      <w:divBdr>
        <w:top w:val="none" w:sz="0" w:space="0" w:color="auto"/>
        <w:left w:val="none" w:sz="0" w:space="0" w:color="auto"/>
        <w:bottom w:val="none" w:sz="0" w:space="0" w:color="auto"/>
        <w:right w:val="none" w:sz="0" w:space="0" w:color="auto"/>
      </w:divBdr>
    </w:div>
    <w:div w:id="159725200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A62EBB-90AE-964A-BDDE-C1CA44D251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4168</Words>
  <Characters>22136</Characters>
  <Application>Microsoft Macintosh Word</Application>
  <DocSecurity>0</DocSecurity>
  <Lines>461</Lines>
  <Paragraphs>105</Paragraphs>
  <ScaleCrop>false</ScaleCrop>
  <Company>University of Aberdeen</Company>
  <LinksUpToDate>false</LinksUpToDate>
  <CharactersWithSpaces>26199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Danil Osminin</dc:creator>
  <cp:keywords/>
  <dc:description/>
  <cp:lastModifiedBy>Christopher Olsen</cp:lastModifiedBy>
  <cp:revision>2</cp:revision>
  <dcterms:created xsi:type="dcterms:W3CDTF">2016-03-17T18:03:00Z</dcterms:created>
  <dcterms:modified xsi:type="dcterms:W3CDTF">2016-03-17T18:03:00Z</dcterms:modified>
</cp:coreProperties>
</file>