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5675ED" w14:textId="77E6860D" w:rsidR="00AF31F5" w:rsidRPr="006C0488" w:rsidRDefault="00EE2244" w:rsidP="006C0488">
      <w:pPr>
        <w:jc w:val="center"/>
        <w:rPr>
          <w:rFonts w:ascii="Baskerville" w:hAnsi="Baskerville"/>
          <w:sz w:val="28"/>
          <w:szCs w:val="28"/>
          <w:u w:val="single"/>
          <w:lang w:val="en-US"/>
        </w:rPr>
      </w:pPr>
      <w:r>
        <w:rPr>
          <w:rFonts w:ascii="Baskerville" w:hAnsi="Baskerville"/>
          <w:sz w:val="28"/>
          <w:szCs w:val="28"/>
          <w:u w:val="single"/>
        </w:rPr>
        <w:t>General Principles of International Law</w:t>
      </w:r>
      <w:r w:rsidR="006C0488">
        <w:rPr>
          <w:rFonts w:ascii="Baskerville" w:hAnsi="Baskerville"/>
          <w:sz w:val="28"/>
          <w:szCs w:val="28"/>
          <w:u w:val="single"/>
        </w:rPr>
        <w:t xml:space="preserve"> </w:t>
      </w:r>
      <w:r w:rsidR="006C0488">
        <w:rPr>
          <w:rFonts w:ascii="Baskerville" w:hAnsi="Baskerville"/>
          <w:sz w:val="28"/>
          <w:szCs w:val="28"/>
          <w:u w:val="single"/>
          <w:lang w:val="en-US"/>
        </w:rPr>
        <w:t>(LAWDM00</w:t>
      </w:r>
      <w:r>
        <w:rPr>
          <w:rFonts w:ascii="Baskerville" w:hAnsi="Baskerville"/>
          <w:sz w:val="28"/>
          <w:szCs w:val="28"/>
          <w:u w:val="single"/>
          <w:lang w:val="en-US"/>
        </w:rPr>
        <w:t>26</w:t>
      </w:r>
      <w:r w:rsidR="006C0488">
        <w:rPr>
          <w:rFonts w:ascii="Baskerville" w:hAnsi="Baskerville"/>
          <w:sz w:val="28"/>
          <w:szCs w:val="28"/>
          <w:u w:val="single"/>
          <w:lang w:val="en-US"/>
        </w:rPr>
        <w:t>)</w:t>
      </w:r>
      <w:r w:rsidR="003272A5" w:rsidRPr="00322286">
        <w:rPr>
          <w:rFonts w:ascii="Baskerville" w:hAnsi="Baskerville"/>
          <w:sz w:val="28"/>
          <w:szCs w:val="28"/>
          <w:u w:val="single"/>
        </w:rPr>
        <w:t xml:space="preserve">: </w:t>
      </w:r>
      <w:r w:rsidR="00755865">
        <w:rPr>
          <w:rFonts w:ascii="Baskerville" w:hAnsi="Baskerville"/>
          <w:sz w:val="28"/>
          <w:szCs w:val="28"/>
          <w:u w:val="single"/>
        </w:rPr>
        <w:t>Summative</w:t>
      </w:r>
      <w:r w:rsidR="003272A5" w:rsidRPr="00322286">
        <w:rPr>
          <w:rFonts w:ascii="Baskerville" w:hAnsi="Baskerville"/>
          <w:sz w:val="28"/>
          <w:szCs w:val="28"/>
          <w:u w:val="single"/>
        </w:rPr>
        <w:t xml:space="preserve"> Essay</w:t>
      </w:r>
    </w:p>
    <w:p w14:paraId="03A8FD7C" w14:textId="77777777" w:rsidR="00755865" w:rsidRDefault="00755865" w:rsidP="00755865">
      <w:pPr>
        <w:rPr>
          <w:rFonts w:ascii="Baskerville" w:hAnsi="Baskerville"/>
          <w:b/>
          <w:bCs/>
          <w:u w:val="single"/>
        </w:rPr>
      </w:pPr>
    </w:p>
    <w:p w14:paraId="7B423634" w14:textId="621B4372" w:rsidR="00855D60" w:rsidRPr="00855D60" w:rsidRDefault="00E97C88" w:rsidP="00855D60">
      <w:pPr>
        <w:jc w:val="center"/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i/>
          <w:lang w:val="en-US"/>
        </w:rPr>
        <w:t>‘How well does Article 38(1) of the ICJ Statute describe the sources of international law in today’s world?’</w:t>
      </w:r>
    </w:p>
    <w:p w14:paraId="05113785" w14:textId="77777777" w:rsidR="00755865" w:rsidRPr="009971A3" w:rsidRDefault="00755865" w:rsidP="009971A3">
      <w:pPr>
        <w:jc w:val="center"/>
        <w:rPr>
          <w:rFonts w:ascii="Baskerville" w:hAnsi="Baskerville"/>
          <w:b/>
          <w:bCs/>
          <w:u w:val="single"/>
        </w:rPr>
      </w:pPr>
    </w:p>
    <w:p w14:paraId="72CAFAC1" w14:textId="77777777" w:rsidR="003272A5" w:rsidRDefault="003272A5" w:rsidP="003272A5">
      <w:pPr>
        <w:jc w:val="center"/>
        <w:rPr>
          <w:rFonts w:ascii="Baskerville" w:hAnsi="Baskerville"/>
          <w:b/>
          <w:bCs/>
          <w:u w:val="single"/>
          <w:lang w:val="en-US"/>
        </w:rPr>
      </w:pPr>
    </w:p>
    <w:p w14:paraId="0524A9F8" w14:textId="5A06D242" w:rsidR="007F7781" w:rsidRPr="003738A4" w:rsidRDefault="00422264" w:rsidP="003272A5">
      <w:p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u w:val="single"/>
          <w:lang w:val="en-US"/>
        </w:rPr>
        <w:t>Word Count</w:t>
      </w:r>
      <w:r w:rsidR="00454277">
        <w:rPr>
          <w:rFonts w:ascii="Baskerville" w:hAnsi="Baskerville"/>
          <w:b/>
          <w:bCs/>
          <w:u w:val="single"/>
          <w:lang w:val="en-US"/>
        </w:rPr>
        <w:t xml:space="preserve"> (excluding footnotes</w:t>
      </w:r>
      <w:r w:rsidR="00B1385C">
        <w:rPr>
          <w:rFonts w:ascii="Baskerville" w:hAnsi="Baskerville"/>
          <w:b/>
          <w:bCs/>
          <w:u w:val="single"/>
          <w:lang w:val="en-US"/>
        </w:rPr>
        <w:t xml:space="preserve"> and bibliography</w:t>
      </w:r>
      <w:r w:rsidR="00454277">
        <w:rPr>
          <w:rFonts w:ascii="Baskerville" w:hAnsi="Baskerville"/>
          <w:b/>
          <w:bCs/>
          <w:u w:val="single"/>
          <w:lang w:val="en-US"/>
        </w:rPr>
        <w:t>)</w:t>
      </w:r>
      <w:r>
        <w:rPr>
          <w:rFonts w:ascii="Baskerville" w:hAnsi="Baskerville"/>
          <w:b/>
          <w:bCs/>
          <w:u w:val="single"/>
          <w:lang w:val="en-US"/>
        </w:rPr>
        <w:t xml:space="preserve">: </w:t>
      </w:r>
      <w:r w:rsidR="00795091">
        <w:rPr>
          <w:rFonts w:ascii="Baskerville" w:hAnsi="Baskerville"/>
          <w:b/>
          <w:bCs/>
          <w:u w:val="single"/>
          <w:lang w:val="en-US"/>
        </w:rPr>
        <w:t>1</w:t>
      </w:r>
      <w:r>
        <w:rPr>
          <w:rFonts w:ascii="Baskerville" w:hAnsi="Baskerville"/>
          <w:b/>
          <w:bCs/>
          <w:u w:val="single"/>
          <w:lang w:val="en-US"/>
        </w:rPr>
        <w:t>,</w:t>
      </w:r>
      <w:r w:rsidR="00795091">
        <w:rPr>
          <w:rFonts w:ascii="Baskerville" w:hAnsi="Baskerville"/>
          <w:b/>
          <w:bCs/>
          <w:u w:val="single"/>
          <w:lang w:val="en-US"/>
        </w:rPr>
        <w:t>95</w:t>
      </w:r>
      <w:r w:rsidR="00A314F7">
        <w:rPr>
          <w:rFonts w:ascii="Baskerville" w:hAnsi="Baskerville"/>
          <w:b/>
          <w:bCs/>
          <w:u w:val="single"/>
          <w:lang w:val="en-US"/>
        </w:rPr>
        <w:t>6</w:t>
      </w:r>
      <w:r w:rsidR="003272A5">
        <w:rPr>
          <w:rFonts w:ascii="Baskerville" w:hAnsi="Baskerville"/>
          <w:b/>
          <w:bCs/>
          <w:u w:val="single"/>
          <w:lang w:val="en-US"/>
        </w:rPr>
        <w:t xml:space="preserve"> words</w:t>
      </w:r>
    </w:p>
    <w:p w14:paraId="42B85A8E" w14:textId="77777777" w:rsidR="007373DA" w:rsidRDefault="007373DA" w:rsidP="003272A5">
      <w:pPr>
        <w:rPr>
          <w:rFonts w:ascii="Baskerville" w:hAnsi="Baskerville"/>
          <w:b/>
          <w:bCs/>
          <w:u w:val="single"/>
          <w:lang w:val="en-US"/>
        </w:rPr>
      </w:pPr>
    </w:p>
    <w:p w14:paraId="1432A394" w14:textId="48DD89E4" w:rsidR="00A452E2" w:rsidRDefault="004905BA" w:rsidP="002E4B20">
      <w:p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u w:val="single"/>
          <w:lang w:val="en-US"/>
        </w:rPr>
        <w:t>Introduction</w:t>
      </w:r>
    </w:p>
    <w:p w14:paraId="5BEC9658" w14:textId="77777777" w:rsidR="00D31BB0" w:rsidRDefault="00D31BB0" w:rsidP="002E4B20">
      <w:pPr>
        <w:rPr>
          <w:rFonts w:ascii="Baskerville" w:hAnsi="Baskerville"/>
          <w:b/>
          <w:bCs/>
          <w:u w:val="single"/>
          <w:lang w:val="en-US"/>
        </w:rPr>
      </w:pPr>
    </w:p>
    <w:p w14:paraId="51A3A5ED" w14:textId="604A9A19" w:rsidR="00C522EA" w:rsidRDefault="00724504" w:rsidP="00C522EA">
      <w:pPr>
        <w:rPr>
          <w:rFonts w:ascii="Baskerville" w:hAnsi="Baskerville"/>
          <w:bCs/>
        </w:rPr>
      </w:pPr>
      <w:r w:rsidRPr="00724504">
        <w:rPr>
          <w:rFonts w:ascii="Baskerville" w:hAnsi="Baskerville"/>
          <w:lang w:val="en-US"/>
        </w:rPr>
        <w:t xml:space="preserve">Where does Article 38(1) of the </w:t>
      </w:r>
      <w:r w:rsidR="00522CDA">
        <w:rPr>
          <w:rFonts w:ascii="Baskerville" w:hAnsi="Baskerville"/>
          <w:lang w:val="en-US"/>
        </w:rPr>
        <w:t xml:space="preserve">Statute of the </w:t>
      </w:r>
      <w:r w:rsidR="00522CDA" w:rsidRPr="00522CDA">
        <w:rPr>
          <w:rFonts w:ascii="Baskerville" w:hAnsi="Baskerville"/>
          <w:lang w:val="en-US"/>
        </w:rPr>
        <w:t>International Court of Justice</w:t>
      </w:r>
      <w:r w:rsidR="00D3253D">
        <w:rPr>
          <w:rFonts w:ascii="Baskerville" w:hAnsi="Baskerville"/>
          <w:lang w:val="en-US"/>
        </w:rPr>
        <w:t xml:space="preserve"> (ICJ)</w:t>
      </w:r>
      <w:r w:rsidR="00522CDA">
        <w:rPr>
          <w:rFonts w:ascii="Baskerville" w:hAnsi="Baskerville"/>
          <w:lang w:val="en-US"/>
        </w:rPr>
        <w:t xml:space="preserve"> </w:t>
      </w:r>
      <w:r w:rsidRPr="00724504">
        <w:rPr>
          <w:rFonts w:ascii="Baskerville" w:hAnsi="Baskerville"/>
          <w:lang w:val="en-US"/>
        </w:rPr>
        <w:t>stand today?</w:t>
      </w:r>
      <w:r w:rsidRPr="005013BD">
        <w:rPr>
          <w:rFonts w:ascii="Baskerville" w:hAnsi="Baskerville"/>
          <w:color w:val="FF0000"/>
          <w:lang w:val="en-US"/>
        </w:rPr>
        <w:t xml:space="preserve"> </w:t>
      </w:r>
      <w:r w:rsidRPr="001305EC">
        <w:rPr>
          <w:rFonts w:ascii="Baskerville" w:hAnsi="Baskerville"/>
          <w:lang w:val="en-US"/>
        </w:rPr>
        <w:t xml:space="preserve">Traditionally, Article 38(1) has </w:t>
      </w:r>
      <w:r w:rsidR="00540A18" w:rsidRPr="001305EC">
        <w:rPr>
          <w:rFonts w:ascii="Baskerville" w:hAnsi="Baskerville"/>
          <w:lang w:val="en-US"/>
        </w:rPr>
        <w:t>been</w:t>
      </w:r>
      <w:r w:rsidR="00540A18">
        <w:rPr>
          <w:rFonts w:ascii="Baskerville" w:hAnsi="Baskerville"/>
          <w:lang w:val="en-US"/>
        </w:rPr>
        <w:t xml:space="preserve"> used as </w:t>
      </w:r>
      <w:r w:rsidRPr="001305EC">
        <w:rPr>
          <w:rFonts w:ascii="Baskerville" w:hAnsi="Baskerville"/>
          <w:lang w:val="en-US"/>
        </w:rPr>
        <w:t>a handy guide to determin</w:t>
      </w:r>
      <w:r w:rsidR="00C522EA">
        <w:rPr>
          <w:rFonts w:ascii="Baskerville" w:hAnsi="Baskerville"/>
          <w:lang w:val="en-US"/>
        </w:rPr>
        <w:t>e</w:t>
      </w:r>
      <w:r w:rsidRPr="001305EC">
        <w:rPr>
          <w:rFonts w:ascii="Baskerville" w:hAnsi="Baskerville"/>
          <w:lang w:val="en-US"/>
        </w:rPr>
        <w:t xml:space="preserve"> the sources of international law and ‘to gauge the pulse of the law’.</w:t>
      </w:r>
      <w:r w:rsidRPr="001305EC">
        <w:rPr>
          <w:rStyle w:val="FootnoteReference"/>
          <w:rFonts w:ascii="Baskerville" w:hAnsi="Baskerville"/>
          <w:lang w:val="en-US"/>
        </w:rPr>
        <w:footnoteReference w:id="1"/>
      </w:r>
      <w:r w:rsidRPr="001305EC">
        <w:rPr>
          <w:rFonts w:ascii="Baskerville" w:hAnsi="Baskerville"/>
          <w:lang w:val="en-US"/>
        </w:rPr>
        <w:t xml:space="preserve"> However, </w:t>
      </w:r>
      <w:r w:rsidR="00FE46F5" w:rsidRPr="001305EC">
        <w:rPr>
          <w:rFonts w:ascii="Baskerville" w:hAnsi="Baskerville"/>
          <w:lang w:val="en-US"/>
        </w:rPr>
        <w:t>if</w:t>
      </w:r>
      <w:r w:rsidRPr="001305EC">
        <w:rPr>
          <w:rFonts w:ascii="Baskerville" w:hAnsi="Baskerville"/>
          <w:lang w:val="en-US"/>
        </w:rPr>
        <w:t xml:space="preserve"> we examin</w:t>
      </w:r>
      <w:r w:rsidRPr="00724504">
        <w:rPr>
          <w:rFonts w:ascii="Baskerville" w:hAnsi="Baskerville"/>
          <w:lang w:val="en-US"/>
        </w:rPr>
        <w:t>e the core principles and the language of Article 38, we can observe that ‘it is fraught with redundant information and irregularities, and needs to be reviewed’.</w:t>
      </w:r>
      <w:r w:rsidRPr="00724504">
        <w:rPr>
          <w:rStyle w:val="FootnoteReference"/>
          <w:rFonts w:ascii="Baskerville" w:hAnsi="Baskerville"/>
          <w:lang w:val="en-US"/>
        </w:rPr>
        <w:footnoteReference w:id="2"/>
      </w:r>
      <w:r w:rsidR="00E8217D">
        <w:rPr>
          <w:rFonts w:ascii="Baskerville" w:hAnsi="Baskerville"/>
          <w:lang w:val="en-US"/>
        </w:rPr>
        <w:t xml:space="preserve"> </w:t>
      </w:r>
      <w:r w:rsidR="008E74EC">
        <w:rPr>
          <w:rFonts w:ascii="Baskerville" w:hAnsi="Baskerville"/>
          <w:lang w:val="en-US"/>
        </w:rPr>
        <w:t>Given</w:t>
      </w:r>
      <w:r w:rsidR="00C522EA">
        <w:rPr>
          <w:rFonts w:ascii="Baskerville" w:hAnsi="Baskerville"/>
          <w:lang w:val="en-US"/>
        </w:rPr>
        <w:t xml:space="preserve"> that</w:t>
      </w:r>
      <w:r w:rsidR="00C522EA" w:rsidRPr="00C522EA">
        <w:rPr>
          <w:rFonts w:ascii="Baskerville" w:hAnsi="Baskerville"/>
          <w:bCs/>
        </w:rPr>
        <w:t xml:space="preserve"> </w:t>
      </w:r>
      <w:r w:rsidR="00C522EA" w:rsidRPr="00BC2950">
        <w:rPr>
          <w:rFonts w:ascii="Baskerville" w:hAnsi="Baskerville"/>
          <w:bCs/>
        </w:rPr>
        <w:t>Article 38 of the Statute of the ICJ does not purport to be a definitive statement on th</w:t>
      </w:r>
      <w:r w:rsidR="00C522EA">
        <w:rPr>
          <w:rFonts w:ascii="Baskerville" w:hAnsi="Baskerville"/>
          <w:bCs/>
        </w:rPr>
        <w:t xml:space="preserve">e sources of international law, it may be more accurate to argue that the provision is a </w:t>
      </w:r>
      <w:r w:rsidR="00AE5265">
        <w:rPr>
          <w:rFonts w:ascii="Baskerville" w:hAnsi="Baskerville"/>
          <w:bCs/>
        </w:rPr>
        <w:t>non-exhaustive</w:t>
      </w:r>
      <w:r w:rsidR="00C522EA">
        <w:rPr>
          <w:rFonts w:ascii="Baskerville" w:hAnsi="Baskerville"/>
          <w:bCs/>
        </w:rPr>
        <w:t xml:space="preserve"> description </w:t>
      </w:r>
      <w:r w:rsidR="00103959">
        <w:rPr>
          <w:rFonts w:ascii="Baskerville" w:hAnsi="Baskerville"/>
          <w:bCs/>
        </w:rPr>
        <w:t xml:space="preserve">of </w:t>
      </w:r>
      <w:r w:rsidR="00C522EA">
        <w:rPr>
          <w:rFonts w:ascii="Baskerville" w:hAnsi="Baskerville"/>
          <w:bCs/>
        </w:rPr>
        <w:t xml:space="preserve">the sources </w:t>
      </w:r>
      <w:r w:rsidR="007930A8">
        <w:rPr>
          <w:rFonts w:ascii="Baskerville" w:hAnsi="Baskerville"/>
          <w:bCs/>
        </w:rPr>
        <w:t>because</w:t>
      </w:r>
      <w:r w:rsidR="00C522EA">
        <w:rPr>
          <w:rFonts w:ascii="Baskerville" w:hAnsi="Baskerville"/>
          <w:bCs/>
        </w:rPr>
        <w:t xml:space="preserve"> it merely </w:t>
      </w:r>
      <w:r w:rsidR="00C522EA" w:rsidRPr="00BC2950">
        <w:rPr>
          <w:rFonts w:ascii="Baskerville" w:hAnsi="Baskerville"/>
          <w:bCs/>
        </w:rPr>
        <w:t xml:space="preserve">expresses the </w:t>
      </w:r>
      <w:r w:rsidR="00CB7377">
        <w:rPr>
          <w:rFonts w:ascii="Baskerville" w:hAnsi="Baskerville"/>
          <w:bCs/>
        </w:rPr>
        <w:t>‘</w:t>
      </w:r>
      <w:r w:rsidR="00C522EA" w:rsidRPr="00BC2950">
        <w:rPr>
          <w:rFonts w:ascii="Baskerville" w:hAnsi="Baskerville"/>
          <w:bCs/>
        </w:rPr>
        <w:t>universal perception</w:t>
      </w:r>
      <w:r w:rsidR="00CB7377">
        <w:rPr>
          <w:rFonts w:ascii="Baskerville" w:hAnsi="Baskerville"/>
          <w:bCs/>
        </w:rPr>
        <w:t>’</w:t>
      </w:r>
      <w:r w:rsidR="00C522EA" w:rsidRPr="00BC2950">
        <w:rPr>
          <w:rFonts w:ascii="Baskerville" w:hAnsi="Baskerville"/>
          <w:bCs/>
        </w:rPr>
        <w:t xml:space="preserve"> as to the </w:t>
      </w:r>
      <w:r w:rsidR="00B029E9">
        <w:rPr>
          <w:rFonts w:ascii="Baskerville" w:hAnsi="Baskerville"/>
          <w:bCs/>
        </w:rPr>
        <w:t>identification</w:t>
      </w:r>
      <w:r w:rsidR="00C522EA" w:rsidRPr="00BC2950">
        <w:rPr>
          <w:rFonts w:ascii="Baskerville" w:hAnsi="Baskerville"/>
          <w:bCs/>
        </w:rPr>
        <w:t xml:space="preserve"> </w:t>
      </w:r>
      <w:r w:rsidR="00C522EA">
        <w:rPr>
          <w:rFonts w:ascii="Baskerville" w:hAnsi="Baskerville"/>
          <w:bCs/>
        </w:rPr>
        <w:t>of</w:t>
      </w:r>
      <w:r w:rsidR="00B029E9">
        <w:rPr>
          <w:rFonts w:ascii="Baskerville" w:hAnsi="Baskerville"/>
          <w:bCs/>
        </w:rPr>
        <w:t xml:space="preserve"> the</w:t>
      </w:r>
      <w:r w:rsidR="00C522EA">
        <w:rPr>
          <w:rFonts w:ascii="Baskerville" w:hAnsi="Baskerville"/>
          <w:bCs/>
        </w:rPr>
        <w:t xml:space="preserve"> sources of international law.</w:t>
      </w:r>
      <w:r w:rsidR="0071454E">
        <w:rPr>
          <w:rStyle w:val="FootnoteReference"/>
          <w:rFonts w:ascii="Baskerville" w:hAnsi="Baskerville"/>
          <w:bCs/>
        </w:rPr>
        <w:footnoteReference w:id="3"/>
      </w:r>
    </w:p>
    <w:p w14:paraId="43351F26" w14:textId="77777777" w:rsidR="00B77922" w:rsidRDefault="00B77922" w:rsidP="00724504">
      <w:pPr>
        <w:rPr>
          <w:rFonts w:ascii="Baskerville" w:hAnsi="Baskerville"/>
          <w:lang w:val="en-US"/>
        </w:rPr>
      </w:pPr>
    </w:p>
    <w:p w14:paraId="1AB919DF" w14:textId="05B09815" w:rsidR="001C4D08" w:rsidRDefault="00B77922" w:rsidP="00B77922">
      <w:pPr>
        <w:rPr>
          <w:rFonts w:ascii="Baskerville" w:hAnsi="Baskerville"/>
          <w:lang w:val="en-US"/>
        </w:rPr>
      </w:pPr>
      <w:r w:rsidRPr="00B77922">
        <w:rPr>
          <w:rFonts w:ascii="Baskerville" w:hAnsi="Baskerville"/>
          <w:lang w:val="en-US"/>
        </w:rPr>
        <w:t xml:space="preserve">Article 38(1) of the Statute of the </w:t>
      </w:r>
      <w:r w:rsidR="00834DB8">
        <w:rPr>
          <w:rFonts w:ascii="Baskerville" w:hAnsi="Baskerville"/>
          <w:lang w:val="en-US"/>
        </w:rPr>
        <w:t>ICJ</w:t>
      </w:r>
      <w:r w:rsidRPr="00B77922">
        <w:rPr>
          <w:rFonts w:ascii="Baskerville" w:hAnsi="Baskerville"/>
          <w:lang w:val="en-US"/>
        </w:rPr>
        <w:t xml:space="preserve"> is </w:t>
      </w:r>
      <w:r>
        <w:rPr>
          <w:rFonts w:ascii="Baskerville" w:hAnsi="Baskerville"/>
          <w:lang w:val="en-US"/>
        </w:rPr>
        <w:t>widely</w:t>
      </w:r>
      <w:r w:rsidRPr="00B77922">
        <w:rPr>
          <w:rFonts w:ascii="Baskerville" w:hAnsi="Baskerville"/>
          <w:lang w:val="en-US"/>
        </w:rPr>
        <w:t xml:space="preserve"> accepted as the most authoritative statement </w:t>
      </w:r>
      <w:r>
        <w:rPr>
          <w:rFonts w:ascii="Baskerville" w:hAnsi="Baskerville"/>
          <w:lang w:val="en-US"/>
        </w:rPr>
        <w:t>on</w:t>
      </w:r>
      <w:r w:rsidRPr="00B77922">
        <w:rPr>
          <w:rFonts w:ascii="Baskerville" w:hAnsi="Baskerville"/>
          <w:lang w:val="en-US"/>
        </w:rPr>
        <w:t xml:space="preserve"> the sources of international law.</w:t>
      </w:r>
      <w:r w:rsidR="00222554">
        <w:rPr>
          <w:rStyle w:val="FootnoteReference"/>
          <w:rFonts w:ascii="Baskerville" w:hAnsi="Baskerville"/>
          <w:lang w:val="en-US"/>
        </w:rPr>
        <w:footnoteReference w:id="4"/>
      </w:r>
      <w:r w:rsidRPr="00B77922">
        <w:rPr>
          <w:rFonts w:ascii="Baskerville" w:hAnsi="Baskerville"/>
          <w:lang w:val="en-US"/>
        </w:rPr>
        <w:t xml:space="preserve"> </w:t>
      </w:r>
      <w:r w:rsidR="007930A8">
        <w:rPr>
          <w:rFonts w:ascii="Baskerville" w:hAnsi="Baskerville"/>
          <w:lang w:val="en-US"/>
        </w:rPr>
        <w:t>It specifies that:</w:t>
      </w:r>
    </w:p>
    <w:p w14:paraId="598179C6" w14:textId="77777777" w:rsidR="001E44C8" w:rsidRDefault="001E44C8" w:rsidP="00B77922">
      <w:pPr>
        <w:rPr>
          <w:rFonts w:ascii="Baskerville" w:hAnsi="Baskerville"/>
          <w:lang w:val="en-US"/>
        </w:rPr>
      </w:pPr>
    </w:p>
    <w:p w14:paraId="7B183EB3" w14:textId="1B3A4DED" w:rsidR="00C522EA" w:rsidRPr="00BC2950" w:rsidRDefault="007930A8" w:rsidP="007930A8">
      <w:pPr>
        <w:ind w:left="567" w:right="645"/>
        <w:rPr>
          <w:rFonts w:ascii="Baskerville" w:hAnsi="Baskerville"/>
          <w:bCs/>
        </w:rPr>
      </w:pPr>
      <w:r>
        <w:rPr>
          <w:rFonts w:ascii="Baskerville" w:hAnsi="Baskerville"/>
          <w:bCs/>
        </w:rPr>
        <w:t>‘</w:t>
      </w:r>
      <w:r w:rsidR="00C522EA" w:rsidRPr="00BC2950">
        <w:rPr>
          <w:rFonts w:ascii="Baskerville" w:hAnsi="Baskerville"/>
          <w:bCs/>
        </w:rPr>
        <w:t>(1) The Court, whose function is to decide in accordance with international law such disputes as are submitted to it, shall apply:</w:t>
      </w:r>
    </w:p>
    <w:p w14:paraId="6C2A5CAD" w14:textId="77777777" w:rsidR="00C522EA" w:rsidRPr="00BC2950" w:rsidRDefault="00C522EA" w:rsidP="007930A8">
      <w:pPr>
        <w:ind w:left="567" w:right="929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(a) </w:t>
      </w:r>
      <w:r w:rsidRPr="00DE4312">
        <w:rPr>
          <w:rFonts w:ascii="Baskerville" w:hAnsi="Baskerville"/>
          <w:b/>
          <w:bCs/>
        </w:rPr>
        <w:t>international conventions</w:t>
      </w:r>
      <w:r w:rsidRPr="00BC2950">
        <w:rPr>
          <w:rFonts w:ascii="Baskerville" w:hAnsi="Baskerville"/>
          <w:bCs/>
        </w:rPr>
        <w:t>, whether general or particular, establishing rules expressly recognized by the contesting states;</w:t>
      </w:r>
    </w:p>
    <w:p w14:paraId="3032383C" w14:textId="77777777" w:rsidR="00C522EA" w:rsidRPr="00BC2950" w:rsidRDefault="00C522EA" w:rsidP="007930A8">
      <w:pPr>
        <w:ind w:left="567" w:right="503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(b) </w:t>
      </w:r>
      <w:r w:rsidRPr="00DE4312">
        <w:rPr>
          <w:rFonts w:ascii="Baskerville" w:hAnsi="Baskerville"/>
          <w:b/>
          <w:bCs/>
        </w:rPr>
        <w:t>international custom</w:t>
      </w:r>
      <w:r w:rsidRPr="00BC2950">
        <w:rPr>
          <w:rFonts w:ascii="Baskerville" w:hAnsi="Baskerville"/>
          <w:bCs/>
        </w:rPr>
        <w:t>, as evidence of a general practice accepted as law;</w:t>
      </w:r>
    </w:p>
    <w:p w14:paraId="11A4121E" w14:textId="77777777" w:rsidR="00C522EA" w:rsidRPr="00BC2950" w:rsidRDefault="00C522EA" w:rsidP="007930A8">
      <w:pPr>
        <w:ind w:left="567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(c) </w:t>
      </w:r>
      <w:r w:rsidRPr="00DE4312">
        <w:rPr>
          <w:rFonts w:ascii="Baskerville" w:hAnsi="Baskerville"/>
          <w:b/>
          <w:bCs/>
        </w:rPr>
        <w:t>the general principles of law</w:t>
      </w:r>
      <w:r w:rsidRPr="00BC2950">
        <w:rPr>
          <w:rFonts w:ascii="Baskerville" w:hAnsi="Baskerville"/>
          <w:bCs/>
        </w:rPr>
        <w:t xml:space="preserve"> recognized by civilized nations;</w:t>
      </w:r>
    </w:p>
    <w:p w14:paraId="1DA33F1E" w14:textId="210F06B1" w:rsidR="001C4D08" w:rsidRDefault="00C522EA" w:rsidP="001C4D08">
      <w:pPr>
        <w:ind w:left="567" w:right="929"/>
        <w:rPr>
          <w:rFonts w:ascii="Baskerville" w:hAnsi="Baskerville"/>
          <w:bCs/>
        </w:rPr>
      </w:pPr>
      <w:r w:rsidRPr="00BC2950">
        <w:rPr>
          <w:rFonts w:ascii="Baskerville" w:hAnsi="Baskerville"/>
          <w:bCs/>
        </w:rPr>
        <w:t xml:space="preserve">(d) subject to the provisions of Article 59, </w:t>
      </w:r>
      <w:r w:rsidRPr="00DE4312">
        <w:rPr>
          <w:rFonts w:ascii="Baskerville" w:hAnsi="Baskerville"/>
          <w:b/>
          <w:bCs/>
        </w:rPr>
        <w:t>judicial decisions</w:t>
      </w:r>
      <w:r w:rsidRPr="00BC2950">
        <w:rPr>
          <w:rFonts w:ascii="Baskerville" w:hAnsi="Baskerville"/>
          <w:bCs/>
        </w:rPr>
        <w:t xml:space="preserve"> and the teachings of the most highly qualified publicists of the various nations, as subsidiary means for the determination of rules of law.</w:t>
      </w:r>
      <w:r w:rsidR="007930A8">
        <w:rPr>
          <w:rFonts w:ascii="Baskerville" w:hAnsi="Baskerville"/>
          <w:bCs/>
        </w:rPr>
        <w:t>’</w:t>
      </w:r>
      <w:r w:rsidR="008B6281">
        <w:rPr>
          <w:rStyle w:val="FootnoteReference"/>
          <w:rFonts w:ascii="Baskerville" w:hAnsi="Baskerville"/>
          <w:bCs/>
        </w:rPr>
        <w:footnoteReference w:id="5"/>
      </w:r>
    </w:p>
    <w:p w14:paraId="57298DB9" w14:textId="77777777" w:rsidR="001E44C8" w:rsidRPr="001C4D08" w:rsidRDefault="001E44C8" w:rsidP="001C4D08">
      <w:pPr>
        <w:ind w:left="567" w:right="929"/>
        <w:rPr>
          <w:rFonts w:ascii="Baskerville" w:hAnsi="Baskerville"/>
          <w:bCs/>
        </w:rPr>
      </w:pPr>
    </w:p>
    <w:p w14:paraId="20B0CCE6" w14:textId="21C68A3D" w:rsidR="001E44C8" w:rsidRDefault="00E518A7" w:rsidP="000D0AA6">
      <w:pPr>
        <w:rPr>
          <w:rFonts w:ascii="Baskerville" w:hAnsi="Baskerville"/>
          <w:iCs/>
          <w:lang w:val="en-US"/>
        </w:rPr>
      </w:pPr>
      <w:r w:rsidRPr="00DD536B">
        <w:rPr>
          <w:rFonts w:ascii="Baskerville" w:hAnsi="Baskerville"/>
          <w:iCs/>
          <w:lang w:val="en-US"/>
        </w:rPr>
        <w:t>However, the world of international law has changed considerably since these provisions were first drafted. There were a mere forty nation-states</w:t>
      </w:r>
      <w:r w:rsidR="00E06828" w:rsidRPr="00DD536B">
        <w:rPr>
          <w:rFonts w:ascii="Baskerville" w:hAnsi="Baskerville"/>
          <w:iCs/>
          <w:lang w:val="en-US"/>
        </w:rPr>
        <w:t xml:space="preserve"> </w:t>
      </w:r>
      <w:r w:rsidRPr="00DD536B">
        <w:rPr>
          <w:rFonts w:ascii="Baskerville" w:hAnsi="Baskerville"/>
          <w:iCs/>
          <w:lang w:val="en-US"/>
        </w:rPr>
        <w:t xml:space="preserve">when the Statute of the ICJ was first conceived </w:t>
      </w:r>
      <w:r w:rsidR="00646D19">
        <w:rPr>
          <w:rFonts w:ascii="Baskerville" w:hAnsi="Baskerville"/>
          <w:iCs/>
          <w:lang w:val="en-US"/>
        </w:rPr>
        <w:t xml:space="preserve">in 1945 </w:t>
      </w:r>
      <w:r w:rsidRPr="00DD536B">
        <w:rPr>
          <w:rFonts w:ascii="Baskerville" w:hAnsi="Baskerville"/>
          <w:iCs/>
          <w:lang w:val="en-US"/>
        </w:rPr>
        <w:t>and now we live in a world comprising nearly 200 states</w:t>
      </w:r>
      <w:r w:rsidR="00B358B5">
        <w:rPr>
          <w:rFonts w:ascii="Baskerville" w:hAnsi="Baskerville"/>
          <w:iCs/>
          <w:lang w:val="en-US"/>
        </w:rPr>
        <w:t xml:space="preserve">. </w:t>
      </w:r>
      <w:r w:rsidRPr="00DD536B">
        <w:rPr>
          <w:rFonts w:ascii="Baskerville" w:hAnsi="Baskerville"/>
          <w:iCs/>
          <w:lang w:val="en-US"/>
        </w:rPr>
        <w:t>Relying on scholarly opinion has resultantly become a less feasible practice.</w:t>
      </w:r>
      <w:r w:rsidRPr="00E518A7">
        <w:rPr>
          <w:rFonts w:ascii="Baskerville" w:hAnsi="Baskerville"/>
          <w:iCs/>
          <w:color w:val="FF0000"/>
          <w:lang w:val="en-US"/>
        </w:rPr>
        <w:t xml:space="preserve"> </w:t>
      </w:r>
      <w:r w:rsidR="00446BA4">
        <w:rPr>
          <w:rFonts w:ascii="Baskerville" w:hAnsi="Baskerville"/>
          <w:lang w:val="en-US"/>
        </w:rPr>
        <w:t>Furthermore, t</w:t>
      </w:r>
      <w:r w:rsidR="00446BA4" w:rsidRPr="00652B27">
        <w:rPr>
          <w:rFonts w:ascii="Baskerville" w:hAnsi="Baskerville"/>
          <w:lang w:val="en-US"/>
        </w:rPr>
        <w:t xml:space="preserve">he hierarchical arrangement of the sources </w:t>
      </w:r>
      <w:r w:rsidR="00446BA4">
        <w:rPr>
          <w:rFonts w:ascii="Baskerville" w:hAnsi="Baskerville"/>
          <w:lang w:val="en-US"/>
        </w:rPr>
        <w:t xml:space="preserve">in Article 38(1) </w:t>
      </w:r>
      <w:r w:rsidR="00446BA4" w:rsidRPr="00652B27">
        <w:rPr>
          <w:rFonts w:ascii="Baskerville" w:hAnsi="Baskerville"/>
          <w:lang w:val="en-US"/>
        </w:rPr>
        <w:t xml:space="preserve">themselves </w:t>
      </w:r>
      <w:r w:rsidR="00446BA4" w:rsidRPr="00652B27">
        <w:rPr>
          <w:rFonts w:ascii="Baskerville" w:hAnsi="Baskerville"/>
          <w:lang w:val="en-US"/>
        </w:rPr>
        <w:lastRenderedPageBreak/>
        <w:t>is misleading.</w:t>
      </w:r>
      <w:r w:rsidR="00446BA4">
        <w:rPr>
          <w:rFonts w:ascii="Baskerville" w:hAnsi="Baskerville"/>
          <w:lang w:val="en-US"/>
        </w:rPr>
        <w:t xml:space="preserve"> </w:t>
      </w:r>
      <w:r w:rsidR="00D75CC4">
        <w:rPr>
          <w:rFonts w:ascii="Baskerville" w:hAnsi="Baskerville"/>
          <w:lang w:val="en-US"/>
        </w:rPr>
        <w:t xml:space="preserve">Article 38(1) is </w:t>
      </w:r>
      <w:r w:rsidR="00D75CC4" w:rsidRPr="00652B27">
        <w:rPr>
          <w:rFonts w:ascii="Baskerville" w:hAnsi="Baskerville"/>
          <w:lang w:val="en-US"/>
        </w:rPr>
        <w:t xml:space="preserve">not based on </w:t>
      </w:r>
      <w:r w:rsidR="00D75CC4" w:rsidRPr="00652B27">
        <w:rPr>
          <w:rFonts w:ascii="Baskerville" w:hAnsi="Baskerville"/>
          <w:i/>
          <w:iCs/>
          <w:lang w:val="en-US"/>
        </w:rPr>
        <w:t>lex specialis derogat generali</w:t>
      </w:r>
      <w:r w:rsidR="00D75CC4" w:rsidRPr="00652B27">
        <w:rPr>
          <w:rFonts w:ascii="Baskerville" w:hAnsi="Baskerville"/>
          <w:lang w:val="en-US"/>
        </w:rPr>
        <w:t xml:space="preserve"> (‘a law governing a specific subject matter overrides a law that only governs general matters’) and it should </w:t>
      </w:r>
      <w:r w:rsidR="00D75CC4">
        <w:rPr>
          <w:rFonts w:ascii="Baskerville" w:hAnsi="Baskerville"/>
          <w:lang w:val="en-US"/>
        </w:rPr>
        <w:t xml:space="preserve">therefore </w:t>
      </w:r>
      <w:r w:rsidR="00D75CC4" w:rsidRPr="00652B27">
        <w:rPr>
          <w:rFonts w:ascii="Baskerville" w:hAnsi="Baskerville"/>
          <w:lang w:val="en-US"/>
        </w:rPr>
        <w:t xml:space="preserve">not </w:t>
      </w:r>
      <w:r w:rsidR="00D75CC4">
        <w:rPr>
          <w:rFonts w:ascii="Baskerville" w:hAnsi="Baskerville"/>
          <w:lang w:val="en-US"/>
        </w:rPr>
        <w:t>include</w:t>
      </w:r>
      <w:r w:rsidR="00D75CC4" w:rsidRPr="00652B27">
        <w:rPr>
          <w:rFonts w:ascii="Baskerville" w:hAnsi="Baskerville"/>
          <w:lang w:val="en-US"/>
        </w:rPr>
        <w:t xml:space="preserve"> a hierarchy. </w:t>
      </w:r>
      <w:r w:rsidR="004073FB" w:rsidRPr="004073FB">
        <w:rPr>
          <w:rFonts w:ascii="Baskerville" w:hAnsi="Baskerville"/>
          <w:iCs/>
          <w:lang w:val="en-US"/>
        </w:rPr>
        <w:t xml:space="preserve">In order to determine whether the sources of international law contained in Article 38(1) are still authoritative today, we must examine each subsection </w:t>
      </w:r>
      <w:r w:rsidR="001C4D08">
        <w:rPr>
          <w:rFonts w:ascii="Baskerville" w:hAnsi="Baskerville"/>
          <w:iCs/>
          <w:lang w:val="en-US"/>
        </w:rPr>
        <w:t xml:space="preserve">of this provision </w:t>
      </w:r>
      <w:r w:rsidR="004073FB" w:rsidRPr="004073FB">
        <w:rPr>
          <w:rFonts w:ascii="Baskerville" w:hAnsi="Baskerville"/>
          <w:iCs/>
          <w:lang w:val="en-US"/>
        </w:rPr>
        <w:t>in further detail.</w:t>
      </w:r>
    </w:p>
    <w:p w14:paraId="49CACA20" w14:textId="77777777" w:rsidR="003D2485" w:rsidRDefault="003D2485" w:rsidP="00606B49">
      <w:pPr>
        <w:rPr>
          <w:rFonts w:ascii="Baskerville" w:hAnsi="Baskerville"/>
          <w:iCs/>
          <w:lang w:val="en-US"/>
        </w:rPr>
      </w:pPr>
    </w:p>
    <w:p w14:paraId="0DAC27A6" w14:textId="45FA79B0" w:rsidR="00DC25D5" w:rsidRPr="006F1F7E" w:rsidRDefault="00DC25D5" w:rsidP="00606B49">
      <w:pPr>
        <w:rPr>
          <w:rFonts w:ascii="Baskerville" w:hAnsi="Baskerville"/>
          <w:b/>
          <w:iCs/>
          <w:u w:val="single"/>
        </w:rPr>
      </w:pPr>
      <w:r w:rsidRPr="006F1F7E">
        <w:rPr>
          <w:rFonts w:ascii="Baskerville" w:hAnsi="Baskerville"/>
          <w:b/>
          <w:iCs/>
          <w:u w:val="single"/>
        </w:rPr>
        <w:t>Article 38(1)(a): International Conventions</w:t>
      </w:r>
    </w:p>
    <w:p w14:paraId="5C4CB922" w14:textId="77777777" w:rsidR="00CC3008" w:rsidRPr="00265953" w:rsidRDefault="00CC3008" w:rsidP="00606B49">
      <w:pPr>
        <w:rPr>
          <w:rFonts w:ascii="Baskerville" w:hAnsi="Baskerville"/>
          <w:iCs/>
          <w:color w:val="FF0000"/>
        </w:rPr>
      </w:pPr>
    </w:p>
    <w:p w14:paraId="70B842CA" w14:textId="0E31A2C3" w:rsidR="002210F0" w:rsidRDefault="00480238" w:rsidP="002210F0">
      <w:pPr>
        <w:rPr>
          <w:rFonts w:ascii="Baskerville" w:hAnsi="Baskerville"/>
          <w:color w:val="FF0000"/>
        </w:rPr>
      </w:pPr>
      <w:r w:rsidRPr="00480238">
        <w:rPr>
          <w:rFonts w:ascii="Baskerville" w:hAnsi="Baskerville"/>
          <w:iCs/>
          <w:lang w:val="en-US"/>
        </w:rPr>
        <w:t>Article 38 requires the ICJ to apply international conventions (that the contesting states expressly recognise), international custom (to show a general practice accepted as law), judicial decisions, general principles of law and ‘juristic writings as means for the determination of rules of law’.</w:t>
      </w:r>
      <w:r w:rsidRPr="00480238">
        <w:rPr>
          <w:rFonts w:ascii="Baskerville" w:hAnsi="Baskerville"/>
          <w:iCs/>
          <w:vertAlign w:val="superscript"/>
          <w:lang w:val="en-US"/>
        </w:rPr>
        <w:footnoteReference w:id="6"/>
      </w:r>
      <w:r w:rsidRPr="00480238">
        <w:rPr>
          <w:rFonts w:ascii="Baskerville" w:hAnsi="Baskerville"/>
          <w:iCs/>
          <w:lang w:val="en-US"/>
        </w:rPr>
        <w:t xml:space="preserve"> Clause 2 of the Article describes the settlement of disputes </w:t>
      </w:r>
      <w:r w:rsidRPr="00480238">
        <w:rPr>
          <w:rFonts w:ascii="Baskerville" w:hAnsi="Baskerville"/>
          <w:i/>
          <w:iCs/>
          <w:lang w:val="en-US"/>
        </w:rPr>
        <w:t>ex aequo et bono</w:t>
      </w:r>
      <w:r w:rsidRPr="00480238">
        <w:rPr>
          <w:rFonts w:ascii="Baskerville" w:hAnsi="Baskerville"/>
          <w:iCs/>
          <w:lang w:val="en-US"/>
        </w:rPr>
        <w:t xml:space="preserve"> (‘in keeping with equity and good conscience’) and without prejudice to the authority of the Court.</w:t>
      </w:r>
      <w:r w:rsidRPr="00480238">
        <w:rPr>
          <w:rFonts w:ascii="Baskerville" w:hAnsi="Baskerville"/>
          <w:iCs/>
          <w:vertAlign w:val="superscript"/>
          <w:lang w:val="en-US"/>
        </w:rPr>
        <w:footnoteReference w:id="7"/>
      </w:r>
      <w:r w:rsidR="0049746B" w:rsidRPr="0049746B">
        <w:rPr>
          <w:rFonts w:ascii="Baskerville" w:hAnsi="Baskerville"/>
          <w:iCs/>
        </w:rPr>
        <w:t xml:space="preserve"> </w:t>
      </w:r>
      <w:r w:rsidR="002210F0" w:rsidRPr="00231B02">
        <w:rPr>
          <w:rFonts w:ascii="Baskerville" w:hAnsi="Baskerville"/>
          <w:iCs/>
          <w:lang w:val="en-US"/>
        </w:rPr>
        <w:t>Article 38(1)</w:t>
      </w:r>
      <w:r w:rsidR="00E971CD" w:rsidRPr="00231B02">
        <w:rPr>
          <w:rFonts w:ascii="Baskerville" w:hAnsi="Baskerville"/>
          <w:iCs/>
          <w:lang w:val="en-US"/>
        </w:rPr>
        <w:t>(a)</w:t>
      </w:r>
      <w:r w:rsidR="002210F0" w:rsidRPr="00231B02">
        <w:rPr>
          <w:rFonts w:ascii="Baskerville" w:hAnsi="Baskerville"/>
          <w:iCs/>
          <w:lang w:val="en-US"/>
        </w:rPr>
        <w:t xml:space="preserve"> guides the </w:t>
      </w:r>
      <w:r w:rsidR="00922D81">
        <w:rPr>
          <w:rFonts w:ascii="Baskerville" w:hAnsi="Baskerville"/>
          <w:iCs/>
          <w:lang w:val="en-US"/>
        </w:rPr>
        <w:t>ICJ</w:t>
      </w:r>
      <w:r w:rsidR="002210F0" w:rsidRPr="00231B02">
        <w:rPr>
          <w:rFonts w:ascii="Baskerville" w:hAnsi="Baskerville"/>
          <w:iCs/>
          <w:lang w:val="en-US"/>
        </w:rPr>
        <w:t xml:space="preserve"> to </w:t>
      </w:r>
      <w:r w:rsidR="00B232D7" w:rsidRPr="00231B02">
        <w:rPr>
          <w:rFonts w:ascii="Baskerville" w:hAnsi="Baskerville"/>
          <w:iCs/>
          <w:lang w:val="en-US"/>
        </w:rPr>
        <w:t>give</w:t>
      </w:r>
      <w:r w:rsidR="002210F0" w:rsidRPr="00231B02">
        <w:rPr>
          <w:rFonts w:ascii="Baskerville" w:hAnsi="Baskerville"/>
          <w:iCs/>
          <w:lang w:val="en-US"/>
        </w:rPr>
        <w:t xml:space="preserve"> primacy to treaties as a source of international law, the </w:t>
      </w:r>
      <w:r w:rsidR="0070641A" w:rsidRPr="00231B02">
        <w:rPr>
          <w:rFonts w:ascii="Baskerville" w:hAnsi="Baskerville"/>
          <w:iCs/>
          <w:lang w:val="en-US"/>
        </w:rPr>
        <w:t xml:space="preserve">precise </w:t>
      </w:r>
      <w:r w:rsidR="002210F0" w:rsidRPr="00231B02">
        <w:rPr>
          <w:rFonts w:ascii="Baskerville" w:hAnsi="Baskerville"/>
          <w:iCs/>
          <w:lang w:val="en-US"/>
        </w:rPr>
        <w:t xml:space="preserve">statutory language </w:t>
      </w:r>
      <w:r w:rsidR="0070641A" w:rsidRPr="00231B02">
        <w:rPr>
          <w:rFonts w:ascii="Baskerville" w:hAnsi="Baskerville"/>
          <w:iCs/>
          <w:lang w:val="en-US"/>
        </w:rPr>
        <w:t>stating:</w:t>
      </w:r>
      <w:r w:rsidR="002210F0" w:rsidRPr="00231B02">
        <w:rPr>
          <w:rFonts w:ascii="Baskerville" w:hAnsi="Baskerville"/>
          <w:iCs/>
          <w:lang w:val="en-US"/>
        </w:rPr>
        <w:t xml:space="preserve"> “international conventions, whether general or particular establishing rules expressly recognized by the contesting states”.</w:t>
      </w:r>
      <w:r w:rsidR="002210F0" w:rsidRPr="00231B02">
        <w:rPr>
          <w:rFonts w:ascii="Baskerville" w:hAnsi="Baskerville"/>
          <w:iCs/>
          <w:vertAlign w:val="superscript"/>
          <w:lang w:val="en-US"/>
        </w:rPr>
        <w:footnoteReference w:id="8"/>
      </w:r>
      <w:r w:rsidR="002210F0" w:rsidRPr="00480238">
        <w:rPr>
          <w:rFonts w:ascii="Baskerville" w:hAnsi="Baskerville"/>
          <w:iCs/>
          <w:color w:val="FF0000"/>
          <w:lang w:val="en-US"/>
        </w:rPr>
        <w:t xml:space="preserve"> </w:t>
      </w:r>
    </w:p>
    <w:p w14:paraId="098EE441" w14:textId="77777777" w:rsidR="00F94839" w:rsidRDefault="00F94839" w:rsidP="0049746B">
      <w:pPr>
        <w:rPr>
          <w:rFonts w:ascii="Baskerville" w:hAnsi="Baskerville"/>
          <w:iCs/>
        </w:rPr>
      </w:pPr>
    </w:p>
    <w:p w14:paraId="60DF7FDC" w14:textId="5D599C08" w:rsidR="0049746B" w:rsidRPr="00CC3008" w:rsidRDefault="0049746B" w:rsidP="0049746B">
      <w:pPr>
        <w:rPr>
          <w:rFonts w:ascii="Baskerville" w:hAnsi="Baskerville"/>
          <w:iCs/>
          <w:color w:val="FF0000"/>
        </w:rPr>
      </w:pPr>
      <w:r w:rsidRPr="00B24755">
        <w:rPr>
          <w:rFonts w:ascii="Baskerville" w:hAnsi="Baskerville"/>
          <w:iCs/>
        </w:rPr>
        <w:t xml:space="preserve">Article 38(1)(a) expressly applies to all treaties. It includes special agreements between the parties to a specific case and creates a </w:t>
      </w:r>
      <w:r w:rsidRPr="00B24755">
        <w:rPr>
          <w:rFonts w:ascii="Baskerville" w:hAnsi="Baskerville"/>
          <w:i/>
          <w:iCs/>
        </w:rPr>
        <w:t xml:space="preserve">lex specialis </w:t>
      </w:r>
      <w:r w:rsidRPr="00B24755">
        <w:rPr>
          <w:rFonts w:ascii="Baskerville" w:hAnsi="Baskerville"/>
          <w:iCs/>
        </w:rPr>
        <w:t>between them.</w:t>
      </w:r>
      <w:r>
        <w:rPr>
          <w:rFonts w:ascii="Baskerville" w:hAnsi="Baskerville"/>
          <w:iCs/>
          <w:color w:val="FF0000"/>
        </w:rPr>
        <w:t xml:space="preserve"> </w:t>
      </w:r>
      <w:r w:rsidRPr="0016572B">
        <w:rPr>
          <w:rFonts w:ascii="Baskerville" w:hAnsi="Baskerville"/>
          <w:iCs/>
        </w:rPr>
        <w:t>A special agreement submitted to the Court’s jurisdiction over a dispute falls into this category.</w:t>
      </w:r>
      <w:r>
        <w:rPr>
          <w:rFonts w:ascii="Baskerville" w:hAnsi="Baskerville"/>
          <w:iCs/>
          <w:color w:val="FF0000"/>
        </w:rPr>
        <w:t xml:space="preserve"> </w:t>
      </w:r>
      <w:r w:rsidRPr="005E3504">
        <w:rPr>
          <w:rFonts w:ascii="Baskerville" w:hAnsi="Baskerville"/>
          <w:iCs/>
        </w:rPr>
        <w:t>It creates, as Article 38(1)(a) terms it, law ‘expressly recognised by the contesting states’.</w:t>
      </w:r>
      <w:r w:rsidRPr="005E3504">
        <w:rPr>
          <w:rStyle w:val="FootnoteReference"/>
          <w:rFonts w:ascii="Baskerville" w:hAnsi="Baskerville"/>
          <w:iCs/>
        </w:rPr>
        <w:footnoteReference w:id="9"/>
      </w:r>
      <w:r>
        <w:rPr>
          <w:rFonts w:ascii="Baskerville" w:hAnsi="Baskerville"/>
          <w:iCs/>
          <w:color w:val="FF0000"/>
        </w:rPr>
        <w:t xml:space="preserve"> </w:t>
      </w:r>
      <w:r w:rsidRPr="0049746B">
        <w:rPr>
          <w:rFonts w:ascii="Baskerville" w:hAnsi="Baskerville"/>
          <w:iCs/>
        </w:rPr>
        <w:t>Such an agreement binds the Court to ‘the choice of applicable law’.</w:t>
      </w:r>
      <w:r w:rsidRPr="0049746B">
        <w:rPr>
          <w:rStyle w:val="FootnoteReference"/>
          <w:rFonts w:ascii="Baskerville" w:hAnsi="Baskerville"/>
          <w:iCs/>
        </w:rPr>
        <w:footnoteReference w:id="10"/>
      </w:r>
    </w:p>
    <w:p w14:paraId="576E0C30" w14:textId="77777777" w:rsidR="009325AD" w:rsidRDefault="009325AD" w:rsidP="009325AD">
      <w:pPr>
        <w:rPr>
          <w:rFonts w:ascii="Baskerville" w:hAnsi="Baskerville"/>
          <w:color w:val="FF0000"/>
        </w:rPr>
      </w:pPr>
    </w:p>
    <w:p w14:paraId="5BCF9007" w14:textId="429DEA27" w:rsidR="005700D4" w:rsidRDefault="007232EF" w:rsidP="005700D4">
      <w:pPr>
        <w:rPr>
          <w:rFonts w:ascii="Baskerville" w:hAnsi="Baskerville"/>
          <w:bCs/>
          <w:iCs/>
        </w:rPr>
      </w:pPr>
      <w:r>
        <w:rPr>
          <w:rFonts w:ascii="Baskerville" w:hAnsi="Baskerville"/>
        </w:rPr>
        <w:t>It is challenging for</w:t>
      </w:r>
      <w:r w:rsidR="009325AD" w:rsidRPr="00E03643">
        <w:rPr>
          <w:rFonts w:ascii="Baskerville" w:hAnsi="Baskerville"/>
        </w:rPr>
        <w:t xml:space="preserve"> a treaty</w:t>
      </w:r>
      <w:r w:rsidR="00012487">
        <w:rPr>
          <w:rFonts w:ascii="Baskerville" w:hAnsi="Baskerville"/>
        </w:rPr>
        <w:t xml:space="preserve"> to</w:t>
      </w:r>
      <w:r w:rsidR="009325AD" w:rsidRPr="00E03643">
        <w:rPr>
          <w:rFonts w:ascii="Baskerville" w:hAnsi="Baskerville"/>
        </w:rPr>
        <w:t xml:space="preserve"> include the formal source of treaties in general (</w:t>
      </w:r>
      <w:r w:rsidR="00E71109" w:rsidRPr="00E03643">
        <w:rPr>
          <w:rFonts w:ascii="Baskerville" w:hAnsi="Baskerville"/>
        </w:rPr>
        <w:t xml:space="preserve">as contained in </w:t>
      </w:r>
      <w:r w:rsidR="009325AD" w:rsidRPr="00E03643">
        <w:rPr>
          <w:rFonts w:ascii="Baskerville" w:hAnsi="Baskerville"/>
        </w:rPr>
        <w:t>Article 38(1)(a</w:t>
      </w:r>
      <w:r w:rsidR="00B4154E" w:rsidRPr="00E03643">
        <w:rPr>
          <w:rFonts w:ascii="Baskerville" w:hAnsi="Baskerville"/>
        </w:rPr>
        <w:t>))</w:t>
      </w:r>
      <w:r>
        <w:rPr>
          <w:rFonts w:ascii="Baskerville" w:hAnsi="Baskerville"/>
        </w:rPr>
        <w:t>.</w:t>
      </w:r>
      <w:r w:rsidR="00B4154E">
        <w:rPr>
          <w:rFonts w:ascii="Baskerville" w:hAnsi="Baskerville"/>
          <w:color w:val="FF0000"/>
        </w:rPr>
        <w:t xml:space="preserve"> </w:t>
      </w:r>
      <w:r w:rsidR="009325AD" w:rsidRPr="00CD52DD">
        <w:rPr>
          <w:rFonts w:ascii="Baskerville" w:hAnsi="Baskerville"/>
        </w:rPr>
        <w:t xml:space="preserve">Many </w:t>
      </w:r>
      <w:r w:rsidR="00FC15D2" w:rsidRPr="00CD52DD">
        <w:rPr>
          <w:rFonts w:ascii="Baskerville" w:hAnsi="Baskerville"/>
        </w:rPr>
        <w:t>critics</w:t>
      </w:r>
      <w:r w:rsidR="009325AD" w:rsidRPr="00CD52DD">
        <w:rPr>
          <w:rFonts w:ascii="Baskerville" w:hAnsi="Baskerville"/>
        </w:rPr>
        <w:t xml:space="preserve"> </w:t>
      </w:r>
      <w:r w:rsidR="00CD52DD" w:rsidRPr="00CD52DD">
        <w:rPr>
          <w:rFonts w:ascii="Baskerville" w:hAnsi="Baskerville"/>
        </w:rPr>
        <w:t>view</w:t>
      </w:r>
      <w:r w:rsidR="009325AD" w:rsidRPr="00CD52DD">
        <w:rPr>
          <w:rFonts w:ascii="Baskerville" w:hAnsi="Baskerville"/>
        </w:rPr>
        <w:t xml:space="preserve"> Article 38 </w:t>
      </w:r>
      <w:r w:rsidR="00FC15D2" w:rsidRPr="00CD52DD">
        <w:rPr>
          <w:rFonts w:ascii="Baskerville" w:hAnsi="Baskerville"/>
        </w:rPr>
        <w:t>purely</w:t>
      </w:r>
      <w:r w:rsidR="009325AD" w:rsidRPr="00CD52DD">
        <w:rPr>
          <w:rFonts w:ascii="Baskerville" w:hAnsi="Baskerville"/>
        </w:rPr>
        <w:t xml:space="preserve"> as a </w:t>
      </w:r>
      <w:r w:rsidR="009325AD" w:rsidRPr="00CD52DD">
        <w:rPr>
          <w:rFonts w:ascii="Baskerville" w:hAnsi="Baskerville"/>
          <w:i/>
          <w:iCs/>
        </w:rPr>
        <w:t xml:space="preserve">correct </w:t>
      </w:r>
      <w:r w:rsidR="009325AD" w:rsidRPr="00CD52DD">
        <w:rPr>
          <w:rFonts w:ascii="Baskerville" w:hAnsi="Baskerville"/>
        </w:rPr>
        <w:t>statement of what the formal sources of international law are.</w:t>
      </w:r>
      <w:r w:rsidR="009325AD" w:rsidRPr="00CD52DD">
        <w:rPr>
          <w:rStyle w:val="FootnoteReference"/>
          <w:rFonts w:ascii="Baskerville" w:hAnsi="Baskerville"/>
        </w:rPr>
        <w:footnoteReference w:id="11"/>
      </w:r>
      <w:r w:rsidR="009325AD">
        <w:rPr>
          <w:rFonts w:ascii="Baskerville" w:hAnsi="Baskerville"/>
          <w:color w:val="FF0000"/>
        </w:rPr>
        <w:t xml:space="preserve"> </w:t>
      </w:r>
      <w:r w:rsidR="000E63C2">
        <w:rPr>
          <w:rFonts w:ascii="Baskerville" w:hAnsi="Baskerville"/>
        </w:rPr>
        <w:t>However</w:t>
      </w:r>
      <w:r w:rsidR="009325AD" w:rsidRPr="00A35CC1">
        <w:rPr>
          <w:rFonts w:ascii="Baskerville" w:hAnsi="Baskerville"/>
        </w:rPr>
        <w:t xml:space="preserve">, there may be </w:t>
      </w:r>
      <w:r w:rsidR="00A35CC1" w:rsidRPr="00A35CC1">
        <w:rPr>
          <w:rFonts w:ascii="Baskerville" w:hAnsi="Baskerville"/>
        </w:rPr>
        <w:t>further</w:t>
      </w:r>
      <w:r w:rsidR="009325AD" w:rsidRPr="00A35CC1">
        <w:rPr>
          <w:rFonts w:ascii="Baskerville" w:hAnsi="Baskerville"/>
        </w:rPr>
        <w:t xml:space="preserve"> sources of international law </w:t>
      </w:r>
      <w:r w:rsidR="00A35CC1" w:rsidRPr="00A35CC1">
        <w:rPr>
          <w:rFonts w:ascii="Baskerville" w:hAnsi="Baskerville"/>
        </w:rPr>
        <w:t xml:space="preserve">that are </w:t>
      </w:r>
      <w:r w:rsidR="009325AD" w:rsidRPr="00A35CC1">
        <w:rPr>
          <w:rFonts w:ascii="Baskerville" w:hAnsi="Baskerville"/>
        </w:rPr>
        <w:t>not mentioned in Article 38</w:t>
      </w:r>
      <w:r w:rsidR="00DB1E94" w:rsidRPr="00A35CC1">
        <w:rPr>
          <w:rFonts w:ascii="Baskerville" w:hAnsi="Baskerville"/>
        </w:rPr>
        <w:t>(1)</w:t>
      </w:r>
      <w:r w:rsidR="009325AD" w:rsidRPr="00A35CC1">
        <w:rPr>
          <w:rFonts w:ascii="Baskerville" w:hAnsi="Baskerville"/>
        </w:rPr>
        <w:t>.</w:t>
      </w:r>
      <w:r w:rsidR="009325AD" w:rsidRPr="00A35CC1">
        <w:rPr>
          <w:rStyle w:val="FootnoteReference"/>
          <w:rFonts w:ascii="Baskerville" w:hAnsi="Baskerville"/>
        </w:rPr>
        <w:footnoteReference w:id="12"/>
      </w:r>
      <w:r w:rsidR="009325AD" w:rsidRPr="00606B49">
        <w:rPr>
          <w:rFonts w:ascii="Baskerville" w:hAnsi="Baskerville"/>
          <w:color w:val="FF0000"/>
        </w:rPr>
        <w:t xml:space="preserve"> </w:t>
      </w:r>
      <w:r w:rsidR="005700D4" w:rsidRPr="000A7573">
        <w:rPr>
          <w:rFonts w:ascii="Baskerville" w:hAnsi="Baskerville"/>
          <w:bCs/>
          <w:iCs/>
        </w:rPr>
        <w:t xml:space="preserve">Other </w:t>
      </w:r>
      <w:r w:rsidR="00A35CC1">
        <w:rPr>
          <w:rFonts w:ascii="Baskerville" w:hAnsi="Baskerville"/>
          <w:bCs/>
          <w:iCs/>
        </w:rPr>
        <w:t xml:space="preserve">such </w:t>
      </w:r>
      <w:r w:rsidR="005700D4" w:rsidRPr="000A7573">
        <w:rPr>
          <w:rFonts w:ascii="Baskerville" w:hAnsi="Baskerville"/>
          <w:bCs/>
          <w:iCs/>
        </w:rPr>
        <w:t xml:space="preserve">sources of international law </w:t>
      </w:r>
      <w:r w:rsidR="00A35CC1">
        <w:rPr>
          <w:rFonts w:ascii="Baskerville" w:hAnsi="Baskerville"/>
          <w:bCs/>
          <w:iCs/>
        </w:rPr>
        <w:t xml:space="preserve">may </w:t>
      </w:r>
      <w:r w:rsidR="005700D4" w:rsidRPr="000A7573">
        <w:rPr>
          <w:rFonts w:ascii="Baskerville" w:hAnsi="Baskerville"/>
          <w:bCs/>
          <w:iCs/>
        </w:rPr>
        <w:t xml:space="preserve">include: </w:t>
      </w:r>
    </w:p>
    <w:p w14:paraId="5F257526" w14:textId="77777777" w:rsidR="001E44C8" w:rsidRPr="000A7573" w:rsidRDefault="001E44C8" w:rsidP="005700D4">
      <w:pPr>
        <w:rPr>
          <w:rFonts w:ascii="Baskerville" w:hAnsi="Baskerville"/>
          <w:bCs/>
          <w:iCs/>
        </w:rPr>
      </w:pPr>
    </w:p>
    <w:p w14:paraId="44D5327C" w14:textId="77777777" w:rsidR="005700D4" w:rsidRPr="000A7573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Cs/>
        </w:rPr>
        <w:t xml:space="preserve">soft law </w:t>
      </w:r>
    </w:p>
    <w:p w14:paraId="41FEA600" w14:textId="77777777" w:rsidR="005700D4" w:rsidRPr="000A7573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Cs/>
        </w:rPr>
        <w:t xml:space="preserve">resolutions of organs of international organisations </w:t>
      </w:r>
    </w:p>
    <w:p w14:paraId="61331781" w14:textId="77777777" w:rsidR="005700D4" w:rsidRPr="000A7573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Cs/>
        </w:rPr>
        <w:t xml:space="preserve">unilateral acts </w:t>
      </w:r>
    </w:p>
    <w:p w14:paraId="001990F9" w14:textId="289F3900" w:rsidR="005700D4" w:rsidRDefault="005700D4" w:rsidP="005700D4">
      <w:pPr>
        <w:numPr>
          <w:ilvl w:val="1"/>
          <w:numId w:val="42"/>
        </w:numPr>
        <w:rPr>
          <w:rFonts w:ascii="Baskerville" w:hAnsi="Baskerville"/>
          <w:bCs/>
          <w:iCs/>
        </w:rPr>
      </w:pPr>
      <w:r w:rsidRPr="000A7573">
        <w:rPr>
          <w:rFonts w:ascii="Baskerville" w:hAnsi="Baskerville"/>
          <w:bCs/>
          <w:i/>
          <w:iCs/>
        </w:rPr>
        <w:t>jus cogens</w:t>
      </w:r>
      <w:r w:rsidRPr="000A7573">
        <w:rPr>
          <w:rFonts w:ascii="Baskerville" w:hAnsi="Baskerville"/>
          <w:bCs/>
          <w:iCs/>
        </w:rPr>
        <w:t xml:space="preserve"> </w:t>
      </w:r>
    </w:p>
    <w:p w14:paraId="3B0C14A9" w14:textId="77777777" w:rsidR="001E44C8" w:rsidRPr="000A7573" w:rsidRDefault="001E44C8" w:rsidP="001E44C8">
      <w:pPr>
        <w:ind w:left="1440"/>
        <w:rPr>
          <w:rFonts w:ascii="Baskerville" w:hAnsi="Baskerville"/>
          <w:bCs/>
          <w:iCs/>
        </w:rPr>
      </w:pPr>
    </w:p>
    <w:p w14:paraId="414EE1A5" w14:textId="34EB22DE" w:rsidR="00480238" w:rsidRPr="009325AD" w:rsidRDefault="006864B0" w:rsidP="009325AD">
      <w:pPr>
        <w:rPr>
          <w:rFonts w:ascii="Baskerville" w:hAnsi="Baskerville"/>
          <w:color w:val="FF0000"/>
        </w:rPr>
      </w:pPr>
      <w:r>
        <w:rPr>
          <w:rFonts w:ascii="Baskerville" w:hAnsi="Baskerville"/>
        </w:rPr>
        <w:t xml:space="preserve">There are also </w:t>
      </w:r>
      <w:r w:rsidR="008C11F4">
        <w:rPr>
          <w:rFonts w:ascii="Baskerville" w:hAnsi="Baskerville"/>
        </w:rPr>
        <w:t xml:space="preserve">many </w:t>
      </w:r>
      <w:r w:rsidR="00786CCE" w:rsidRPr="00786CCE">
        <w:rPr>
          <w:rFonts w:ascii="Baskerville" w:hAnsi="Baskerville"/>
        </w:rPr>
        <w:t>critics who do not subscribe to the notion</w:t>
      </w:r>
      <w:r w:rsidR="009325AD" w:rsidRPr="00786CCE">
        <w:rPr>
          <w:rFonts w:ascii="Baskerville" w:hAnsi="Baskerville"/>
        </w:rPr>
        <w:t xml:space="preserve"> that Article 38</w:t>
      </w:r>
      <w:r w:rsidR="00786CCE" w:rsidRPr="00786CCE">
        <w:rPr>
          <w:rFonts w:ascii="Baskerville" w:hAnsi="Baskerville"/>
        </w:rPr>
        <w:t>(1)</w:t>
      </w:r>
      <w:r w:rsidR="009325AD" w:rsidRPr="00786CCE">
        <w:rPr>
          <w:rFonts w:ascii="Baskerville" w:hAnsi="Baskerville"/>
        </w:rPr>
        <w:t xml:space="preserve"> is the ‘foundation for the doctrine of the sources of </w:t>
      </w:r>
      <w:r w:rsidR="00786CCE" w:rsidRPr="00786CCE">
        <w:rPr>
          <w:rFonts w:ascii="Baskerville" w:hAnsi="Baskerville"/>
        </w:rPr>
        <w:t>i</w:t>
      </w:r>
      <w:r w:rsidR="009325AD" w:rsidRPr="00786CCE">
        <w:rPr>
          <w:rFonts w:ascii="Baskerville" w:hAnsi="Baskerville"/>
        </w:rPr>
        <w:t xml:space="preserve">nternational </w:t>
      </w:r>
      <w:r w:rsidR="00786CCE" w:rsidRPr="00786CCE">
        <w:rPr>
          <w:rFonts w:ascii="Baskerville" w:hAnsi="Baskerville"/>
        </w:rPr>
        <w:t>l</w:t>
      </w:r>
      <w:r w:rsidR="009325AD" w:rsidRPr="00786CCE">
        <w:rPr>
          <w:rFonts w:ascii="Baskerville" w:hAnsi="Baskerville"/>
        </w:rPr>
        <w:t>aw’.</w:t>
      </w:r>
      <w:r w:rsidR="009325AD" w:rsidRPr="00786CCE">
        <w:rPr>
          <w:rStyle w:val="FootnoteReference"/>
          <w:rFonts w:ascii="Baskerville" w:hAnsi="Baskerville"/>
        </w:rPr>
        <w:footnoteReference w:id="13"/>
      </w:r>
      <w:r w:rsidR="009325AD" w:rsidRPr="00606B49">
        <w:rPr>
          <w:rFonts w:ascii="Baskerville" w:hAnsi="Baskerville"/>
          <w:color w:val="FF0000"/>
        </w:rPr>
        <w:t xml:space="preserve"> </w:t>
      </w:r>
      <w:r w:rsidR="009325AD" w:rsidRPr="00645564">
        <w:rPr>
          <w:rFonts w:ascii="Baskerville" w:hAnsi="Baskerville"/>
        </w:rPr>
        <w:t>Alf Ross</w:t>
      </w:r>
      <w:r w:rsidR="009325AD" w:rsidRPr="00606B49">
        <w:rPr>
          <w:rFonts w:ascii="Baskerville" w:hAnsi="Baskerville"/>
          <w:color w:val="FF0000"/>
        </w:rPr>
        <w:t xml:space="preserve"> </w:t>
      </w:r>
      <w:r w:rsidR="009325AD" w:rsidRPr="00645564">
        <w:rPr>
          <w:rFonts w:ascii="Baskerville" w:hAnsi="Baskerville"/>
        </w:rPr>
        <w:t xml:space="preserve">comes to this conclusion, because </w:t>
      </w:r>
      <w:r w:rsidR="008C11F4" w:rsidRPr="00645564">
        <w:rPr>
          <w:rFonts w:ascii="Baskerville" w:hAnsi="Baskerville"/>
        </w:rPr>
        <w:t>he believes</w:t>
      </w:r>
      <w:r w:rsidR="009325AD" w:rsidRPr="00645564">
        <w:rPr>
          <w:rFonts w:ascii="Baskerville" w:hAnsi="Baskerville"/>
        </w:rPr>
        <w:t xml:space="preserve"> </w:t>
      </w:r>
      <w:r w:rsidR="008C11F4" w:rsidRPr="00645564">
        <w:rPr>
          <w:rFonts w:ascii="Baskerville" w:hAnsi="Baskerville"/>
        </w:rPr>
        <w:t xml:space="preserve">that </w:t>
      </w:r>
      <w:r w:rsidR="009325AD" w:rsidRPr="00645564">
        <w:rPr>
          <w:rFonts w:ascii="Baskerville" w:hAnsi="Baskerville"/>
        </w:rPr>
        <w:t xml:space="preserve">the sources of law are themselves </w:t>
      </w:r>
      <w:r w:rsidR="00786CCE" w:rsidRPr="00645564">
        <w:rPr>
          <w:rFonts w:ascii="Baskerville" w:hAnsi="Baskerville"/>
        </w:rPr>
        <w:t>not based in law, but in facts.</w:t>
      </w:r>
      <w:r w:rsidR="00786CCE" w:rsidRPr="00645564">
        <w:rPr>
          <w:rStyle w:val="FootnoteReference"/>
          <w:rFonts w:ascii="Baskerville" w:hAnsi="Baskerville"/>
        </w:rPr>
        <w:footnoteReference w:id="14"/>
      </w:r>
    </w:p>
    <w:p w14:paraId="2079C680" w14:textId="77777777" w:rsidR="00DC25D5" w:rsidRDefault="00DC25D5" w:rsidP="00606B49">
      <w:pPr>
        <w:rPr>
          <w:rFonts w:ascii="Baskerville" w:hAnsi="Baskerville"/>
          <w:b/>
          <w:iCs/>
          <w:color w:val="FF0000"/>
          <w:u w:val="single"/>
        </w:rPr>
      </w:pPr>
    </w:p>
    <w:p w14:paraId="7B152DFB" w14:textId="31E45E21" w:rsidR="00606B49" w:rsidRPr="00480238" w:rsidRDefault="00FB38BF" w:rsidP="00606B49">
      <w:pPr>
        <w:rPr>
          <w:rFonts w:ascii="Baskerville" w:hAnsi="Baskerville"/>
          <w:b/>
          <w:iCs/>
          <w:u w:val="single"/>
        </w:rPr>
      </w:pPr>
      <w:r w:rsidRPr="00480238">
        <w:rPr>
          <w:rFonts w:ascii="Baskerville" w:hAnsi="Baskerville"/>
          <w:b/>
          <w:iCs/>
          <w:u w:val="single"/>
        </w:rPr>
        <w:t xml:space="preserve">Article 38(1)(b): </w:t>
      </w:r>
      <w:r w:rsidR="00A749E1" w:rsidRPr="00480238">
        <w:rPr>
          <w:rFonts w:ascii="Baskerville" w:hAnsi="Baskerville"/>
          <w:b/>
          <w:iCs/>
          <w:u w:val="single"/>
        </w:rPr>
        <w:t>International Custom</w:t>
      </w:r>
    </w:p>
    <w:p w14:paraId="23ACCAE3" w14:textId="77777777" w:rsidR="00A749E1" w:rsidRPr="004E3673" w:rsidRDefault="00A749E1" w:rsidP="00606B49">
      <w:pPr>
        <w:rPr>
          <w:rFonts w:ascii="Baskerville" w:hAnsi="Baskerville"/>
          <w:b/>
          <w:color w:val="FF0000"/>
          <w:u w:val="single"/>
        </w:rPr>
      </w:pPr>
    </w:p>
    <w:p w14:paraId="59C75D23" w14:textId="080FD517" w:rsidR="00344DEB" w:rsidRPr="004073FB" w:rsidRDefault="00CB11E9" w:rsidP="004073FB">
      <w:pPr>
        <w:rPr>
          <w:rFonts w:ascii="Baskerville" w:hAnsi="Baskerville"/>
          <w:bCs/>
          <w:iCs/>
        </w:rPr>
      </w:pPr>
      <w:r w:rsidRPr="00EB1386">
        <w:rPr>
          <w:rFonts w:ascii="Baskerville" w:hAnsi="Baskerville"/>
        </w:rPr>
        <w:t xml:space="preserve">Customary </w:t>
      </w:r>
      <w:r w:rsidR="0034064C" w:rsidRPr="00EB1386">
        <w:rPr>
          <w:rFonts w:ascii="Baskerville" w:hAnsi="Baskerville"/>
        </w:rPr>
        <w:t>i</w:t>
      </w:r>
      <w:r w:rsidRPr="00EB1386">
        <w:rPr>
          <w:rFonts w:ascii="Baskerville" w:hAnsi="Baskerville"/>
        </w:rPr>
        <w:t xml:space="preserve">nternational </w:t>
      </w:r>
      <w:r w:rsidR="0034064C" w:rsidRPr="00EB1386">
        <w:rPr>
          <w:rFonts w:ascii="Baskerville" w:hAnsi="Baskerville"/>
        </w:rPr>
        <w:t>l</w:t>
      </w:r>
      <w:r w:rsidRPr="00EB1386">
        <w:rPr>
          <w:rFonts w:ascii="Baskerville" w:hAnsi="Baskerville"/>
        </w:rPr>
        <w:t xml:space="preserve">aw is </w:t>
      </w:r>
      <w:r w:rsidR="00D536B3" w:rsidRPr="00EB1386">
        <w:rPr>
          <w:rFonts w:ascii="Baskerville" w:hAnsi="Baskerville"/>
        </w:rPr>
        <w:t>usually</w:t>
      </w:r>
      <w:r w:rsidRPr="00EB1386">
        <w:rPr>
          <w:rFonts w:ascii="Baskerville" w:hAnsi="Baskerville"/>
        </w:rPr>
        <w:t xml:space="preserve"> defined as </w:t>
      </w:r>
      <w:r w:rsidR="00D536B3" w:rsidRPr="00EB1386">
        <w:rPr>
          <w:rFonts w:ascii="Baskerville" w:hAnsi="Baskerville"/>
        </w:rPr>
        <w:t>‘</w:t>
      </w:r>
      <w:r w:rsidRPr="00EB1386">
        <w:rPr>
          <w:rFonts w:ascii="Baskerville" w:hAnsi="Baskerville"/>
        </w:rPr>
        <w:t>the collection of international behavioural regularities that nations</w:t>
      </w:r>
      <w:r w:rsidR="00D536B3" w:rsidRPr="00EB1386">
        <w:rPr>
          <w:rFonts w:ascii="Baskerville" w:hAnsi="Baskerville"/>
        </w:rPr>
        <w:t>’</w:t>
      </w:r>
      <w:r w:rsidRPr="00EB1386">
        <w:rPr>
          <w:rFonts w:ascii="Baskerville" w:hAnsi="Baskerville"/>
        </w:rPr>
        <w:t xml:space="preserve"> </w:t>
      </w:r>
      <w:r w:rsidR="00D536B3" w:rsidRPr="00EB1386">
        <w:rPr>
          <w:rFonts w:ascii="Baskerville" w:hAnsi="Baskerville"/>
        </w:rPr>
        <w:t>gradually</w:t>
      </w:r>
      <w:r w:rsidRPr="00EB1386">
        <w:rPr>
          <w:rFonts w:ascii="Baskerville" w:hAnsi="Baskerville"/>
        </w:rPr>
        <w:t xml:space="preserve"> </w:t>
      </w:r>
      <w:r w:rsidR="00D536B3" w:rsidRPr="00EB1386">
        <w:rPr>
          <w:rFonts w:ascii="Baskerville" w:hAnsi="Baskerville"/>
        </w:rPr>
        <w:t>begin</w:t>
      </w:r>
      <w:r w:rsidRPr="00EB1386">
        <w:rPr>
          <w:rFonts w:ascii="Baskerville" w:hAnsi="Baskerville"/>
        </w:rPr>
        <w:t xml:space="preserve"> to view as bindi</w:t>
      </w:r>
      <w:r w:rsidR="008454A7" w:rsidRPr="00EB1386">
        <w:rPr>
          <w:rFonts w:ascii="Baskerville" w:hAnsi="Baskerville"/>
        </w:rPr>
        <w:t xml:space="preserve">ng on them as a </w:t>
      </w:r>
      <w:r w:rsidR="00D536B3" w:rsidRPr="00EB1386">
        <w:rPr>
          <w:rFonts w:ascii="Baskerville" w:hAnsi="Baskerville"/>
        </w:rPr>
        <w:t>principle</w:t>
      </w:r>
      <w:r w:rsidR="008454A7" w:rsidRPr="00EB1386">
        <w:rPr>
          <w:rFonts w:ascii="Baskerville" w:hAnsi="Baskerville"/>
        </w:rPr>
        <w:t xml:space="preserve"> of law.</w:t>
      </w:r>
      <w:r w:rsidR="008454A7" w:rsidRPr="00EB1386">
        <w:rPr>
          <w:rStyle w:val="FootnoteReference"/>
          <w:rFonts w:ascii="Baskerville" w:hAnsi="Baskerville"/>
        </w:rPr>
        <w:footnoteReference w:id="15"/>
      </w:r>
      <w:r w:rsidR="00344DEB">
        <w:rPr>
          <w:rFonts w:ascii="Baskerville" w:hAnsi="Baskerville"/>
          <w:color w:val="FF0000"/>
        </w:rPr>
        <w:t xml:space="preserve"> </w:t>
      </w:r>
      <w:r w:rsidR="00C467E3">
        <w:rPr>
          <w:rFonts w:ascii="Baskerville" w:hAnsi="Baskerville"/>
          <w:iCs/>
          <w:lang w:val="en-US"/>
        </w:rPr>
        <w:t>Custom</w:t>
      </w:r>
      <w:r w:rsidR="004073FB" w:rsidRPr="005F3906">
        <w:rPr>
          <w:rFonts w:ascii="Baskerville" w:hAnsi="Baskerville"/>
          <w:iCs/>
          <w:lang w:val="en-US"/>
        </w:rPr>
        <w:t xml:space="preserve"> originates from very early times regulating what society deemed to be permissible or </w:t>
      </w:r>
      <w:r w:rsidR="000E5B91">
        <w:rPr>
          <w:rFonts w:ascii="Baskerville" w:hAnsi="Baskerville"/>
          <w:iCs/>
          <w:lang w:val="en-US"/>
        </w:rPr>
        <w:t>not</w:t>
      </w:r>
      <w:r w:rsidR="004073FB" w:rsidRPr="005F3906">
        <w:rPr>
          <w:rFonts w:ascii="Baskerville" w:hAnsi="Baskerville"/>
          <w:iCs/>
          <w:lang w:val="en-US"/>
        </w:rPr>
        <w:t>.</w:t>
      </w:r>
      <w:r w:rsidR="004073FB" w:rsidRPr="00162103">
        <w:rPr>
          <w:rFonts w:ascii="Baskerville" w:hAnsi="Baskerville"/>
          <w:iCs/>
          <w:color w:val="FF0000"/>
          <w:lang w:val="en-US"/>
        </w:rPr>
        <w:t xml:space="preserve"> </w:t>
      </w:r>
      <w:r w:rsidR="004073FB" w:rsidRPr="005B693F">
        <w:rPr>
          <w:rFonts w:ascii="Baskerville" w:hAnsi="Baskerville"/>
          <w:iCs/>
          <w:lang w:val="en-US"/>
        </w:rPr>
        <w:t>Today, in the context of our highly complex and developed international legal order, ‘customs, practices, and usages of states are constitutive of law for the purposes of global governance and regulation’.</w:t>
      </w:r>
      <w:r w:rsidR="004073FB" w:rsidRPr="00C917ED">
        <w:rPr>
          <w:rStyle w:val="FootnoteReference"/>
          <w:rFonts w:ascii="Baskerville" w:hAnsi="Baskerville"/>
          <w:iCs/>
          <w:lang w:val="en-US"/>
        </w:rPr>
        <w:footnoteReference w:id="16"/>
      </w:r>
      <w:r w:rsidR="004073FB">
        <w:rPr>
          <w:rFonts w:ascii="Baskerville" w:hAnsi="Baskerville"/>
          <w:bCs/>
          <w:iCs/>
        </w:rPr>
        <w:t xml:space="preserve"> </w:t>
      </w:r>
      <w:r w:rsidR="00344DEB" w:rsidRPr="00FD58D3">
        <w:rPr>
          <w:rFonts w:ascii="Baskerville" w:hAnsi="Baskerville"/>
        </w:rPr>
        <w:t xml:space="preserve">There are two </w:t>
      </w:r>
      <w:r w:rsidR="00CD210E">
        <w:rPr>
          <w:rFonts w:ascii="Baskerville" w:hAnsi="Baskerville"/>
        </w:rPr>
        <w:t>main</w:t>
      </w:r>
      <w:r w:rsidR="00344DEB" w:rsidRPr="00FD58D3">
        <w:rPr>
          <w:rFonts w:ascii="Baskerville" w:hAnsi="Baskerville"/>
        </w:rPr>
        <w:t xml:space="preserve"> </w:t>
      </w:r>
      <w:r w:rsidR="00344DEB" w:rsidRPr="00FD58D3">
        <w:rPr>
          <w:rFonts w:ascii="Baskerville" w:hAnsi="Baskerville"/>
          <w:bCs/>
          <w:lang w:val="en-US"/>
        </w:rPr>
        <w:t>elements of customary international law:</w:t>
      </w:r>
    </w:p>
    <w:p w14:paraId="504CE453" w14:textId="77777777" w:rsidR="00344DEB" w:rsidRDefault="00344DEB" w:rsidP="00344DEB">
      <w:pPr>
        <w:rPr>
          <w:rFonts w:ascii="Baskerville" w:hAnsi="Baskerville"/>
          <w:bCs/>
          <w:lang w:val="en-US"/>
        </w:rPr>
      </w:pPr>
    </w:p>
    <w:p w14:paraId="30E03179" w14:textId="6B66A753" w:rsidR="00344DEB" w:rsidRPr="004E4FEE" w:rsidRDefault="00344DEB" w:rsidP="00F314BD">
      <w:pPr>
        <w:numPr>
          <w:ilvl w:val="0"/>
          <w:numId w:val="29"/>
        </w:numPr>
        <w:ind w:firstLine="273"/>
        <w:rPr>
          <w:rFonts w:ascii="Baskerville" w:hAnsi="Baskerville"/>
          <w:bCs/>
        </w:rPr>
      </w:pPr>
      <w:r w:rsidRPr="004E4FEE">
        <w:rPr>
          <w:rFonts w:ascii="Baskerville" w:hAnsi="Baskerville"/>
          <w:bCs/>
          <w:lang w:val="en-US"/>
        </w:rPr>
        <w:t>State Practice</w:t>
      </w:r>
      <w:r w:rsidR="00862F15">
        <w:rPr>
          <w:rStyle w:val="FootnoteReference"/>
          <w:rFonts w:ascii="Baskerville" w:hAnsi="Baskerville"/>
          <w:bCs/>
          <w:lang w:val="en-US"/>
        </w:rPr>
        <w:footnoteReference w:id="17"/>
      </w:r>
    </w:p>
    <w:p w14:paraId="23D6C953" w14:textId="77777777" w:rsidR="00344DEB" w:rsidRPr="004E4FEE" w:rsidRDefault="00344DEB" w:rsidP="00344DEB">
      <w:pPr>
        <w:rPr>
          <w:rFonts w:ascii="Baskerville" w:hAnsi="Baskerville"/>
          <w:bCs/>
        </w:rPr>
      </w:pPr>
      <w:r w:rsidRPr="004E4FEE">
        <w:rPr>
          <w:rFonts w:ascii="Baskerville" w:hAnsi="Baskerville"/>
          <w:bCs/>
        </w:rPr>
        <w:tab/>
      </w:r>
      <w:r w:rsidRPr="004E4FEE">
        <w:rPr>
          <w:rFonts w:ascii="Baskerville" w:hAnsi="Baskerville"/>
          <w:bCs/>
        </w:rPr>
        <w:tab/>
      </w:r>
      <w:r w:rsidRPr="004E4FEE">
        <w:rPr>
          <w:rFonts w:ascii="Baskerville" w:hAnsi="Baskerville"/>
          <w:bCs/>
          <w:lang w:val="en-US"/>
        </w:rPr>
        <w:t>(ICJ Statute, Article 38(1) (b)</w:t>
      </w:r>
      <w:r w:rsidRPr="004E4FEE">
        <w:rPr>
          <w:rFonts w:ascii="Baskerville" w:hAnsi="Baskerville"/>
          <w:bCs/>
        </w:rPr>
        <w:tab/>
      </w:r>
      <w:r w:rsidRPr="004E4FEE">
        <w:rPr>
          <w:rFonts w:ascii="Baskerville" w:hAnsi="Baskerville"/>
          <w:bCs/>
          <w:lang w:val="en-US"/>
        </w:rPr>
        <w:t>‘</w:t>
      </w:r>
      <w:r>
        <w:rPr>
          <w:rFonts w:ascii="Baskerville" w:hAnsi="Baskerville"/>
          <w:bCs/>
          <w:lang w:val="en-US"/>
        </w:rPr>
        <w:t xml:space="preserve">… </w:t>
      </w:r>
      <w:r>
        <w:rPr>
          <w:rFonts w:ascii="Baskerville" w:hAnsi="Baskerville"/>
          <w:bCs/>
          <w:i/>
          <w:iCs/>
          <w:lang w:val="en-US"/>
        </w:rPr>
        <w:t>evidence of a general practice.</w:t>
      </w:r>
      <w:r w:rsidRPr="004E4FEE">
        <w:rPr>
          <w:rFonts w:ascii="Baskerville" w:hAnsi="Baskerville"/>
          <w:bCs/>
          <w:i/>
          <w:iCs/>
          <w:lang w:val="en-US"/>
        </w:rPr>
        <w:t>..</w:t>
      </w:r>
      <w:r w:rsidRPr="00F314BD">
        <w:rPr>
          <w:rFonts w:ascii="Baskerville" w:hAnsi="Baskerville"/>
          <w:bCs/>
          <w:iCs/>
          <w:lang w:val="en-US"/>
        </w:rPr>
        <w:t>’</w:t>
      </w:r>
      <w:r w:rsidRPr="00F314BD">
        <w:rPr>
          <w:rFonts w:ascii="Baskerville" w:hAnsi="Baskerville"/>
          <w:bCs/>
          <w:lang w:val="en-US"/>
        </w:rPr>
        <w:t>)</w:t>
      </w:r>
    </w:p>
    <w:p w14:paraId="01F62AE1" w14:textId="587A5DC4" w:rsidR="00344DEB" w:rsidRPr="004E4FEE" w:rsidRDefault="00344DEB" w:rsidP="00F314BD">
      <w:pPr>
        <w:ind w:firstLine="993"/>
        <w:rPr>
          <w:rFonts w:ascii="Baskerville" w:hAnsi="Baskerville"/>
          <w:bCs/>
        </w:rPr>
      </w:pPr>
      <w:r w:rsidRPr="004E4FEE">
        <w:rPr>
          <w:rFonts w:ascii="Baskerville" w:hAnsi="Baskerville"/>
          <w:bCs/>
          <w:lang w:val="en-US"/>
        </w:rPr>
        <w:t xml:space="preserve">(b) </w:t>
      </w:r>
      <w:r w:rsidR="00F314BD">
        <w:rPr>
          <w:rFonts w:ascii="Baskerville" w:hAnsi="Baskerville"/>
          <w:bCs/>
          <w:lang w:val="en-US"/>
        </w:rPr>
        <w:t xml:space="preserve">  </w:t>
      </w:r>
      <w:r w:rsidR="00F314BD">
        <w:rPr>
          <w:rFonts w:ascii="Baskerville" w:hAnsi="Baskerville"/>
          <w:bCs/>
          <w:i/>
          <w:iCs/>
          <w:lang w:val="en-US"/>
        </w:rPr>
        <w:t>O</w:t>
      </w:r>
      <w:r w:rsidRPr="004E4FEE">
        <w:rPr>
          <w:rFonts w:ascii="Baskerville" w:hAnsi="Baskerville"/>
          <w:bCs/>
          <w:i/>
          <w:iCs/>
          <w:lang w:val="en-US"/>
        </w:rPr>
        <w:t>pinio juris sine necessitatis</w:t>
      </w:r>
      <w:r w:rsidRPr="004E4FEE">
        <w:rPr>
          <w:rFonts w:ascii="Baskerville" w:hAnsi="Baskerville"/>
          <w:bCs/>
          <w:lang w:val="en-US"/>
        </w:rPr>
        <w:t xml:space="preserve"> (opinion as to law or necessity)</w:t>
      </w:r>
      <w:r w:rsidR="00306BBF">
        <w:rPr>
          <w:rStyle w:val="FootnoteReference"/>
          <w:rFonts w:ascii="Baskerville" w:hAnsi="Baskerville"/>
          <w:bCs/>
          <w:lang w:val="en-US"/>
        </w:rPr>
        <w:footnoteReference w:id="18"/>
      </w:r>
    </w:p>
    <w:p w14:paraId="5BD7B647" w14:textId="77777777" w:rsidR="00344DEB" w:rsidRPr="004E4FEE" w:rsidRDefault="00344DEB" w:rsidP="00344DEB">
      <w:pPr>
        <w:rPr>
          <w:rFonts w:ascii="Baskerville" w:hAnsi="Baskerville"/>
          <w:bCs/>
        </w:rPr>
      </w:pPr>
      <w:r w:rsidRPr="004E4FEE">
        <w:rPr>
          <w:rFonts w:ascii="Baskerville" w:hAnsi="Baskerville"/>
          <w:bCs/>
          <w:lang w:val="en-US"/>
        </w:rPr>
        <w:tab/>
      </w:r>
      <w:r w:rsidRPr="004E4FEE">
        <w:rPr>
          <w:rFonts w:ascii="Baskerville" w:hAnsi="Baskerville"/>
          <w:bCs/>
          <w:lang w:val="en-US"/>
        </w:rPr>
        <w:tab/>
        <w:t>(ICJ Statute, Article 38(1) (b)</w:t>
      </w:r>
      <w:r w:rsidRPr="004E4FEE">
        <w:rPr>
          <w:rFonts w:ascii="Baskerville" w:hAnsi="Baskerville"/>
          <w:bCs/>
        </w:rPr>
        <w:t xml:space="preserve"> </w:t>
      </w:r>
      <w:r>
        <w:rPr>
          <w:rFonts w:ascii="Baskerville" w:hAnsi="Baskerville"/>
          <w:bCs/>
          <w:lang w:val="en-US"/>
        </w:rPr>
        <w:t xml:space="preserve">‘… </w:t>
      </w:r>
      <w:r>
        <w:rPr>
          <w:rFonts w:ascii="Baskerville" w:hAnsi="Baskerville"/>
          <w:bCs/>
          <w:i/>
          <w:iCs/>
          <w:lang w:val="en-US"/>
        </w:rPr>
        <w:t xml:space="preserve">accepted </w:t>
      </w:r>
      <w:r w:rsidRPr="004E4FEE">
        <w:rPr>
          <w:rFonts w:ascii="Baskerville" w:hAnsi="Baskerville"/>
          <w:bCs/>
          <w:i/>
          <w:iCs/>
          <w:lang w:val="en-US"/>
        </w:rPr>
        <w:t>as law</w:t>
      </w:r>
      <w:r w:rsidRPr="004E4FEE">
        <w:rPr>
          <w:rFonts w:ascii="Baskerville" w:hAnsi="Baskerville"/>
          <w:bCs/>
          <w:lang w:val="en-US"/>
        </w:rPr>
        <w:t>’.)</w:t>
      </w:r>
    </w:p>
    <w:p w14:paraId="351E6AF3" w14:textId="77777777" w:rsidR="00CB11E9" w:rsidRDefault="00CB11E9" w:rsidP="00CB11E9">
      <w:pPr>
        <w:rPr>
          <w:rFonts w:ascii="Baskerville" w:hAnsi="Baskerville"/>
          <w:color w:val="FF0000"/>
        </w:rPr>
      </w:pPr>
    </w:p>
    <w:p w14:paraId="59D40F49" w14:textId="5D8135BB" w:rsidR="00606B49" w:rsidRDefault="00606B49" w:rsidP="00CB11E9">
      <w:pPr>
        <w:rPr>
          <w:rFonts w:ascii="Baskerville" w:hAnsi="Baskerville"/>
          <w:color w:val="FF0000"/>
        </w:rPr>
      </w:pPr>
      <w:r w:rsidRPr="003D15D5">
        <w:rPr>
          <w:rFonts w:ascii="Baskerville" w:hAnsi="Baskerville"/>
        </w:rPr>
        <w:t xml:space="preserve">Almost all </w:t>
      </w:r>
      <w:r w:rsidR="0052301B" w:rsidRPr="003D15D5">
        <w:rPr>
          <w:rFonts w:ascii="Baskerville" w:hAnsi="Baskerville"/>
        </w:rPr>
        <w:t>studies</w:t>
      </w:r>
      <w:r w:rsidRPr="003D15D5">
        <w:rPr>
          <w:rFonts w:ascii="Baskerville" w:hAnsi="Baskerville"/>
        </w:rPr>
        <w:t xml:space="preserve"> </w:t>
      </w:r>
      <w:r w:rsidR="0052301B" w:rsidRPr="003D15D5">
        <w:rPr>
          <w:rFonts w:ascii="Baskerville" w:hAnsi="Baskerville"/>
        </w:rPr>
        <w:t>of</w:t>
      </w:r>
      <w:r w:rsidRPr="003D15D5">
        <w:rPr>
          <w:rFonts w:ascii="Baskerville" w:hAnsi="Baskerville"/>
        </w:rPr>
        <w:t xml:space="preserve"> the sources of </w:t>
      </w:r>
      <w:r w:rsidR="0052301B" w:rsidRPr="003D15D5">
        <w:rPr>
          <w:rFonts w:ascii="Baskerville" w:hAnsi="Baskerville"/>
        </w:rPr>
        <w:t xml:space="preserve">customary </w:t>
      </w:r>
      <w:r w:rsidRPr="003D15D5">
        <w:rPr>
          <w:rFonts w:ascii="Baskerville" w:hAnsi="Baskerville"/>
        </w:rPr>
        <w:t xml:space="preserve">international law and the </w:t>
      </w:r>
      <w:r w:rsidR="003D15D5" w:rsidRPr="003D15D5">
        <w:rPr>
          <w:rFonts w:ascii="Baskerville" w:hAnsi="Baskerville"/>
        </w:rPr>
        <w:t>applicable</w:t>
      </w:r>
      <w:r w:rsidRPr="003D15D5">
        <w:rPr>
          <w:rFonts w:ascii="Baskerville" w:hAnsi="Baskerville"/>
        </w:rPr>
        <w:t xml:space="preserve"> chapters in general works on international law </w:t>
      </w:r>
      <w:r w:rsidR="0052301B" w:rsidRPr="003D15D5">
        <w:rPr>
          <w:rFonts w:ascii="Baskerville" w:hAnsi="Baskerville"/>
        </w:rPr>
        <w:t>begin</w:t>
      </w:r>
      <w:r w:rsidRPr="003D15D5">
        <w:rPr>
          <w:rFonts w:ascii="Baskerville" w:hAnsi="Baskerville"/>
        </w:rPr>
        <w:t xml:space="preserve"> with Article 38 as </w:t>
      </w:r>
      <w:r w:rsidR="0052301B" w:rsidRPr="003D15D5">
        <w:rPr>
          <w:rFonts w:ascii="Baskerville" w:hAnsi="Baskerville"/>
        </w:rPr>
        <w:t>‘</w:t>
      </w:r>
      <w:r w:rsidRPr="003D15D5">
        <w:rPr>
          <w:rFonts w:ascii="Baskerville" w:hAnsi="Baskerville"/>
        </w:rPr>
        <w:t>the fountainhead of their discussion of the sources</w:t>
      </w:r>
      <w:r w:rsidR="0052301B" w:rsidRPr="003D15D5">
        <w:rPr>
          <w:rFonts w:ascii="Baskerville" w:hAnsi="Baskerville"/>
        </w:rPr>
        <w:t>’</w:t>
      </w:r>
      <w:r w:rsidRPr="003D15D5">
        <w:rPr>
          <w:rFonts w:ascii="Baskerville" w:hAnsi="Baskerville"/>
        </w:rPr>
        <w:t>.</w:t>
      </w:r>
      <w:r w:rsidR="00263038" w:rsidRPr="003D15D5">
        <w:rPr>
          <w:rStyle w:val="FootnoteReference"/>
          <w:rFonts w:ascii="Baskerville" w:hAnsi="Baskerville"/>
        </w:rPr>
        <w:footnoteReference w:id="19"/>
      </w:r>
      <w:r w:rsidRPr="00606B49">
        <w:rPr>
          <w:rFonts w:ascii="Baskerville" w:hAnsi="Baskerville"/>
          <w:color w:val="FF0000"/>
        </w:rPr>
        <w:t xml:space="preserve"> </w:t>
      </w:r>
      <w:r w:rsidR="00BA35FC" w:rsidRPr="00846FE2">
        <w:rPr>
          <w:rFonts w:ascii="Baskerville" w:hAnsi="Baskerville"/>
        </w:rPr>
        <w:t xml:space="preserve">Several authors </w:t>
      </w:r>
      <w:r w:rsidR="00846FE2" w:rsidRPr="00846FE2">
        <w:rPr>
          <w:rFonts w:ascii="Baskerville" w:hAnsi="Baskerville"/>
        </w:rPr>
        <w:t>view</w:t>
      </w:r>
      <w:r w:rsidR="00BA35FC" w:rsidRPr="00846FE2">
        <w:rPr>
          <w:rFonts w:ascii="Baskerville" w:hAnsi="Baskerville"/>
        </w:rPr>
        <w:t xml:space="preserve"> Article 38 as an </w:t>
      </w:r>
      <w:r w:rsidR="00BA35FC" w:rsidRPr="00846FE2">
        <w:rPr>
          <w:rFonts w:ascii="Baskerville" w:hAnsi="Baskerville"/>
          <w:iCs/>
        </w:rPr>
        <w:t>authoritative statement</w:t>
      </w:r>
      <w:r w:rsidR="00BA35FC" w:rsidRPr="00846FE2">
        <w:rPr>
          <w:rFonts w:ascii="Baskerville" w:hAnsi="Baskerville"/>
          <w:i/>
          <w:iCs/>
        </w:rPr>
        <w:t xml:space="preserve"> </w:t>
      </w:r>
      <w:r w:rsidR="00BA35FC" w:rsidRPr="00846FE2">
        <w:rPr>
          <w:rFonts w:ascii="Baskerville" w:hAnsi="Baskerville"/>
        </w:rPr>
        <w:t>(or formal source) of the sources of international law.</w:t>
      </w:r>
      <w:r w:rsidR="00BA35FC" w:rsidRPr="00846FE2">
        <w:rPr>
          <w:rStyle w:val="FootnoteReference"/>
          <w:rFonts w:ascii="Baskerville" w:hAnsi="Baskerville"/>
        </w:rPr>
        <w:footnoteReference w:id="20"/>
      </w:r>
      <w:r w:rsidR="00BA35FC" w:rsidRPr="00606B49">
        <w:rPr>
          <w:rFonts w:ascii="Baskerville" w:hAnsi="Baskerville"/>
          <w:color w:val="FF0000"/>
        </w:rPr>
        <w:t xml:space="preserve"> </w:t>
      </w:r>
      <w:r w:rsidR="001117A6">
        <w:rPr>
          <w:rFonts w:ascii="Baskerville" w:hAnsi="Baskerville"/>
        </w:rPr>
        <w:t>Most works</w:t>
      </w:r>
      <w:r w:rsidRPr="00841900">
        <w:rPr>
          <w:rFonts w:ascii="Baskerville" w:hAnsi="Baskerville"/>
        </w:rPr>
        <w:t xml:space="preserve"> only pr</w:t>
      </w:r>
      <w:r w:rsidR="001E1960" w:rsidRPr="00841900">
        <w:rPr>
          <w:rFonts w:ascii="Baskerville" w:hAnsi="Baskerville"/>
        </w:rPr>
        <w:t>ovide</w:t>
      </w:r>
      <w:r w:rsidRPr="00841900">
        <w:rPr>
          <w:rFonts w:ascii="Baskerville" w:hAnsi="Baskerville"/>
        </w:rPr>
        <w:t xml:space="preserve"> supplemental sources, but do not question Article 38 as the basis.</w:t>
      </w:r>
      <w:r w:rsidR="00125662" w:rsidRPr="00841900">
        <w:rPr>
          <w:rStyle w:val="FootnoteReference"/>
          <w:rFonts w:ascii="Baskerville" w:hAnsi="Baskerville"/>
        </w:rPr>
        <w:footnoteReference w:id="21"/>
      </w:r>
      <w:r w:rsidRPr="00606B49">
        <w:rPr>
          <w:rFonts w:ascii="Baskerville" w:hAnsi="Baskerville"/>
          <w:color w:val="FF0000"/>
        </w:rPr>
        <w:t xml:space="preserve"> </w:t>
      </w:r>
    </w:p>
    <w:p w14:paraId="62D000AD" w14:textId="77777777" w:rsidR="00B172F5" w:rsidRDefault="00B172F5" w:rsidP="00606B49">
      <w:pPr>
        <w:rPr>
          <w:rFonts w:ascii="Baskerville" w:hAnsi="Baskerville"/>
          <w:color w:val="FF0000"/>
        </w:rPr>
      </w:pPr>
    </w:p>
    <w:p w14:paraId="1F8CAB7F" w14:textId="0D8006D3" w:rsidR="00DC7B33" w:rsidRDefault="00BA35FC" w:rsidP="00BA35FC">
      <w:pPr>
        <w:rPr>
          <w:rFonts w:ascii="Baskerville" w:hAnsi="Baskerville"/>
          <w:lang w:val="en-US"/>
        </w:rPr>
      </w:pPr>
      <w:r w:rsidRPr="0020717C">
        <w:rPr>
          <w:rFonts w:ascii="Baskerville" w:hAnsi="Baskerville"/>
          <w:iCs/>
        </w:rPr>
        <w:t xml:space="preserve">The </w:t>
      </w:r>
      <w:r w:rsidR="0020717C" w:rsidRPr="0020717C">
        <w:rPr>
          <w:rFonts w:ascii="Baskerville" w:hAnsi="Baskerville"/>
          <w:iCs/>
        </w:rPr>
        <w:t>specific</w:t>
      </w:r>
      <w:r w:rsidRPr="0020717C">
        <w:rPr>
          <w:rFonts w:ascii="Baskerville" w:hAnsi="Baskerville"/>
          <w:iCs/>
        </w:rPr>
        <w:t xml:space="preserve"> uncertainties of customary international law </w:t>
      </w:r>
      <w:r w:rsidR="0020717C" w:rsidRPr="0020717C">
        <w:rPr>
          <w:rFonts w:ascii="Baskerville" w:hAnsi="Baskerville"/>
          <w:iCs/>
        </w:rPr>
        <w:t>directly indicate</w:t>
      </w:r>
      <w:r w:rsidRPr="0020717C">
        <w:rPr>
          <w:rFonts w:ascii="Baskerville" w:hAnsi="Baskerville"/>
          <w:iCs/>
        </w:rPr>
        <w:t xml:space="preserve"> systemic </w:t>
      </w:r>
      <w:r w:rsidR="0020717C" w:rsidRPr="0020717C">
        <w:rPr>
          <w:rFonts w:ascii="Baskerville" w:hAnsi="Baskerville"/>
          <w:iCs/>
        </w:rPr>
        <w:t>ambiguities</w:t>
      </w:r>
      <w:r w:rsidRPr="0020717C">
        <w:rPr>
          <w:rFonts w:ascii="Baskerville" w:hAnsi="Baskerville"/>
          <w:iCs/>
        </w:rPr>
        <w:t xml:space="preserve"> at a </w:t>
      </w:r>
      <w:r w:rsidR="0020717C" w:rsidRPr="0020717C">
        <w:rPr>
          <w:rFonts w:ascii="Baskerville" w:hAnsi="Baskerville"/>
          <w:iCs/>
        </w:rPr>
        <w:t>greater</w:t>
      </w:r>
      <w:r w:rsidRPr="0020717C">
        <w:rPr>
          <w:rFonts w:ascii="Baskerville" w:hAnsi="Baskerville"/>
          <w:iCs/>
        </w:rPr>
        <w:t xml:space="preserve"> level.</w:t>
      </w:r>
      <w:r w:rsidR="00EB3B6D" w:rsidRPr="0020717C">
        <w:rPr>
          <w:rFonts w:ascii="Baskerville" w:hAnsi="Baskerville"/>
          <w:iCs/>
        </w:rPr>
        <w:t xml:space="preserve"> </w:t>
      </w:r>
      <w:r w:rsidR="00FA59AD">
        <w:rPr>
          <w:rFonts w:ascii="Baskerville" w:hAnsi="Baskerville"/>
          <w:iCs/>
        </w:rPr>
        <w:t xml:space="preserve">Article 38(1)(b) </w:t>
      </w:r>
      <w:r w:rsidRPr="0020717C">
        <w:rPr>
          <w:rFonts w:ascii="Baskerville" w:hAnsi="Baskerville"/>
          <w:iCs/>
        </w:rPr>
        <w:t xml:space="preserve">is </w:t>
      </w:r>
      <w:r w:rsidR="0020717C" w:rsidRPr="0020717C">
        <w:rPr>
          <w:rFonts w:ascii="Baskerville" w:hAnsi="Baskerville"/>
          <w:iCs/>
        </w:rPr>
        <w:t>useful</w:t>
      </w:r>
      <w:r w:rsidRPr="0020717C">
        <w:rPr>
          <w:rFonts w:ascii="Baskerville" w:hAnsi="Baskerville"/>
          <w:iCs/>
        </w:rPr>
        <w:t>, but is it authoritative?</w:t>
      </w:r>
      <w:r w:rsidRPr="000D0AA6">
        <w:rPr>
          <w:rFonts w:ascii="Baskerville" w:hAnsi="Baskerville"/>
          <w:iCs/>
          <w:color w:val="FF0000"/>
        </w:rPr>
        <w:t xml:space="preserve"> </w:t>
      </w:r>
      <w:r w:rsidR="004502FB">
        <w:rPr>
          <w:rFonts w:ascii="Baskerville" w:hAnsi="Baskerville"/>
          <w:lang w:val="en-US"/>
        </w:rPr>
        <w:t>T</w:t>
      </w:r>
      <w:r w:rsidR="004502FB" w:rsidRPr="00E97C88">
        <w:rPr>
          <w:rFonts w:ascii="Baskerville" w:hAnsi="Baskerville"/>
          <w:lang w:val="en-US"/>
        </w:rPr>
        <w:t>he United Nations Char</w:t>
      </w:r>
      <w:r w:rsidR="004502FB" w:rsidRPr="00436C57">
        <w:rPr>
          <w:rFonts w:ascii="Baskerville" w:hAnsi="Baskerville"/>
          <w:lang w:val="en-US"/>
        </w:rPr>
        <w:t xml:space="preserve">ter by Article 92 even incorporates Article 38(1)(b), which </w:t>
      </w:r>
      <w:r w:rsidR="006C2605" w:rsidRPr="00436C57">
        <w:rPr>
          <w:rFonts w:ascii="Baskerville" w:hAnsi="Baskerville"/>
          <w:lang w:val="en-US"/>
        </w:rPr>
        <w:t>recogni</w:t>
      </w:r>
      <w:r w:rsidR="006C2605">
        <w:rPr>
          <w:rFonts w:ascii="Baskerville" w:hAnsi="Baskerville"/>
          <w:lang w:val="en-US"/>
        </w:rPr>
        <w:t>s</w:t>
      </w:r>
      <w:r w:rsidR="006C2605" w:rsidRPr="00436C57">
        <w:rPr>
          <w:rFonts w:ascii="Baskerville" w:hAnsi="Baskerville"/>
          <w:lang w:val="en-US"/>
        </w:rPr>
        <w:t>es</w:t>
      </w:r>
      <w:r w:rsidR="004502FB" w:rsidRPr="00436C57">
        <w:rPr>
          <w:rFonts w:ascii="Baskerville" w:hAnsi="Baskerville"/>
          <w:lang w:val="en-US"/>
        </w:rPr>
        <w:t xml:space="preserve"> the existence of customary international law: </w:t>
      </w:r>
    </w:p>
    <w:p w14:paraId="745D1817" w14:textId="77777777" w:rsidR="001E44C8" w:rsidRDefault="001E44C8" w:rsidP="00BA35FC">
      <w:pPr>
        <w:rPr>
          <w:rFonts w:ascii="Baskerville" w:hAnsi="Baskerville"/>
          <w:lang w:val="en-US"/>
        </w:rPr>
      </w:pPr>
    </w:p>
    <w:p w14:paraId="76308699" w14:textId="1D5DC18F" w:rsidR="00175D2C" w:rsidRDefault="004502FB" w:rsidP="007A2FCA">
      <w:pPr>
        <w:ind w:left="1276" w:right="1496"/>
        <w:rPr>
          <w:rFonts w:ascii="Baskerville" w:hAnsi="Baskerville"/>
          <w:lang w:val="en-US"/>
        </w:rPr>
      </w:pPr>
      <w:r w:rsidRPr="00E97C88">
        <w:rPr>
          <w:rFonts w:ascii="Baskerville" w:hAnsi="Baskerville"/>
          <w:lang w:val="en-US"/>
        </w:rPr>
        <w:t xml:space="preserve">“The Court, whose function is to decide in accordance with international law such disputes as are submitted to it, </w:t>
      </w:r>
      <w:r w:rsidRPr="00E97C88">
        <w:rPr>
          <w:rFonts w:ascii="Baskerville" w:hAnsi="Baskerville"/>
          <w:b/>
          <w:lang w:val="en-US"/>
        </w:rPr>
        <w:t>shall apply...international custom, as evidence of a general practice accepted as law</w:t>
      </w:r>
      <w:r w:rsidRPr="00E97C88">
        <w:rPr>
          <w:rFonts w:ascii="Baskerville" w:hAnsi="Baskerville"/>
          <w:lang w:val="en-US"/>
        </w:rPr>
        <w:t>.”</w:t>
      </w:r>
      <w:r w:rsidR="00DA2CF2">
        <w:rPr>
          <w:rStyle w:val="FootnoteReference"/>
          <w:rFonts w:ascii="Baskerville" w:hAnsi="Baskerville"/>
          <w:lang w:val="en-US"/>
        </w:rPr>
        <w:footnoteReference w:id="22"/>
      </w:r>
      <w:r w:rsidR="00DC7B33">
        <w:rPr>
          <w:rFonts w:ascii="Baskerville" w:hAnsi="Baskerville"/>
          <w:lang w:val="en-US"/>
        </w:rPr>
        <w:t xml:space="preserve"> </w:t>
      </w:r>
    </w:p>
    <w:p w14:paraId="75F511F6" w14:textId="77777777" w:rsidR="00DA2CF2" w:rsidRPr="007A2FCA" w:rsidRDefault="00DA2CF2" w:rsidP="007A2FCA">
      <w:pPr>
        <w:ind w:left="1276" w:right="1496"/>
        <w:rPr>
          <w:rFonts w:ascii="Baskerville" w:hAnsi="Baskerville"/>
          <w:lang w:val="en-US"/>
        </w:rPr>
      </w:pPr>
    </w:p>
    <w:p w14:paraId="15C7F4EF" w14:textId="28BE64C3" w:rsidR="00175D2C" w:rsidRPr="00175D2C" w:rsidRDefault="00175D2C" w:rsidP="00175D2C">
      <w:pPr>
        <w:rPr>
          <w:rFonts w:ascii="Baskerville" w:hAnsi="Baskerville"/>
          <w:bCs/>
          <w:color w:val="FF0000"/>
          <w:lang w:val="en-US"/>
        </w:rPr>
      </w:pPr>
      <w:r w:rsidRPr="00E37805">
        <w:rPr>
          <w:rFonts w:ascii="Baskerville" w:hAnsi="Baskerville"/>
          <w:bCs/>
          <w:lang w:val="en-US"/>
        </w:rPr>
        <w:t>Article 38</w:t>
      </w:r>
      <w:r w:rsidR="004158DF" w:rsidRPr="00E37805">
        <w:rPr>
          <w:rFonts w:ascii="Baskerville" w:hAnsi="Baskerville"/>
          <w:bCs/>
          <w:lang w:val="en-US"/>
        </w:rPr>
        <w:t>(1)(b)</w:t>
      </w:r>
      <w:r w:rsidRPr="00E37805">
        <w:rPr>
          <w:rFonts w:ascii="Baskerville" w:hAnsi="Baskerville"/>
          <w:bCs/>
          <w:lang w:val="en-US"/>
        </w:rPr>
        <w:t xml:space="preserve"> is incomplete in many </w:t>
      </w:r>
      <w:r w:rsidR="004158DF" w:rsidRPr="00E37805">
        <w:rPr>
          <w:rFonts w:ascii="Baskerville" w:hAnsi="Baskerville"/>
          <w:bCs/>
          <w:lang w:val="en-US"/>
        </w:rPr>
        <w:t>aspects</w:t>
      </w:r>
      <w:r w:rsidRPr="00E37805">
        <w:rPr>
          <w:rFonts w:ascii="Baskerville" w:hAnsi="Baskerville"/>
          <w:bCs/>
          <w:lang w:val="en-US"/>
        </w:rPr>
        <w:t xml:space="preserve">. </w:t>
      </w:r>
      <w:r w:rsidR="00E37805" w:rsidRPr="00E37805">
        <w:rPr>
          <w:rFonts w:ascii="Baskerville" w:hAnsi="Baskerville"/>
          <w:bCs/>
          <w:lang w:val="en-US"/>
        </w:rPr>
        <w:t>T</w:t>
      </w:r>
      <w:r w:rsidRPr="00E37805">
        <w:rPr>
          <w:rFonts w:ascii="Baskerville" w:hAnsi="Baskerville"/>
          <w:bCs/>
          <w:lang w:val="en-US"/>
        </w:rPr>
        <w:t xml:space="preserve">he role of UN General Assembly and the Security Council </w:t>
      </w:r>
      <w:r w:rsidR="00E37805" w:rsidRPr="00E37805">
        <w:rPr>
          <w:rFonts w:ascii="Baskerville" w:hAnsi="Baskerville"/>
          <w:bCs/>
          <w:lang w:val="en-US"/>
        </w:rPr>
        <w:t>resolutions are conspicuously absent, as well as</w:t>
      </w:r>
      <w:r w:rsidRPr="00E37805">
        <w:rPr>
          <w:rFonts w:ascii="Baskerville" w:hAnsi="Baskerville"/>
          <w:bCs/>
          <w:lang w:val="en-US"/>
        </w:rPr>
        <w:t xml:space="preserve"> an </w:t>
      </w:r>
      <w:r w:rsidR="00E86B8E">
        <w:rPr>
          <w:rFonts w:ascii="Baskerville" w:hAnsi="Baskerville"/>
          <w:bCs/>
          <w:lang w:val="en-US"/>
        </w:rPr>
        <w:t>identification</w:t>
      </w:r>
      <w:r w:rsidRPr="00E37805">
        <w:rPr>
          <w:rFonts w:ascii="Baskerville" w:hAnsi="Baskerville"/>
          <w:bCs/>
          <w:lang w:val="en-US"/>
        </w:rPr>
        <w:t xml:space="preserve"> of what constitutes customary international law and general state practice.</w:t>
      </w:r>
      <w:r w:rsidRPr="00175D2C">
        <w:rPr>
          <w:rFonts w:ascii="Baskerville" w:hAnsi="Baskerville"/>
          <w:bCs/>
          <w:color w:val="FF0000"/>
          <w:lang w:val="en-US"/>
        </w:rPr>
        <w:t xml:space="preserve"> </w:t>
      </w:r>
      <w:r w:rsidR="00E37805" w:rsidRPr="006710DC">
        <w:rPr>
          <w:rFonts w:ascii="Baskerville" w:hAnsi="Baskerville"/>
          <w:bCs/>
          <w:lang w:val="en-US"/>
        </w:rPr>
        <w:t>S</w:t>
      </w:r>
      <w:r w:rsidRPr="006710DC">
        <w:rPr>
          <w:rFonts w:ascii="Baskerville" w:hAnsi="Baskerville"/>
          <w:bCs/>
          <w:lang w:val="en-US"/>
        </w:rPr>
        <w:t xml:space="preserve">tates are bound by </w:t>
      </w:r>
      <w:r w:rsidRPr="006710DC">
        <w:rPr>
          <w:rFonts w:ascii="Baskerville" w:hAnsi="Baskerville"/>
          <w:bCs/>
          <w:i/>
          <w:iCs/>
          <w:lang w:val="en-US"/>
        </w:rPr>
        <w:t xml:space="preserve">jus cogens </w:t>
      </w:r>
      <w:r w:rsidRPr="006710DC">
        <w:rPr>
          <w:rFonts w:ascii="Baskerville" w:hAnsi="Baskerville"/>
          <w:bCs/>
          <w:lang w:val="en-US"/>
        </w:rPr>
        <w:t xml:space="preserve">and </w:t>
      </w:r>
      <w:r w:rsidRPr="006710DC">
        <w:rPr>
          <w:rFonts w:ascii="Baskerville" w:hAnsi="Baskerville"/>
          <w:bCs/>
          <w:i/>
          <w:iCs/>
          <w:lang w:val="en-US"/>
        </w:rPr>
        <w:t>erga omnes</w:t>
      </w:r>
      <w:r w:rsidRPr="006710DC">
        <w:rPr>
          <w:rFonts w:ascii="Baskerville" w:hAnsi="Baskerville"/>
          <w:bCs/>
          <w:lang w:val="en-US"/>
        </w:rPr>
        <w:t xml:space="preserve"> obligations, but </w:t>
      </w:r>
      <w:r w:rsidR="00E9373C" w:rsidRPr="006710DC">
        <w:rPr>
          <w:rFonts w:ascii="Baskerville" w:hAnsi="Baskerville"/>
          <w:bCs/>
          <w:lang w:val="en-US"/>
        </w:rPr>
        <w:t>‘</w:t>
      </w:r>
      <w:r w:rsidRPr="006710DC">
        <w:rPr>
          <w:rFonts w:ascii="Baskerville" w:hAnsi="Baskerville"/>
          <w:bCs/>
          <w:lang w:val="en-US"/>
        </w:rPr>
        <w:t>nothing in the statutory matrix explains the importance of these principles</w:t>
      </w:r>
      <w:r w:rsidR="00E9373C" w:rsidRPr="006710DC">
        <w:rPr>
          <w:rFonts w:ascii="Baskerville" w:hAnsi="Baskerville"/>
          <w:bCs/>
          <w:lang w:val="en-US"/>
        </w:rPr>
        <w:t>’</w:t>
      </w:r>
      <w:r w:rsidRPr="006710DC">
        <w:rPr>
          <w:rFonts w:ascii="Baskerville" w:hAnsi="Baskerville"/>
          <w:bCs/>
          <w:lang w:val="en-US"/>
        </w:rPr>
        <w:t>.</w:t>
      </w:r>
      <w:r w:rsidR="00CA6CE1" w:rsidRPr="006710DC">
        <w:rPr>
          <w:rStyle w:val="FootnoteReference"/>
          <w:rFonts w:ascii="Baskerville" w:hAnsi="Baskerville"/>
          <w:lang w:val="en-US"/>
        </w:rPr>
        <w:footnoteReference w:id="23"/>
      </w:r>
      <w:r w:rsidR="00CA6CE1" w:rsidRPr="006710DC">
        <w:rPr>
          <w:rFonts w:ascii="Baskerville" w:hAnsi="Baskerville"/>
          <w:lang w:val="en-US"/>
        </w:rPr>
        <w:t xml:space="preserve"> </w:t>
      </w:r>
      <w:r w:rsidR="00E37805" w:rsidRPr="006710DC">
        <w:rPr>
          <w:rFonts w:ascii="Baskerville" w:hAnsi="Baskerville"/>
          <w:bCs/>
          <w:lang w:val="en-US"/>
        </w:rPr>
        <w:t>Article 38(1)(b)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E37805" w:rsidRPr="006710DC">
        <w:rPr>
          <w:rFonts w:ascii="Baskerville" w:hAnsi="Baskerville"/>
          <w:bCs/>
          <w:lang w:val="en-US"/>
        </w:rPr>
        <w:t>does not comment on</w:t>
      </w:r>
      <w:r w:rsidRPr="006710DC">
        <w:rPr>
          <w:rFonts w:ascii="Baskerville" w:hAnsi="Baskerville"/>
          <w:bCs/>
          <w:lang w:val="en-US"/>
        </w:rPr>
        <w:t xml:space="preserve"> persistent objectors</w:t>
      </w:r>
      <w:r w:rsidR="00CA6CE1" w:rsidRPr="006710DC">
        <w:rPr>
          <w:rFonts w:ascii="Baskerville" w:hAnsi="Baskerville"/>
          <w:bCs/>
          <w:lang w:val="en-US"/>
        </w:rPr>
        <w:t>;</w:t>
      </w:r>
      <w:r w:rsidRPr="006710DC">
        <w:rPr>
          <w:rFonts w:ascii="Baskerville" w:hAnsi="Baskerville"/>
          <w:bCs/>
          <w:lang w:val="en-US"/>
        </w:rPr>
        <w:t xml:space="preserve"> subsequent objectors</w:t>
      </w:r>
      <w:r w:rsidR="00CA6CE1" w:rsidRPr="006710DC">
        <w:rPr>
          <w:rFonts w:ascii="Baskerville" w:hAnsi="Baskerville"/>
          <w:bCs/>
          <w:lang w:val="en-US"/>
        </w:rPr>
        <w:t xml:space="preserve">, </w:t>
      </w:r>
      <w:r w:rsidRPr="006710DC">
        <w:rPr>
          <w:rFonts w:ascii="Baskerville" w:hAnsi="Baskerville"/>
          <w:bCs/>
          <w:i/>
          <w:iCs/>
          <w:lang w:val="en-US"/>
        </w:rPr>
        <w:t>opinio juris</w:t>
      </w:r>
      <w:r w:rsidR="00CA6CE1" w:rsidRPr="006710DC">
        <w:rPr>
          <w:rFonts w:ascii="Baskerville" w:hAnsi="Baskerville"/>
          <w:bCs/>
          <w:iCs/>
          <w:lang w:val="en-US"/>
        </w:rPr>
        <w:t>,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CA6CE1" w:rsidRPr="006710DC">
        <w:rPr>
          <w:rFonts w:ascii="Baskerville" w:hAnsi="Baskerville"/>
          <w:bCs/>
          <w:lang w:val="en-US"/>
        </w:rPr>
        <w:t>and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CA6CE1" w:rsidRPr="006710DC">
        <w:rPr>
          <w:rFonts w:ascii="Baskerville" w:hAnsi="Baskerville"/>
          <w:bCs/>
          <w:lang w:val="en-US"/>
        </w:rPr>
        <w:t>the number of</w:t>
      </w:r>
      <w:r w:rsidRPr="006710DC">
        <w:rPr>
          <w:rFonts w:ascii="Baskerville" w:hAnsi="Baskerville"/>
          <w:bCs/>
          <w:lang w:val="en-US"/>
        </w:rPr>
        <w:t xml:space="preserve"> states </w:t>
      </w:r>
      <w:r w:rsidR="00CA6CE1" w:rsidRPr="006710DC">
        <w:rPr>
          <w:rFonts w:ascii="Baskerville" w:hAnsi="Baskerville"/>
          <w:bCs/>
          <w:lang w:val="en-US"/>
        </w:rPr>
        <w:t xml:space="preserve">that </w:t>
      </w:r>
      <w:r w:rsidRPr="006710DC">
        <w:rPr>
          <w:rFonts w:ascii="Baskerville" w:hAnsi="Baskerville"/>
          <w:bCs/>
          <w:lang w:val="en-US"/>
        </w:rPr>
        <w:t>must follow a practice in order for it to be considered a custom</w:t>
      </w:r>
      <w:r w:rsidR="00CA6CE1" w:rsidRPr="006710DC">
        <w:rPr>
          <w:rFonts w:ascii="Baskerville" w:hAnsi="Baskerville"/>
          <w:bCs/>
          <w:lang w:val="en-US"/>
        </w:rPr>
        <w:t>.</w:t>
      </w:r>
      <w:r w:rsidRPr="006710DC">
        <w:rPr>
          <w:rFonts w:ascii="Baskerville" w:hAnsi="Baskerville"/>
          <w:bCs/>
          <w:lang w:val="en-US"/>
        </w:rPr>
        <w:t xml:space="preserve"> </w:t>
      </w:r>
      <w:r w:rsidR="00CA6CE1" w:rsidRPr="006710DC">
        <w:rPr>
          <w:rFonts w:ascii="Baskerville" w:hAnsi="Baskerville"/>
          <w:bCs/>
          <w:lang w:val="en-US"/>
        </w:rPr>
        <w:t xml:space="preserve">This </w:t>
      </w:r>
      <w:r w:rsidR="002C6269">
        <w:rPr>
          <w:rFonts w:ascii="Baskerville" w:hAnsi="Baskerville"/>
          <w:bCs/>
          <w:lang w:val="en-US"/>
        </w:rPr>
        <w:t xml:space="preserve">undermines </w:t>
      </w:r>
      <w:r w:rsidR="00CA6CE1" w:rsidRPr="006710DC">
        <w:rPr>
          <w:rFonts w:ascii="Baskerville" w:hAnsi="Baskerville"/>
          <w:bCs/>
          <w:lang w:val="en-US"/>
        </w:rPr>
        <w:t xml:space="preserve">the authoritative status of Article 38(1)(b) as a source of </w:t>
      </w:r>
      <w:r w:rsidR="00395C6F" w:rsidRPr="006710DC">
        <w:rPr>
          <w:rFonts w:ascii="Baskerville" w:hAnsi="Baskerville"/>
          <w:bCs/>
          <w:lang w:val="en-US"/>
        </w:rPr>
        <w:t xml:space="preserve">customary </w:t>
      </w:r>
      <w:r w:rsidR="00CA6CE1" w:rsidRPr="006710DC">
        <w:rPr>
          <w:rFonts w:ascii="Baskerville" w:hAnsi="Baskerville"/>
          <w:bCs/>
          <w:lang w:val="en-US"/>
        </w:rPr>
        <w:t>international law.</w:t>
      </w:r>
    </w:p>
    <w:p w14:paraId="744E36BB" w14:textId="77777777" w:rsidR="00D44CBF" w:rsidRPr="00D44CBF" w:rsidRDefault="00D44CBF" w:rsidP="00940004">
      <w:pPr>
        <w:rPr>
          <w:rFonts w:ascii="Baskerville" w:hAnsi="Baskerville"/>
          <w:color w:val="FF0000"/>
        </w:rPr>
      </w:pPr>
    </w:p>
    <w:p w14:paraId="0AC58C8F" w14:textId="1F6EEF11" w:rsidR="001A6E2F" w:rsidRDefault="00A749E1" w:rsidP="001A6E2F">
      <w:pPr>
        <w:rPr>
          <w:rFonts w:ascii="Baskerville" w:hAnsi="Baskerville"/>
          <w:b/>
          <w:u w:val="single"/>
          <w:lang w:val="en-US"/>
        </w:rPr>
      </w:pPr>
      <w:r>
        <w:rPr>
          <w:rFonts w:ascii="Baskerville" w:hAnsi="Baskerville"/>
          <w:b/>
          <w:u w:val="single"/>
          <w:lang w:val="en-US"/>
        </w:rPr>
        <w:t>Article 38</w:t>
      </w:r>
      <w:r w:rsidR="001A6E2F" w:rsidRPr="001A6E2F">
        <w:rPr>
          <w:rFonts w:ascii="Baskerville" w:hAnsi="Baskerville"/>
          <w:b/>
          <w:u w:val="single"/>
          <w:lang w:val="en-US"/>
        </w:rPr>
        <w:t>(1)(c)</w:t>
      </w:r>
      <w:r w:rsidR="00FB38BF">
        <w:rPr>
          <w:rFonts w:ascii="Baskerville" w:hAnsi="Baskerville"/>
          <w:b/>
          <w:u w:val="single"/>
          <w:lang w:val="en-US"/>
        </w:rPr>
        <w:t>:</w:t>
      </w:r>
      <w:r w:rsidR="001A6E2F" w:rsidRPr="001A6E2F">
        <w:rPr>
          <w:rFonts w:ascii="Baskerville" w:hAnsi="Baskerville"/>
          <w:b/>
          <w:u w:val="single"/>
          <w:lang w:val="en-US"/>
        </w:rPr>
        <w:t xml:space="preserve"> General Principle</w:t>
      </w:r>
      <w:r w:rsidR="00CB325C">
        <w:rPr>
          <w:rFonts w:ascii="Baskerville" w:hAnsi="Baskerville"/>
          <w:b/>
          <w:u w:val="single"/>
          <w:lang w:val="en-US"/>
        </w:rPr>
        <w:t>s</w:t>
      </w:r>
      <w:r w:rsidR="001A6E2F" w:rsidRPr="001A6E2F">
        <w:rPr>
          <w:rFonts w:ascii="Baskerville" w:hAnsi="Baskerville"/>
          <w:b/>
          <w:u w:val="single"/>
          <w:lang w:val="en-US"/>
        </w:rPr>
        <w:t xml:space="preserve"> o</w:t>
      </w:r>
      <w:r w:rsidR="00FB38BF">
        <w:rPr>
          <w:rFonts w:ascii="Baskerville" w:hAnsi="Baskerville"/>
          <w:b/>
          <w:u w:val="single"/>
          <w:lang w:val="en-US"/>
        </w:rPr>
        <w:t>f Law</w:t>
      </w:r>
    </w:p>
    <w:p w14:paraId="6C012DA6" w14:textId="77777777" w:rsidR="001A6E2F" w:rsidRPr="001A6E2F" w:rsidRDefault="001A6E2F" w:rsidP="001A6E2F">
      <w:pPr>
        <w:rPr>
          <w:rFonts w:ascii="Baskerville" w:hAnsi="Baskerville"/>
          <w:b/>
          <w:u w:val="single"/>
          <w:lang w:val="en-US"/>
        </w:rPr>
      </w:pPr>
    </w:p>
    <w:p w14:paraId="1AF4EAD5" w14:textId="6A66160D" w:rsidR="00BD0A8B" w:rsidRDefault="007F61A7" w:rsidP="001A6E2F">
      <w:pPr>
        <w:rPr>
          <w:rFonts w:ascii="Baskerville" w:hAnsi="Baskerville"/>
        </w:rPr>
      </w:pPr>
      <w:r>
        <w:rPr>
          <w:rFonts w:ascii="Baskerville" w:hAnsi="Baskerville"/>
          <w:iCs/>
          <w:lang w:val="en-US"/>
        </w:rPr>
        <w:t xml:space="preserve">The General Principles of Law are defined as the </w:t>
      </w:r>
      <w:r w:rsidRPr="007F61A7">
        <w:rPr>
          <w:rFonts w:ascii="Baskerville" w:hAnsi="Baskerville"/>
          <w:iCs/>
          <w:lang w:val="en-US"/>
        </w:rPr>
        <w:t>“reservoir of principles which an international judge is authorised by Article 38 to apply in an international dispute, if their application appears relevant and appropriate in the different c</w:t>
      </w:r>
      <w:r>
        <w:rPr>
          <w:rFonts w:ascii="Baskerville" w:hAnsi="Baskerville"/>
          <w:iCs/>
          <w:lang w:val="en-US"/>
        </w:rPr>
        <w:t>ontext of interstate relations”.</w:t>
      </w:r>
      <w:r>
        <w:rPr>
          <w:rStyle w:val="FootnoteReference"/>
          <w:rFonts w:ascii="Baskerville" w:hAnsi="Baskerville"/>
          <w:iCs/>
          <w:lang w:val="en-US"/>
        </w:rPr>
        <w:footnoteReference w:id="24"/>
      </w:r>
      <w:r w:rsidR="00E97036">
        <w:rPr>
          <w:rFonts w:ascii="Baskerville" w:hAnsi="Baskerville"/>
          <w:lang w:val="en-US"/>
        </w:rPr>
        <w:t xml:space="preserve"> </w:t>
      </w:r>
      <w:r w:rsidR="001A6E2F" w:rsidRPr="00E97036">
        <w:rPr>
          <w:rFonts w:ascii="Baskerville" w:hAnsi="Baskerville"/>
          <w:lang w:val="en-US"/>
        </w:rPr>
        <w:t xml:space="preserve">This is </w:t>
      </w:r>
      <w:r w:rsidR="00E21E32" w:rsidRPr="00E97036">
        <w:rPr>
          <w:rFonts w:ascii="Baskerville" w:hAnsi="Baskerville"/>
          <w:lang w:val="en-US"/>
        </w:rPr>
        <w:t xml:space="preserve">an </w:t>
      </w:r>
      <w:r w:rsidR="001A6E2F" w:rsidRPr="00E97036">
        <w:rPr>
          <w:rFonts w:ascii="Baskerville" w:hAnsi="Baskerville"/>
          <w:lang w:val="en-US"/>
        </w:rPr>
        <w:t>unclear and controversial area of the source</w:t>
      </w:r>
      <w:r w:rsidR="00E21E32" w:rsidRPr="00E97036">
        <w:rPr>
          <w:rFonts w:ascii="Baskerville" w:hAnsi="Baskerville"/>
          <w:lang w:val="en-US"/>
        </w:rPr>
        <w:t>s</w:t>
      </w:r>
      <w:r w:rsidR="001A6E2F" w:rsidRPr="00E97036">
        <w:rPr>
          <w:rFonts w:ascii="Baskerville" w:hAnsi="Baskerville"/>
          <w:lang w:val="en-US"/>
        </w:rPr>
        <w:t>.</w:t>
      </w:r>
      <w:r w:rsidR="001A6E2F" w:rsidRPr="001F1574">
        <w:rPr>
          <w:rFonts w:ascii="Baskerville" w:hAnsi="Baskerville"/>
          <w:color w:val="FF0000"/>
          <w:lang w:val="en-US"/>
        </w:rPr>
        <w:t xml:space="preserve"> </w:t>
      </w:r>
      <w:r w:rsidR="00932758" w:rsidRPr="00960804">
        <w:rPr>
          <w:rFonts w:ascii="Baskerville" w:hAnsi="Baskerville"/>
        </w:rPr>
        <w:t xml:space="preserve">Article 38(1)(c) is </w:t>
      </w:r>
      <w:r w:rsidR="00960804">
        <w:rPr>
          <w:rFonts w:ascii="Baskerville" w:hAnsi="Baskerville"/>
        </w:rPr>
        <w:t>widely</w:t>
      </w:r>
      <w:r w:rsidR="00932758" w:rsidRPr="00960804">
        <w:rPr>
          <w:rFonts w:ascii="Baskerville" w:hAnsi="Baskerville"/>
        </w:rPr>
        <w:t xml:space="preserve"> considered to refer to the rules of domestic legal systems. Resultantly, </w:t>
      </w:r>
      <w:r w:rsidR="00800924">
        <w:rPr>
          <w:rFonts w:ascii="Baskerville" w:hAnsi="Baskerville"/>
        </w:rPr>
        <w:t>this section</w:t>
      </w:r>
      <w:r w:rsidR="00932758" w:rsidRPr="00960804">
        <w:rPr>
          <w:rFonts w:ascii="Baskerville" w:hAnsi="Baskerville"/>
        </w:rPr>
        <w:t xml:space="preserve"> is often deemed to fall within the scope of comparative law.</w:t>
      </w:r>
    </w:p>
    <w:p w14:paraId="4D118F38" w14:textId="77777777" w:rsidR="00982FF4" w:rsidRPr="00CA6CE1" w:rsidRDefault="00982FF4" w:rsidP="001A6E2F">
      <w:pPr>
        <w:rPr>
          <w:rFonts w:ascii="Baskerville" w:hAnsi="Baskerville"/>
          <w:color w:val="FF0000"/>
        </w:rPr>
      </w:pPr>
    </w:p>
    <w:p w14:paraId="40E1B53C" w14:textId="7B89B4A8" w:rsidR="00BD0A8B" w:rsidRDefault="00D76093" w:rsidP="001A6E2F">
      <w:pPr>
        <w:rPr>
          <w:rFonts w:ascii="Baskerville" w:hAnsi="Baskerville"/>
          <w:color w:val="FF0000"/>
          <w:lang w:val="en-US"/>
        </w:rPr>
      </w:pPr>
      <w:r w:rsidRPr="001F08B8">
        <w:rPr>
          <w:rFonts w:ascii="Baskerville" w:hAnsi="Baskerville"/>
          <w:lang w:val="en-US"/>
        </w:rPr>
        <w:t xml:space="preserve">Article 38(1)(c) </w:t>
      </w:r>
      <w:r w:rsidR="001F08B8" w:rsidRPr="001F08B8">
        <w:rPr>
          <w:rFonts w:ascii="Baskerville" w:hAnsi="Baskerville"/>
          <w:lang w:val="en-US"/>
        </w:rPr>
        <w:t>puts emphasis on</w:t>
      </w:r>
      <w:r w:rsidRPr="001F08B8">
        <w:rPr>
          <w:rFonts w:ascii="Baskerville" w:hAnsi="Baskerville"/>
          <w:lang w:val="en-US"/>
        </w:rPr>
        <w:t xml:space="preserve"> a consent-based legal system that </w:t>
      </w:r>
      <w:r w:rsidR="0071197F" w:rsidRPr="001F08B8">
        <w:rPr>
          <w:rFonts w:ascii="Baskerville" w:hAnsi="Baskerville"/>
          <w:lang w:val="en-US"/>
        </w:rPr>
        <w:t>centers</w:t>
      </w:r>
      <w:r w:rsidRPr="001F08B8">
        <w:rPr>
          <w:rFonts w:ascii="Baskerville" w:hAnsi="Baskerville"/>
          <w:lang w:val="en-US"/>
        </w:rPr>
        <w:t xml:space="preserve"> </w:t>
      </w:r>
      <w:r w:rsidR="0071197F" w:rsidRPr="001F08B8">
        <w:rPr>
          <w:rFonts w:ascii="Baskerville" w:hAnsi="Baskerville"/>
          <w:lang w:val="en-US"/>
        </w:rPr>
        <w:t>on</w:t>
      </w:r>
      <w:r w:rsidRPr="001F08B8">
        <w:rPr>
          <w:rFonts w:ascii="Baskerville" w:hAnsi="Baskerville"/>
          <w:lang w:val="en-US"/>
        </w:rPr>
        <w:t xml:space="preserve"> voluntary action. </w:t>
      </w:r>
      <w:r w:rsidR="001F08B8" w:rsidRPr="006770E5">
        <w:rPr>
          <w:rFonts w:ascii="Baskerville" w:hAnsi="Baskerville"/>
          <w:lang w:val="en-US"/>
        </w:rPr>
        <w:t>Theoretically</w:t>
      </w:r>
      <w:r w:rsidRPr="006770E5">
        <w:rPr>
          <w:rFonts w:ascii="Baskerville" w:hAnsi="Baskerville"/>
          <w:lang w:val="en-US"/>
        </w:rPr>
        <w:t xml:space="preserve">, states </w:t>
      </w:r>
      <w:r w:rsidR="006770E5" w:rsidRPr="006770E5">
        <w:rPr>
          <w:rFonts w:ascii="Baskerville" w:hAnsi="Baskerville"/>
          <w:lang w:val="en-US"/>
        </w:rPr>
        <w:t xml:space="preserve">should only follow </w:t>
      </w:r>
      <w:r w:rsidRPr="006770E5">
        <w:rPr>
          <w:rFonts w:ascii="Baskerville" w:hAnsi="Baskerville"/>
          <w:lang w:val="en-US"/>
        </w:rPr>
        <w:t xml:space="preserve">those norms that they consent to, </w:t>
      </w:r>
      <w:r w:rsidR="006770E5" w:rsidRPr="006770E5">
        <w:rPr>
          <w:rFonts w:ascii="Baskerville" w:hAnsi="Baskerville"/>
          <w:lang w:val="en-US"/>
        </w:rPr>
        <w:t>either by</w:t>
      </w:r>
      <w:r w:rsidRPr="006770E5">
        <w:rPr>
          <w:rFonts w:ascii="Baskerville" w:hAnsi="Baskerville"/>
          <w:lang w:val="en-US"/>
        </w:rPr>
        <w:t xml:space="preserve"> treaty or </w:t>
      </w:r>
      <w:r w:rsidR="006770E5" w:rsidRPr="006770E5">
        <w:rPr>
          <w:rFonts w:ascii="Baskerville" w:hAnsi="Baskerville"/>
          <w:lang w:val="en-US"/>
        </w:rPr>
        <w:t>through the</w:t>
      </w:r>
      <w:r w:rsidRPr="006770E5">
        <w:rPr>
          <w:rFonts w:ascii="Baskerville" w:hAnsi="Baskerville"/>
          <w:lang w:val="en-US"/>
        </w:rPr>
        <w:t xml:space="preserve"> </w:t>
      </w:r>
      <w:r w:rsidR="006770E5" w:rsidRPr="006770E5">
        <w:rPr>
          <w:rFonts w:ascii="Baskerville" w:hAnsi="Baskerville"/>
          <w:lang w:val="en-US"/>
        </w:rPr>
        <w:t>conviction</w:t>
      </w:r>
      <w:r w:rsidRPr="006770E5">
        <w:rPr>
          <w:rFonts w:ascii="Baskerville" w:hAnsi="Baskerville"/>
          <w:lang w:val="en-US"/>
        </w:rPr>
        <w:t xml:space="preserve"> that a custom binds them.</w:t>
      </w:r>
      <w:r w:rsidRPr="00D76093">
        <w:rPr>
          <w:rFonts w:ascii="Baskerville" w:hAnsi="Baskerville"/>
          <w:color w:val="FF0000"/>
          <w:lang w:val="en-US"/>
        </w:rPr>
        <w:t xml:space="preserve"> </w:t>
      </w:r>
      <w:r w:rsidR="006770E5" w:rsidRPr="006770E5">
        <w:rPr>
          <w:rFonts w:ascii="Baskerville" w:hAnsi="Baskerville"/>
          <w:lang w:val="en-US"/>
        </w:rPr>
        <w:t>Moreover, some</w:t>
      </w:r>
      <w:r w:rsidR="00BD0A8B" w:rsidRPr="006770E5">
        <w:rPr>
          <w:rFonts w:ascii="Baskerville" w:hAnsi="Baskerville"/>
          <w:lang w:val="en-US"/>
        </w:rPr>
        <w:t xml:space="preserve"> </w:t>
      </w:r>
      <w:r w:rsidR="006770E5" w:rsidRPr="006770E5">
        <w:rPr>
          <w:rFonts w:ascii="Baskerville" w:hAnsi="Baskerville"/>
          <w:lang w:val="en-US"/>
        </w:rPr>
        <w:t>regular</w:t>
      </w:r>
      <w:r w:rsidR="00BD0A8B" w:rsidRPr="006770E5">
        <w:rPr>
          <w:rFonts w:ascii="Baskerville" w:hAnsi="Baskerville"/>
          <w:lang w:val="en-US"/>
        </w:rPr>
        <w:t xml:space="preserve"> practices are </w:t>
      </w:r>
      <w:r w:rsidR="006770E5" w:rsidRPr="006770E5">
        <w:rPr>
          <w:rFonts w:ascii="Baskerville" w:hAnsi="Baskerville"/>
          <w:lang w:val="en-US"/>
        </w:rPr>
        <w:t>contained</w:t>
      </w:r>
      <w:r w:rsidR="00BD0A8B" w:rsidRPr="006770E5">
        <w:rPr>
          <w:rFonts w:ascii="Baskerville" w:hAnsi="Baskerville"/>
          <w:lang w:val="en-US"/>
        </w:rPr>
        <w:t xml:space="preserve"> under the heading of ‘general principles of law’</w:t>
      </w:r>
      <w:r w:rsidR="006770E5" w:rsidRPr="006770E5">
        <w:rPr>
          <w:rFonts w:ascii="Baskerville" w:hAnsi="Baskerville"/>
          <w:lang w:val="en-US"/>
        </w:rPr>
        <w:t>, as</w:t>
      </w:r>
      <w:r w:rsidR="000059A9" w:rsidRPr="006770E5">
        <w:rPr>
          <w:rFonts w:ascii="Baskerville" w:hAnsi="Baskerville"/>
          <w:lang w:val="en-US"/>
        </w:rPr>
        <w:t xml:space="preserve"> recognised by Article 38(1)(c)</w:t>
      </w:r>
      <w:r w:rsidR="00BD0A8B" w:rsidRPr="006770E5">
        <w:rPr>
          <w:rFonts w:ascii="Baskerville" w:hAnsi="Baskerville"/>
          <w:lang w:val="en-US"/>
        </w:rPr>
        <w:t xml:space="preserve">. In reality, </w:t>
      </w:r>
      <w:r w:rsidR="006770E5" w:rsidRPr="006770E5">
        <w:rPr>
          <w:rFonts w:ascii="Baskerville" w:hAnsi="Baskerville"/>
          <w:lang w:val="en-US"/>
        </w:rPr>
        <w:t xml:space="preserve">however, </w:t>
      </w:r>
      <w:r w:rsidR="00BD0A8B" w:rsidRPr="006770E5">
        <w:rPr>
          <w:rFonts w:ascii="Baskerville" w:hAnsi="Baskerville"/>
          <w:lang w:val="en-US"/>
        </w:rPr>
        <w:t xml:space="preserve">states are </w:t>
      </w:r>
      <w:r w:rsidR="00A03537">
        <w:rPr>
          <w:rFonts w:ascii="Baskerville" w:hAnsi="Baskerville"/>
          <w:lang w:val="en-US"/>
        </w:rPr>
        <w:t xml:space="preserve">often </w:t>
      </w:r>
      <w:r w:rsidR="00BD0A8B" w:rsidRPr="006770E5">
        <w:rPr>
          <w:rFonts w:ascii="Baskerville" w:hAnsi="Baskerville"/>
          <w:lang w:val="en-US"/>
        </w:rPr>
        <w:t xml:space="preserve">bound by norms that they have not </w:t>
      </w:r>
      <w:r w:rsidR="006770E5" w:rsidRPr="006770E5">
        <w:rPr>
          <w:rFonts w:ascii="Baskerville" w:hAnsi="Baskerville"/>
          <w:lang w:val="en-US"/>
        </w:rPr>
        <w:t xml:space="preserve">completely </w:t>
      </w:r>
      <w:r w:rsidR="00BD0A8B" w:rsidRPr="006770E5">
        <w:rPr>
          <w:rFonts w:ascii="Baskerville" w:hAnsi="Baskerville"/>
          <w:lang w:val="en-US"/>
        </w:rPr>
        <w:t>consented to</w:t>
      </w:r>
      <w:r w:rsidR="00272968">
        <w:rPr>
          <w:rFonts w:ascii="Baskerville" w:hAnsi="Baskerville"/>
          <w:lang w:val="en-US"/>
        </w:rPr>
        <w:t>, such as</w:t>
      </w:r>
      <w:r w:rsidR="00BD0A8B" w:rsidRPr="004730BA">
        <w:rPr>
          <w:rFonts w:ascii="Baskerville" w:hAnsi="Baskerville"/>
          <w:lang w:val="en-US"/>
        </w:rPr>
        <w:t xml:space="preserve"> </w:t>
      </w:r>
      <w:r w:rsidR="00BD0A8B" w:rsidRPr="004730BA">
        <w:rPr>
          <w:rFonts w:ascii="Baskerville" w:hAnsi="Baskerville"/>
          <w:i/>
          <w:iCs/>
          <w:lang w:val="en-US"/>
        </w:rPr>
        <w:t>jus cogens</w:t>
      </w:r>
      <w:r w:rsidR="00BD0A8B" w:rsidRPr="004730BA">
        <w:rPr>
          <w:rFonts w:ascii="Baskerville" w:hAnsi="Baskerville"/>
          <w:lang w:val="en-US"/>
        </w:rPr>
        <w:t xml:space="preserve"> obligations and even </w:t>
      </w:r>
      <w:r w:rsidR="00BD0A8B" w:rsidRPr="004730BA">
        <w:rPr>
          <w:rFonts w:ascii="Baskerville" w:hAnsi="Baskerville"/>
          <w:i/>
          <w:iCs/>
          <w:lang w:val="en-US"/>
        </w:rPr>
        <w:t>erga omnes</w:t>
      </w:r>
      <w:r w:rsidR="000C5CB2">
        <w:rPr>
          <w:rFonts w:ascii="Baskerville" w:hAnsi="Baskerville"/>
          <w:lang w:val="en-US"/>
        </w:rPr>
        <w:t xml:space="preserve"> obligations</w:t>
      </w:r>
      <w:r w:rsidR="00BD0A8B" w:rsidRPr="004730BA">
        <w:rPr>
          <w:rFonts w:ascii="Baskerville" w:hAnsi="Baskerville"/>
          <w:lang w:val="en-US"/>
        </w:rPr>
        <w:t xml:space="preserve">, </w:t>
      </w:r>
      <w:r w:rsidR="004730BA" w:rsidRPr="004730BA">
        <w:rPr>
          <w:rFonts w:ascii="Baskerville" w:hAnsi="Baskerville"/>
          <w:lang w:val="en-US"/>
        </w:rPr>
        <w:t>yet they nonetheless</w:t>
      </w:r>
      <w:r w:rsidR="00BD0A8B" w:rsidRPr="004730BA">
        <w:rPr>
          <w:rFonts w:ascii="Baskerville" w:hAnsi="Baskerville"/>
          <w:lang w:val="en-US"/>
        </w:rPr>
        <w:t xml:space="preserve"> bind all states.</w:t>
      </w:r>
      <w:r w:rsidR="00BD0A8B" w:rsidRPr="00BD0A8B">
        <w:rPr>
          <w:rFonts w:ascii="Baskerville" w:hAnsi="Baskerville"/>
          <w:color w:val="FF0000"/>
          <w:lang w:val="en-US"/>
        </w:rPr>
        <w:t xml:space="preserve"> </w:t>
      </w:r>
      <w:r w:rsidR="00BD0A8B" w:rsidRPr="00DB1F0A">
        <w:rPr>
          <w:rFonts w:ascii="Baskerville" w:hAnsi="Baskerville"/>
          <w:lang w:val="en-US"/>
        </w:rPr>
        <w:t xml:space="preserve">For </w:t>
      </w:r>
      <w:r w:rsidR="00DB1F0A" w:rsidRPr="00DB1F0A">
        <w:rPr>
          <w:rFonts w:ascii="Baskerville" w:hAnsi="Baskerville"/>
          <w:lang w:val="en-US"/>
        </w:rPr>
        <w:t>instance</w:t>
      </w:r>
      <w:r w:rsidR="00BD0A8B" w:rsidRPr="00DB1F0A">
        <w:rPr>
          <w:rFonts w:ascii="Baskerville" w:hAnsi="Baskerville"/>
          <w:lang w:val="en-US"/>
        </w:rPr>
        <w:t xml:space="preserve">, the </w:t>
      </w:r>
      <w:r w:rsidR="00DB1F0A" w:rsidRPr="00DB1F0A">
        <w:rPr>
          <w:rFonts w:ascii="Baskerville" w:hAnsi="Baskerville"/>
          <w:lang w:val="en-US"/>
        </w:rPr>
        <w:t xml:space="preserve">UN </w:t>
      </w:r>
      <w:r w:rsidR="00BD0A8B" w:rsidRPr="00DB1F0A">
        <w:rPr>
          <w:rFonts w:ascii="Baskerville" w:hAnsi="Baskerville"/>
          <w:lang w:val="en-US"/>
        </w:rPr>
        <w:t xml:space="preserve">Security Council, </w:t>
      </w:r>
      <w:r w:rsidR="00DB1F0A" w:rsidRPr="00DB1F0A">
        <w:rPr>
          <w:rFonts w:ascii="Baskerville" w:hAnsi="Baskerville"/>
          <w:lang w:val="en-US"/>
        </w:rPr>
        <w:t xml:space="preserve">in the </w:t>
      </w:r>
      <w:r w:rsidR="00BD0A8B" w:rsidRPr="00DB1F0A">
        <w:rPr>
          <w:rFonts w:ascii="Baskerville" w:hAnsi="Baskerville"/>
          <w:lang w:val="en-US"/>
        </w:rPr>
        <w:t>pursui</w:t>
      </w:r>
      <w:r w:rsidR="00DB1F0A" w:rsidRPr="00DB1F0A">
        <w:rPr>
          <w:rFonts w:ascii="Baskerville" w:hAnsi="Baskerville"/>
          <w:lang w:val="en-US"/>
        </w:rPr>
        <w:t>t of</w:t>
      </w:r>
      <w:r w:rsidR="00BD0A8B" w:rsidRPr="00DB1F0A">
        <w:rPr>
          <w:rFonts w:ascii="Baskerville" w:hAnsi="Baskerville"/>
          <w:lang w:val="en-US"/>
        </w:rPr>
        <w:t xml:space="preserve"> its mandate under Chapter VII of the </w:t>
      </w:r>
      <w:r w:rsidR="00DB1F0A" w:rsidRPr="00DB1F0A">
        <w:rPr>
          <w:rFonts w:ascii="Baskerville" w:hAnsi="Baskerville"/>
          <w:lang w:val="en-US"/>
        </w:rPr>
        <w:t>UN</w:t>
      </w:r>
      <w:r w:rsidR="00BD0A8B" w:rsidRPr="00DB1F0A">
        <w:rPr>
          <w:rFonts w:ascii="Baskerville" w:hAnsi="Baskerville"/>
          <w:lang w:val="en-US"/>
        </w:rPr>
        <w:t xml:space="preserve"> Charter, passes resolutions</w:t>
      </w:r>
      <w:r w:rsidR="00BD0A8B" w:rsidRPr="00BD0A8B">
        <w:rPr>
          <w:rFonts w:ascii="Baskerville" w:hAnsi="Baskerville"/>
          <w:color w:val="FF0000"/>
          <w:lang w:val="en-US"/>
        </w:rPr>
        <w:t xml:space="preserve"> </w:t>
      </w:r>
      <w:r w:rsidR="00BE1D40" w:rsidRPr="00BE1D40">
        <w:rPr>
          <w:rFonts w:ascii="Baskerville" w:hAnsi="Baskerville"/>
          <w:lang w:val="en-US"/>
        </w:rPr>
        <w:t>‘</w:t>
      </w:r>
      <w:r w:rsidR="00BD0A8B" w:rsidRPr="00BE1D40">
        <w:rPr>
          <w:rFonts w:ascii="Baskerville" w:hAnsi="Baskerville"/>
          <w:lang w:val="en-US"/>
        </w:rPr>
        <w:t>with a fifteen-state body that bind</w:t>
      </w:r>
      <w:r w:rsidR="00BE1D40" w:rsidRPr="00BE1D40">
        <w:rPr>
          <w:rFonts w:ascii="Baskerville" w:hAnsi="Baskerville"/>
          <w:lang w:val="en-US"/>
        </w:rPr>
        <w:t>s</w:t>
      </w:r>
      <w:r w:rsidR="00BD0A8B" w:rsidRPr="00BE1D40">
        <w:rPr>
          <w:rFonts w:ascii="Baskerville" w:hAnsi="Baskerville"/>
          <w:lang w:val="en-US"/>
        </w:rPr>
        <w:t xml:space="preserve"> other states even though they have not consented to the same</w:t>
      </w:r>
      <w:r w:rsidR="00BE1D40" w:rsidRPr="00BE1D40">
        <w:rPr>
          <w:rFonts w:ascii="Baskerville" w:hAnsi="Baskerville"/>
          <w:lang w:val="en-US"/>
        </w:rPr>
        <w:t>’</w:t>
      </w:r>
      <w:r w:rsidR="00BD0A8B" w:rsidRPr="00BE1D40">
        <w:rPr>
          <w:rFonts w:ascii="Baskerville" w:hAnsi="Baskerville"/>
          <w:lang w:val="en-US"/>
        </w:rPr>
        <w:t>.</w:t>
      </w:r>
      <w:r w:rsidR="00BE1D40" w:rsidRPr="00BE1D40">
        <w:rPr>
          <w:rStyle w:val="FootnoteReference"/>
          <w:rFonts w:ascii="Baskerville" w:hAnsi="Baskerville"/>
          <w:lang w:val="en-US"/>
        </w:rPr>
        <w:footnoteReference w:id="25"/>
      </w:r>
      <w:r w:rsidR="00BD0A8B" w:rsidRPr="00BD0A8B">
        <w:rPr>
          <w:rFonts w:ascii="Baskerville" w:hAnsi="Baskerville"/>
          <w:color w:val="FF0000"/>
          <w:lang w:val="en-US"/>
        </w:rPr>
        <w:t xml:space="preserve"> </w:t>
      </w:r>
      <w:r w:rsidR="006770E5" w:rsidRPr="00BE1D40">
        <w:rPr>
          <w:rFonts w:ascii="Baskerville" w:hAnsi="Baskerville"/>
          <w:lang w:val="en-US"/>
        </w:rPr>
        <w:t>Consequently</w:t>
      </w:r>
      <w:r w:rsidR="00BD0A8B" w:rsidRPr="00BE1D40">
        <w:rPr>
          <w:rFonts w:ascii="Baskerville" w:hAnsi="Baskerville"/>
          <w:lang w:val="en-US"/>
        </w:rPr>
        <w:t xml:space="preserve">, the consent-based legal system cannot be the only </w:t>
      </w:r>
      <w:r w:rsidR="00BE1D40" w:rsidRPr="00BE1D40">
        <w:rPr>
          <w:rFonts w:ascii="Baskerville" w:hAnsi="Baskerville"/>
          <w:lang w:val="en-US"/>
        </w:rPr>
        <w:t>source</w:t>
      </w:r>
      <w:r w:rsidR="00BD0A8B" w:rsidRPr="00BE1D40">
        <w:rPr>
          <w:rFonts w:ascii="Baskerville" w:hAnsi="Baskerville"/>
          <w:lang w:val="en-US"/>
        </w:rPr>
        <w:t xml:space="preserve"> </w:t>
      </w:r>
      <w:r w:rsidR="00BE1D40" w:rsidRPr="00BE1D40">
        <w:rPr>
          <w:rFonts w:ascii="Baskerville" w:hAnsi="Baskerville"/>
          <w:lang w:val="en-US"/>
        </w:rPr>
        <w:t>of</w:t>
      </w:r>
      <w:r w:rsidR="00BD0A8B" w:rsidRPr="00BE1D40">
        <w:rPr>
          <w:rFonts w:ascii="Baskerville" w:hAnsi="Baskerville"/>
          <w:lang w:val="en-US"/>
        </w:rPr>
        <w:t xml:space="preserve"> international law.</w:t>
      </w:r>
    </w:p>
    <w:p w14:paraId="23C3DAC4" w14:textId="77777777" w:rsidR="00DB4DCC" w:rsidRDefault="00DB4DCC" w:rsidP="001A6E2F">
      <w:pPr>
        <w:rPr>
          <w:rFonts w:ascii="Baskerville" w:hAnsi="Baskerville"/>
          <w:color w:val="FF0000"/>
          <w:lang w:val="en-US"/>
        </w:rPr>
      </w:pPr>
    </w:p>
    <w:p w14:paraId="20364AA7" w14:textId="0351B34C" w:rsidR="00F2724D" w:rsidRDefault="000059A9" w:rsidP="001A6E2F">
      <w:pPr>
        <w:rPr>
          <w:rFonts w:ascii="Baskerville" w:hAnsi="Baskerville"/>
          <w:color w:val="FF0000"/>
          <w:lang w:val="en-US"/>
        </w:rPr>
      </w:pPr>
      <w:r w:rsidRPr="000F2126">
        <w:rPr>
          <w:rFonts w:ascii="Baskerville" w:hAnsi="Baskerville"/>
          <w:lang w:val="en-US"/>
        </w:rPr>
        <w:t>Many legal scholars have asserted that the right to personal self-defence is a general principle of law under Article 38(1)(c).</w:t>
      </w:r>
      <w:r w:rsidRPr="000F2126">
        <w:rPr>
          <w:rStyle w:val="FootnoteReference"/>
          <w:rFonts w:ascii="Baskerville" w:hAnsi="Baskerville"/>
          <w:lang w:val="en-US"/>
        </w:rPr>
        <w:footnoteReference w:id="26"/>
      </w:r>
      <w:r w:rsidR="00073AAE">
        <w:rPr>
          <w:rFonts w:ascii="Baskerville" w:hAnsi="Baskerville"/>
          <w:color w:val="FF0000"/>
          <w:lang w:val="en-US"/>
        </w:rPr>
        <w:t xml:space="preserve"> </w:t>
      </w:r>
      <w:r w:rsidR="00073AAE" w:rsidRPr="000F2126">
        <w:rPr>
          <w:rFonts w:ascii="Baskerville" w:hAnsi="Baskerville"/>
          <w:lang w:val="en-US"/>
        </w:rPr>
        <w:t>But this view is greatly contested</w:t>
      </w:r>
      <w:r w:rsidR="00D21DCC" w:rsidRPr="000F2126">
        <w:rPr>
          <w:rFonts w:ascii="Baskerville" w:hAnsi="Baskerville"/>
          <w:lang w:val="en-US"/>
        </w:rPr>
        <w:t>;</w:t>
      </w:r>
      <w:r w:rsidR="00073AAE" w:rsidRPr="000F2126">
        <w:rPr>
          <w:rFonts w:ascii="Baskerville" w:hAnsi="Baskerville"/>
          <w:lang w:val="en-US"/>
        </w:rPr>
        <w:t xml:space="preserve"> most notably by the UN Special Rapporteur on Small Arms, Barbara Frey</w:t>
      </w:r>
      <w:r w:rsidR="00D21DCC" w:rsidRPr="000F2126">
        <w:rPr>
          <w:rFonts w:ascii="Baskerville" w:hAnsi="Baskerville"/>
          <w:lang w:val="en-US"/>
        </w:rPr>
        <w:t>, owing to the fact that no such right “is expressly set forth”</w:t>
      </w:r>
      <w:r w:rsidR="00073AAE" w:rsidRPr="000F2126">
        <w:rPr>
          <w:rFonts w:ascii="Baskerville" w:hAnsi="Baskerville"/>
          <w:lang w:val="en-US"/>
        </w:rPr>
        <w:t>.</w:t>
      </w:r>
      <w:r w:rsidR="00955FF1" w:rsidRPr="000F2126">
        <w:rPr>
          <w:rStyle w:val="FootnoteReference"/>
          <w:rFonts w:ascii="Baskerville" w:hAnsi="Baskerville"/>
          <w:lang w:val="en-US"/>
        </w:rPr>
        <w:footnoteReference w:id="27"/>
      </w:r>
      <w:r w:rsidR="00EF0A80">
        <w:rPr>
          <w:rFonts w:ascii="Baskerville" w:hAnsi="Baskerville"/>
          <w:color w:val="FF0000"/>
          <w:lang w:val="en-US"/>
        </w:rPr>
        <w:t xml:space="preserve"> </w:t>
      </w:r>
      <w:r w:rsidR="00932758" w:rsidRPr="00A07C5A">
        <w:rPr>
          <w:rFonts w:ascii="Baskerville" w:hAnsi="Baskerville"/>
          <w:lang w:val="en-US"/>
        </w:rPr>
        <w:t xml:space="preserve">Additionally, </w:t>
      </w:r>
      <w:r w:rsidR="00C71918" w:rsidRPr="00C71918">
        <w:rPr>
          <w:rFonts w:ascii="Baskerville" w:hAnsi="Baskerville"/>
          <w:lang w:val="en-US"/>
        </w:rPr>
        <w:t>much of the redundancy in Article 38</w:t>
      </w:r>
      <w:r w:rsidR="00392CEE">
        <w:rPr>
          <w:rFonts w:ascii="Baskerville" w:hAnsi="Baskerville"/>
          <w:lang w:val="en-US"/>
        </w:rPr>
        <w:t>(1)</w:t>
      </w:r>
      <w:r w:rsidR="00C71918" w:rsidRPr="00C71918">
        <w:rPr>
          <w:rFonts w:ascii="Baskerville" w:hAnsi="Baskerville"/>
          <w:lang w:val="en-US"/>
        </w:rPr>
        <w:t xml:space="preserve"> </w:t>
      </w:r>
      <w:r w:rsidR="00C71918">
        <w:rPr>
          <w:rFonts w:ascii="Baskerville" w:hAnsi="Baskerville"/>
          <w:lang w:val="en-US"/>
        </w:rPr>
        <w:t>stems</w:t>
      </w:r>
      <w:r w:rsidR="00C71918" w:rsidRPr="00C71918">
        <w:rPr>
          <w:rFonts w:ascii="Baskerville" w:hAnsi="Baskerville"/>
          <w:lang w:val="en-US"/>
        </w:rPr>
        <w:t xml:space="preserve"> from </w:t>
      </w:r>
      <w:r w:rsidR="00491523">
        <w:rPr>
          <w:rFonts w:ascii="Baskerville" w:hAnsi="Baskerville"/>
          <w:lang w:val="en-US"/>
        </w:rPr>
        <w:t>‘</w:t>
      </w:r>
      <w:r w:rsidR="00C71918" w:rsidRPr="00C71918">
        <w:rPr>
          <w:rFonts w:ascii="Baskerville" w:hAnsi="Baskerville"/>
          <w:lang w:val="en-US"/>
        </w:rPr>
        <w:t>the language of the provision itself</w:t>
      </w:r>
      <w:r w:rsidR="00491523">
        <w:rPr>
          <w:rFonts w:ascii="Baskerville" w:hAnsi="Baskerville"/>
          <w:lang w:val="en-US"/>
        </w:rPr>
        <w:t>’</w:t>
      </w:r>
      <w:r w:rsidR="00C71918" w:rsidRPr="00C71918">
        <w:rPr>
          <w:rFonts w:ascii="Baskerville" w:hAnsi="Baskerville"/>
          <w:lang w:val="en-US"/>
        </w:rPr>
        <w:t>.</w:t>
      </w:r>
      <w:r w:rsidR="00491523" w:rsidRPr="00C36599">
        <w:rPr>
          <w:rStyle w:val="FootnoteReference"/>
          <w:rFonts w:ascii="Baskerville" w:hAnsi="Baskerville"/>
          <w:lang w:val="en-US"/>
        </w:rPr>
        <w:footnoteReference w:id="28"/>
      </w:r>
      <w:r w:rsidR="00C71918">
        <w:rPr>
          <w:rFonts w:ascii="Baskerville" w:hAnsi="Baskerville"/>
          <w:lang w:val="en-US"/>
        </w:rPr>
        <w:t xml:space="preserve"> For instance, t</w:t>
      </w:r>
      <w:r w:rsidR="00932758" w:rsidRPr="00A07C5A">
        <w:rPr>
          <w:rFonts w:ascii="Baskerville" w:hAnsi="Baskerville"/>
          <w:lang w:val="en-US"/>
        </w:rPr>
        <w:t xml:space="preserve">he </w:t>
      </w:r>
      <w:r w:rsidR="00996C5B">
        <w:rPr>
          <w:rFonts w:ascii="Baskerville" w:hAnsi="Baskerville"/>
          <w:lang w:val="en-US"/>
        </w:rPr>
        <w:t xml:space="preserve">post-war </w:t>
      </w:r>
      <w:r w:rsidR="00932758" w:rsidRPr="00A07C5A">
        <w:rPr>
          <w:rFonts w:ascii="Baskerville" w:hAnsi="Baskerville"/>
          <w:lang w:val="en-US"/>
        </w:rPr>
        <w:t xml:space="preserve">phrase: ‘general principles of law recognised by </w:t>
      </w:r>
      <w:r w:rsidR="00932758" w:rsidRPr="00996C5B">
        <w:rPr>
          <w:rFonts w:ascii="Baskerville" w:hAnsi="Baskerville"/>
          <w:u w:val="single"/>
          <w:lang w:val="en-US"/>
        </w:rPr>
        <w:t>civili</w:t>
      </w:r>
      <w:r w:rsidR="00C71918" w:rsidRPr="00996C5B">
        <w:rPr>
          <w:rFonts w:ascii="Baskerville" w:hAnsi="Baskerville"/>
          <w:u w:val="single"/>
          <w:lang w:val="en-US"/>
        </w:rPr>
        <w:t>s</w:t>
      </w:r>
      <w:r w:rsidR="00932758" w:rsidRPr="00996C5B">
        <w:rPr>
          <w:rFonts w:ascii="Baskerville" w:hAnsi="Baskerville"/>
          <w:u w:val="single"/>
          <w:lang w:val="en-US"/>
        </w:rPr>
        <w:t>ed nations</w:t>
      </w:r>
      <w:r w:rsidR="00932758" w:rsidRPr="00A07C5A">
        <w:rPr>
          <w:rFonts w:ascii="Baskerville" w:hAnsi="Baskerville"/>
          <w:lang w:val="en-US"/>
        </w:rPr>
        <w:t>’ as a source</w:t>
      </w:r>
      <w:r w:rsidR="006A02AD">
        <w:rPr>
          <w:rFonts w:ascii="Baskerville" w:hAnsi="Baskerville"/>
          <w:lang w:val="en-US"/>
        </w:rPr>
        <w:t xml:space="preserve"> logically</w:t>
      </w:r>
      <w:r w:rsidR="0000666C">
        <w:rPr>
          <w:rFonts w:ascii="Baskerville" w:hAnsi="Baskerville"/>
          <w:lang w:val="en-US"/>
        </w:rPr>
        <w:t xml:space="preserve"> </w:t>
      </w:r>
      <w:r w:rsidR="00932758" w:rsidRPr="00A07C5A">
        <w:rPr>
          <w:rFonts w:ascii="Baskerville" w:hAnsi="Baskerville"/>
          <w:lang w:val="en-US"/>
        </w:rPr>
        <w:t>exclude</w:t>
      </w:r>
      <w:r w:rsidR="005A3086">
        <w:rPr>
          <w:rFonts w:ascii="Baskerville" w:hAnsi="Baskerville"/>
          <w:lang w:val="en-US"/>
        </w:rPr>
        <w:t>s</w:t>
      </w:r>
      <w:r w:rsidR="00932758" w:rsidRPr="00A07C5A">
        <w:rPr>
          <w:rFonts w:ascii="Baskerville" w:hAnsi="Baskerville"/>
          <w:lang w:val="en-US"/>
        </w:rPr>
        <w:t xml:space="preserve"> uncivili</w:t>
      </w:r>
      <w:r w:rsidR="00C71918">
        <w:rPr>
          <w:rFonts w:ascii="Baskerville" w:hAnsi="Baskerville"/>
          <w:lang w:val="en-US"/>
        </w:rPr>
        <w:t>s</w:t>
      </w:r>
      <w:r w:rsidR="00932758" w:rsidRPr="00A07C5A">
        <w:rPr>
          <w:rFonts w:ascii="Baskerville" w:hAnsi="Baskerville"/>
          <w:lang w:val="en-US"/>
        </w:rPr>
        <w:t xml:space="preserve">ed nations. As a consequence, this section cannot be deemed to be applicable to all countries and therefore cannot be a reliable source of </w:t>
      </w:r>
      <w:r w:rsidR="00A07C5A" w:rsidRPr="00A07C5A">
        <w:rPr>
          <w:rFonts w:ascii="Baskerville" w:hAnsi="Baskerville"/>
          <w:lang w:val="en-US"/>
        </w:rPr>
        <w:t xml:space="preserve">modern </w:t>
      </w:r>
      <w:r w:rsidR="00932758" w:rsidRPr="00A07C5A">
        <w:rPr>
          <w:rFonts w:ascii="Baskerville" w:hAnsi="Baskerville"/>
          <w:lang w:val="en-US"/>
        </w:rPr>
        <w:t>international law</w:t>
      </w:r>
      <w:r w:rsidR="00996C5B">
        <w:rPr>
          <w:rFonts w:ascii="Baskerville" w:hAnsi="Baskerville"/>
          <w:lang w:val="en-US"/>
        </w:rPr>
        <w:t>, as it imposes an outdated sense of hierarchy between states</w:t>
      </w:r>
      <w:r w:rsidR="00932758" w:rsidRPr="00A07C5A">
        <w:rPr>
          <w:rFonts w:ascii="Baskerville" w:hAnsi="Baskerville"/>
          <w:lang w:val="en-US"/>
        </w:rPr>
        <w:t>.</w:t>
      </w:r>
      <w:r w:rsidR="008E51B7">
        <w:rPr>
          <w:rFonts w:ascii="Baskerville" w:hAnsi="Baskerville"/>
          <w:color w:val="FF0000"/>
          <w:lang w:val="en-US"/>
        </w:rPr>
        <w:t xml:space="preserve"> </w:t>
      </w:r>
    </w:p>
    <w:p w14:paraId="28FDCE16" w14:textId="77777777" w:rsidR="00F2724D" w:rsidRDefault="00F2724D" w:rsidP="001A6E2F">
      <w:pPr>
        <w:rPr>
          <w:rFonts w:ascii="Baskerville" w:hAnsi="Baskerville"/>
          <w:color w:val="FF0000"/>
          <w:lang w:val="en-US"/>
        </w:rPr>
      </w:pPr>
    </w:p>
    <w:p w14:paraId="09B4EE4D" w14:textId="0BC11D2E" w:rsidR="001F1574" w:rsidRPr="00932758" w:rsidRDefault="00982FF4" w:rsidP="001A6E2F">
      <w:pPr>
        <w:rPr>
          <w:rFonts w:ascii="Baskerville" w:hAnsi="Baskerville"/>
          <w:color w:val="FF0000"/>
          <w:lang w:val="en-US"/>
        </w:rPr>
      </w:pPr>
      <w:r w:rsidRPr="00652B27">
        <w:rPr>
          <w:rFonts w:ascii="Baskerville" w:hAnsi="Baskerville"/>
          <w:lang w:val="en-US"/>
        </w:rPr>
        <w:t>Article 38</w:t>
      </w:r>
      <w:r w:rsidR="00F2724D">
        <w:rPr>
          <w:rFonts w:ascii="Baskerville" w:hAnsi="Baskerville"/>
          <w:lang w:val="en-US"/>
        </w:rPr>
        <w:t xml:space="preserve">(1)(c) </w:t>
      </w:r>
      <w:r w:rsidR="00627D0B">
        <w:rPr>
          <w:rFonts w:ascii="Baskerville" w:hAnsi="Baskerville"/>
          <w:lang w:val="en-US"/>
        </w:rPr>
        <w:t xml:space="preserve">also </w:t>
      </w:r>
      <w:r w:rsidR="00F2724D" w:rsidRPr="00652B27">
        <w:rPr>
          <w:rFonts w:ascii="Baskerville" w:hAnsi="Baskerville"/>
          <w:lang w:val="en-US"/>
        </w:rPr>
        <w:t>limits</w:t>
      </w:r>
      <w:r w:rsidRPr="00652B27">
        <w:rPr>
          <w:rFonts w:ascii="Baskerville" w:hAnsi="Baskerville"/>
          <w:lang w:val="en-US"/>
        </w:rPr>
        <w:t xml:space="preserve"> the evolution and applicability of legal principles to </w:t>
      </w:r>
      <w:r w:rsidR="00F2724D">
        <w:rPr>
          <w:rFonts w:ascii="Baskerville" w:hAnsi="Baskerville"/>
          <w:lang w:val="en-US"/>
        </w:rPr>
        <w:t xml:space="preserve">sovereign </w:t>
      </w:r>
      <w:r w:rsidRPr="00652B27">
        <w:rPr>
          <w:rFonts w:ascii="Baskerville" w:hAnsi="Baskerville"/>
          <w:lang w:val="en-US"/>
        </w:rPr>
        <w:t xml:space="preserve">states. It </w:t>
      </w:r>
      <w:r w:rsidR="00F2724D" w:rsidRPr="00652B27">
        <w:rPr>
          <w:rFonts w:ascii="Baskerville" w:hAnsi="Baskerville"/>
          <w:lang w:val="en-US"/>
        </w:rPr>
        <w:t>disregards</w:t>
      </w:r>
      <w:r w:rsidRPr="00652B27">
        <w:rPr>
          <w:rFonts w:ascii="Baskerville" w:hAnsi="Baskerville"/>
          <w:lang w:val="en-US"/>
        </w:rPr>
        <w:t xml:space="preserve"> other </w:t>
      </w:r>
      <w:r w:rsidR="00F2724D" w:rsidRPr="00652B27">
        <w:rPr>
          <w:rFonts w:ascii="Baskerville" w:hAnsi="Baskerville"/>
          <w:lang w:val="en-US"/>
        </w:rPr>
        <w:t>bodies</w:t>
      </w:r>
      <w:r w:rsidRPr="00652B27">
        <w:rPr>
          <w:rFonts w:ascii="Baskerville" w:hAnsi="Baskerville"/>
          <w:lang w:val="en-US"/>
        </w:rPr>
        <w:t xml:space="preserve"> that qualify as subjects of international law. </w:t>
      </w:r>
      <w:r w:rsidR="00627D0B" w:rsidRPr="00652B27">
        <w:rPr>
          <w:rFonts w:ascii="Baskerville" w:hAnsi="Baskerville"/>
          <w:lang w:val="en-US"/>
        </w:rPr>
        <w:t>Article 38</w:t>
      </w:r>
      <w:r w:rsidR="00627D0B">
        <w:rPr>
          <w:rFonts w:ascii="Baskerville" w:hAnsi="Baskerville"/>
          <w:lang w:val="en-US"/>
        </w:rPr>
        <w:t>(1)(c)</w:t>
      </w:r>
      <w:r w:rsidR="00627D0B" w:rsidRPr="00652B27">
        <w:rPr>
          <w:rFonts w:ascii="Baskerville" w:hAnsi="Baskerville"/>
          <w:lang w:val="en-US"/>
        </w:rPr>
        <w:t xml:space="preserve"> continues to </w:t>
      </w:r>
      <w:r w:rsidR="00627D0B">
        <w:rPr>
          <w:rFonts w:ascii="Baskerville" w:hAnsi="Baskerville"/>
          <w:lang w:val="en-US"/>
        </w:rPr>
        <w:t xml:space="preserve">incorrectly </w:t>
      </w:r>
      <w:r w:rsidR="00627D0B" w:rsidRPr="00652B27">
        <w:rPr>
          <w:rFonts w:ascii="Baskerville" w:hAnsi="Baskerville"/>
          <w:lang w:val="en-US"/>
        </w:rPr>
        <w:t xml:space="preserve">presume that international law </w:t>
      </w:r>
      <w:r w:rsidR="00FC566D">
        <w:rPr>
          <w:rFonts w:ascii="Baskerville" w:hAnsi="Baskerville"/>
          <w:lang w:val="en-US"/>
        </w:rPr>
        <w:t>concerns</w:t>
      </w:r>
      <w:r w:rsidR="00627D0B" w:rsidRPr="00652B27">
        <w:rPr>
          <w:rFonts w:ascii="Baskerville" w:hAnsi="Baskerville"/>
          <w:lang w:val="en-US"/>
        </w:rPr>
        <w:t xml:space="preserve"> states alone. It ignores all non-state actors, </w:t>
      </w:r>
      <w:r w:rsidR="00FC566D">
        <w:rPr>
          <w:rFonts w:ascii="Baskerville" w:hAnsi="Baskerville"/>
          <w:lang w:val="en-US"/>
        </w:rPr>
        <w:t>‘</w:t>
      </w:r>
      <w:r w:rsidR="00627D0B" w:rsidRPr="00652B27">
        <w:rPr>
          <w:rFonts w:ascii="Baskerville" w:hAnsi="Baskerville"/>
          <w:lang w:val="en-US"/>
        </w:rPr>
        <w:t>which have evolved as subjects of international law today</w:t>
      </w:r>
      <w:r w:rsidR="00FC566D">
        <w:rPr>
          <w:rFonts w:ascii="Baskerville" w:hAnsi="Baskerville"/>
          <w:lang w:val="en-US"/>
        </w:rPr>
        <w:t>’</w:t>
      </w:r>
      <w:r w:rsidR="00627D0B" w:rsidRPr="00652B27">
        <w:rPr>
          <w:rFonts w:ascii="Baskerville" w:hAnsi="Baskerville"/>
          <w:lang w:val="en-US"/>
        </w:rPr>
        <w:t>.</w:t>
      </w:r>
      <w:r w:rsidR="00FC566D">
        <w:rPr>
          <w:rStyle w:val="FootnoteReference"/>
          <w:rFonts w:ascii="Baskerville" w:hAnsi="Baskerville"/>
          <w:lang w:val="en-US"/>
        </w:rPr>
        <w:footnoteReference w:id="29"/>
      </w:r>
      <w:r w:rsidR="00627D0B">
        <w:rPr>
          <w:rFonts w:ascii="Baskerville" w:hAnsi="Baskerville"/>
          <w:lang w:val="en-US"/>
        </w:rPr>
        <w:t xml:space="preserve"> </w:t>
      </w:r>
      <w:r w:rsidR="008E51B7">
        <w:rPr>
          <w:rFonts w:ascii="Baskerville" w:hAnsi="Baskerville"/>
          <w:lang w:val="en-US"/>
        </w:rPr>
        <w:t>Furthermore</w:t>
      </w:r>
      <w:r w:rsidR="00913F98" w:rsidRPr="00913F98">
        <w:rPr>
          <w:rFonts w:ascii="Baskerville" w:hAnsi="Baskerville"/>
          <w:lang w:val="en-US"/>
        </w:rPr>
        <w:t xml:space="preserve">, treaties, </w:t>
      </w:r>
      <w:r w:rsidR="001F1574" w:rsidRPr="00913F98">
        <w:rPr>
          <w:rFonts w:ascii="Baskerville" w:hAnsi="Baskerville"/>
          <w:lang w:val="en-US"/>
        </w:rPr>
        <w:t xml:space="preserve">custom growth and intensity have </w:t>
      </w:r>
      <w:r w:rsidR="00913F98" w:rsidRPr="00913F98">
        <w:rPr>
          <w:rFonts w:ascii="Baskerville" w:hAnsi="Baskerville"/>
          <w:lang w:val="en-US"/>
        </w:rPr>
        <w:t xml:space="preserve">collectively </w:t>
      </w:r>
      <w:r w:rsidR="001F1574" w:rsidRPr="00913F98">
        <w:rPr>
          <w:rFonts w:ascii="Baskerville" w:hAnsi="Baskerville"/>
          <w:lang w:val="en-US"/>
        </w:rPr>
        <w:t>reduced the weight of general principle</w:t>
      </w:r>
      <w:r w:rsidR="00913F98" w:rsidRPr="00913F98">
        <w:rPr>
          <w:rFonts w:ascii="Baskerville" w:hAnsi="Baskerville"/>
          <w:lang w:val="en-US"/>
        </w:rPr>
        <w:t>s</w:t>
      </w:r>
      <w:r w:rsidR="001F1574" w:rsidRPr="00913F98">
        <w:rPr>
          <w:rFonts w:ascii="Baskerville" w:hAnsi="Baskerville"/>
          <w:lang w:val="en-US"/>
        </w:rPr>
        <w:t xml:space="preserve"> of law as the source of international law.</w:t>
      </w:r>
      <w:r w:rsidR="00913F98" w:rsidRPr="00913F98">
        <w:rPr>
          <w:rFonts w:ascii="Baskerville" w:hAnsi="Baskerville"/>
          <w:lang w:val="en-US"/>
        </w:rPr>
        <w:t xml:space="preserve"> </w:t>
      </w:r>
      <w:r w:rsidR="00DA4C68">
        <w:rPr>
          <w:rFonts w:ascii="Baskerville" w:hAnsi="Baskerville"/>
          <w:lang w:val="en-US"/>
        </w:rPr>
        <w:t xml:space="preserve">This </w:t>
      </w:r>
      <w:r w:rsidR="00913F98" w:rsidRPr="00913F98">
        <w:rPr>
          <w:rFonts w:ascii="Baskerville" w:hAnsi="Baskerville"/>
          <w:lang w:val="en-US"/>
        </w:rPr>
        <w:t>has reduced the relevance of Article 38(1)(c) in modern international law.</w:t>
      </w:r>
    </w:p>
    <w:p w14:paraId="792AAAAE" w14:textId="77777777" w:rsidR="003475CF" w:rsidRDefault="003475CF" w:rsidP="003475CF">
      <w:pPr>
        <w:rPr>
          <w:rFonts w:ascii="Baskerville" w:hAnsi="Baskerville"/>
          <w:bCs/>
        </w:rPr>
      </w:pPr>
    </w:p>
    <w:p w14:paraId="3E5A4602" w14:textId="7A7D2DA8" w:rsidR="00A749E1" w:rsidRDefault="00A749E1" w:rsidP="003475CF">
      <w:pPr>
        <w:rPr>
          <w:rFonts w:ascii="Baskerville" w:hAnsi="Baskerville"/>
          <w:b/>
          <w:bCs/>
          <w:u w:val="single"/>
          <w:lang w:val="en-US"/>
        </w:rPr>
      </w:pPr>
      <w:r>
        <w:rPr>
          <w:rFonts w:ascii="Baskerville" w:hAnsi="Baskerville"/>
          <w:b/>
          <w:bCs/>
          <w:u w:val="single"/>
          <w:lang w:val="en-US"/>
        </w:rPr>
        <w:t>Article 38(1)(d</w:t>
      </w:r>
      <w:r w:rsidRPr="00A749E1">
        <w:rPr>
          <w:rFonts w:ascii="Baskerville" w:hAnsi="Baskerville"/>
          <w:b/>
          <w:bCs/>
          <w:u w:val="single"/>
          <w:lang w:val="en-US"/>
        </w:rPr>
        <w:t>)</w:t>
      </w:r>
      <w:r w:rsidR="003C21D6">
        <w:rPr>
          <w:rFonts w:ascii="Baskerville" w:hAnsi="Baskerville"/>
          <w:b/>
          <w:bCs/>
          <w:u w:val="single"/>
          <w:lang w:val="en-US"/>
        </w:rPr>
        <w:t>: Judicial Decisions</w:t>
      </w:r>
    </w:p>
    <w:p w14:paraId="0212AC03" w14:textId="77777777" w:rsidR="00A749E1" w:rsidRDefault="00A749E1" w:rsidP="003475CF">
      <w:pPr>
        <w:rPr>
          <w:rFonts w:ascii="Baskerville" w:hAnsi="Baskerville"/>
          <w:b/>
          <w:bCs/>
          <w:u w:val="single"/>
        </w:rPr>
      </w:pPr>
    </w:p>
    <w:p w14:paraId="237A88AD" w14:textId="18096C06" w:rsidR="00AE5265" w:rsidRPr="00A7436B" w:rsidRDefault="00AE5265" w:rsidP="00AE5265">
      <w:pPr>
        <w:rPr>
          <w:rFonts w:ascii="Baskerville" w:hAnsi="Baskerville"/>
          <w:bCs/>
          <w:color w:val="FF0000"/>
        </w:rPr>
      </w:pPr>
      <w:r w:rsidRPr="00AE5265">
        <w:rPr>
          <w:rFonts w:ascii="Baskerville" w:hAnsi="Baskerville"/>
          <w:bCs/>
        </w:rPr>
        <w:t xml:space="preserve">It is </w:t>
      </w:r>
      <w:r>
        <w:rPr>
          <w:rFonts w:ascii="Baskerville" w:hAnsi="Baskerville"/>
          <w:bCs/>
        </w:rPr>
        <w:t xml:space="preserve">often debated as to whether </w:t>
      </w:r>
      <w:r w:rsidRPr="00AE5265">
        <w:rPr>
          <w:rFonts w:ascii="Baskerville" w:hAnsi="Baskerville"/>
          <w:bCs/>
        </w:rPr>
        <w:t xml:space="preserve">the listing </w:t>
      </w:r>
      <w:r>
        <w:rPr>
          <w:rFonts w:ascii="Baskerville" w:hAnsi="Baskerville"/>
          <w:bCs/>
        </w:rPr>
        <w:t xml:space="preserve">of the sources of international law in Article 38(1) </w:t>
      </w:r>
      <w:r w:rsidR="004B4F77">
        <w:rPr>
          <w:rFonts w:ascii="Baskerville" w:hAnsi="Baskerville"/>
          <w:bCs/>
        </w:rPr>
        <w:t xml:space="preserve">is hierarchical, ‘i.e. </w:t>
      </w:r>
      <w:r w:rsidRPr="00AE5265">
        <w:rPr>
          <w:rFonts w:ascii="Baskerville" w:hAnsi="Baskerville"/>
          <w:bCs/>
        </w:rPr>
        <w:t xml:space="preserve">treaties being the most important, customary international law, the second </w:t>
      </w:r>
      <w:r w:rsidR="00034509">
        <w:rPr>
          <w:rFonts w:ascii="Baskerville" w:hAnsi="Baskerville"/>
          <w:bCs/>
        </w:rPr>
        <w:t xml:space="preserve">most </w:t>
      </w:r>
      <w:r w:rsidRPr="00AE5265">
        <w:rPr>
          <w:rFonts w:ascii="Baskerville" w:hAnsi="Baskerville"/>
          <w:bCs/>
        </w:rPr>
        <w:t>important so</w:t>
      </w:r>
      <w:r w:rsidR="006747FF">
        <w:rPr>
          <w:rFonts w:ascii="Baskerville" w:hAnsi="Baskerville"/>
          <w:bCs/>
        </w:rPr>
        <w:t>urce of international law</w:t>
      </w:r>
      <w:r w:rsidR="004B4F77">
        <w:rPr>
          <w:rFonts w:ascii="Baskerville" w:hAnsi="Baskerville"/>
          <w:bCs/>
        </w:rPr>
        <w:t>’</w:t>
      </w:r>
      <w:r w:rsidRPr="00AE5265">
        <w:rPr>
          <w:rFonts w:ascii="Baskerville" w:hAnsi="Baskerville"/>
          <w:bCs/>
        </w:rPr>
        <w:t>.</w:t>
      </w:r>
      <w:r w:rsidR="004B4F77">
        <w:rPr>
          <w:rStyle w:val="FootnoteReference"/>
          <w:rFonts w:ascii="Baskerville" w:hAnsi="Baskerville"/>
          <w:bCs/>
        </w:rPr>
        <w:footnoteReference w:id="30"/>
      </w:r>
      <w:r w:rsidRPr="00AE5265">
        <w:rPr>
          <w:rFonts w:ascii="Baskerville" w:hAnsi="Baskerville"/>
          <w:bCs/>
        </w:rPr>
        <w:t xml:space="preserve"> </w:t>
      </w:r>
      <w:r w:rsidR="00A22A36" w:rsidRPr="006332E0">
        <w:rPr>
          <w:rFonts w:ascii="Baskerville" w:hAnsi="Baskerville"/>
          <w:bCs/>
        </w:rPr>
        <w:t>There is no</w:t>
      </w:r>
      <w:r w:rsidR="00B50593" w:rsidRPr="006332E0">
        <w:rPr>
          <w:rFonts w:ascii="Baskerville" w:hAnsi="Baskerville"/>
          <w:bCs/>
        </w:rPr>
        <w:t xml:space="preserve"> hierarchy between the sources of international law</w:t>
      </w:r>
      <w:r w:rsidR="00A22A36" w:rsidRPr="006332E0">
        <w:rPr>
          <w:rFonts w:ascii="Baskerville" w:hAnsi="Baskerville"/>
          <w:bCs/>
        </w:rPr>
        <w:t xml:space="preserve"> established by Article 38</w:t>
      </w:r>
      <w:r w:rsidR="00B50593" w:rsidRPr="006332E0">
        <w:rPr>
          <w:rFonts w:ascii="Baskerville" w:hAnsi="Baskerville"/>
          <w:bCs/>
        </w:rPr>
        <w:t>.</w:t>
      </w:r>
      <w:r w:rsidR="00B50593" w:rsidRPr="00B32AFB">
        <w:rPr>
          <w:rFonts w:ascii="Baskerville" w:hAnsi="Baskerville"/>
          <w:bCs/>
          <w:color w:val="FF0000"/>
        </w:rPr>
        <w:t xml:space="preserve"> </w:t>
      </w:r>
      <w:r w:rsidR="006332E0" w:rsidRPr="006332E0">
        <w:rPr>
          <w:rFonts w:ascii="Baskerville" w:hAnsi="Baskerville"/>
          <w:bCs/>
        </w:rPr>
        <w:t>Although, i</w:t>
      </w:r>
      <w:r w:rsidR="00B50593" w:rsidRPr="006332E0">
        <w:rPr>
          <w:rFonts w:ascii="Baskerville" w:hAnsi="Baskerville"/>
          <w:bCs/>
        </w:rPr>
        <w:t xml:space="preserve">n practice, it </w:t>
      </w:r>
      <w:r w:rsidR="006332E0" w:rsidRPr="006332E0">
        <w:rPr>
          <w:rFonts w:ascii="Baskerville" w:hAnsi="Baskerville"/>
          <w:bCs/>
        </w:rPr>
        <w:t>appears</w:t>
      </w:r>
      <w:r w:rsidR="00B50593" w:rsidRPr="006332E0">
        <w:rPr>
          <w:rFonts w:ascii="Baskerville" w:hAnsi="Baskerville"/>
          <w:bCs/>
        </w:rPr>
        <w:t xml:space="preserve"> that an international court would </w:t>
      </w:r>
      <w:r w:rsidR="006332E0" w:rsidRPr="006332E0">
        <w:rPr>
          <w:rFonts w:ascii="Baskerville" w:hAnsi="Baskerville"/>
          <w:bCs/>
        </w:rPr>
        <w:t xml:space="preserve">prioritise </w:t>
      </w:r>
      <w:r w:rsidR="00B50593" w:rsidRPr="006332E0">
        <w:rPr>
          <w:rFonts w:ascii="Baskerville" w:hAnsi="Baskerville"/>
          <w:bCs/>
        </w:rPr>
        <w:t xml:space="preserve">a </w:t>
      </w:r>
      <w:r w:rsidR="006332E0" w:rsidRPr="006332E0">
        <w:rPr>
          <w:rFonts w:ascii="Baskerville" w:hAnsi="Baskerville"/>
          <w:bCs/>
        </w:rPr>
        <w:t>particular</w:t>
      </w:r>
      <w:r w:rsidR="00B50593" w:rsidRPr="006332E0">
        <w:rPr>
          <w:rFonts w:ascii="Baskerville" w:hAnsi="Baskerville"/>
          <w:bCs/>
        </w:rPr>
        <w:t xml:space="preserve"> treaty provision over a conflicting rule of customary international law</w:t>
      </w:r>
      <w:r w:rsidR="006332E0" w:rsidRPr="006332E0">
        <w:rPr>
          <w:rFonts w:ascii="Baskerville" w:hAnsi="Baskerville"/>
          <w:bCs/>
        </w:rPr>
        <w:t>,</w:t>
      </w:r>
      <w:r w:rsidR="00B50593" w:rsidRPr="006332E0">
        <w:rPr>
          <w:rFonts w:ascii="Baskerville" w:hAnsi="Baskerville"/>
          <w:bCs/>
        </w:rPr>
        <w:t xml:space="preserve"> </w:t>
      </w:r>
      <w:r w:rsidR="006332E0" w:rsidRPr="006332E0">
        <w:rPr>
          <w:rFonts w:ascii="Baskerville" w:hAnsi="Baskerville"/>
          <w:bCs/>
        </w:rPr>
        <w:t>except</w:t>
      </w:r>
      <w:r w:rsidR="00B50593" w:rsidRPr="006332E0">
        <w:rPr>
          <w:rFonts w:ascii="Baskerville" w:hAnsi="Baskerville"/>
          <w:bCs/>
        </w:rPr>
        <w:t xml:space="preserve"> </w:t>
      </w:r>
      <w:r w:rsidR="006332E0" w:rsidRPr="006332E0">
        <w:rPr>
          <w:rFonts w:ascii="Baskerville" w:hAnsi="Baskerville"/>
          <w:bCs/>
        </w:rPr>
        <w:t xml:space="preserve">if </w:t>
      </w:r>
      <w:r w:rsidR="00B50593" w:rsidRPr="006332E0">
        <w:rPr>
          <w:rFonts w:ascii="Baskerville" w:hAnsi="Baskerville"/>
          <w:bCs/>
        </w:rPr>
        <w:t xml:space="preserve">that rule is a peremptory norm of general international law or </w:t>
      </w:r>
      <w:r w:rsidR="00B50593" w:rsidRPr="006332E0">
        <w:rPr>
          <w:rFonts w:ascii="Baskerville" w:hAnsi="Baskerville"/>
          <w:bCs/>
          <w:i/>
        </w:rPr>
        <w:t>jus cogens</w:t>
      </w:r>
      <w:r w:rsidR="00B50593" w:rsidRPr="006332E0">
        <w:rPr>
          <w:rFonts w:ascii="Baskerville" w:hAnsi="Baskerville"/>
          <w:bCs/>
        </w:rPr>
        <w:t>.</w:t>
      </w:r>
      <w:r w:rsidR="00A7436B" w:rsidRPr="006332E0">
        <w:rPr>
          <w:rStyle w:val="FootnoteReference"/>
          <w:rFonts w:ascii="Baskerville" w:hAnsi="Baskerville"/>
          <w:bCs/>
        </w:rPr>
        <w:footnoteReference w:id="31"/>
      </w:r>
      <w:r w:rsidR="00A7436B">
        <w:rPr>
          <w:rFonts w:ascii="Baskerville" w:hAnsi="Baskerville"/>
          <w:bCs/>
          <w:color w:val="FF0000"/>
        </w:rPr>
        <w:t xml:space="preserve"> </w:t>
      </w:r>
      <w:r w:rsidR="004B4F77">
        <w:rPr>
          <w:rFonts w:ascii="Baskerville" w:hAnsi="Baskerville"/>
          <w:bCs/>
        </w:rPr>
        <w:t>Whatever the case</w:t>
      </w:r>
      <w:r w:rsidRPr="00AE5265">
        <w:rPr>
          <w:rFonts w:ascii="Baskerville" w:hAnsi="Baskerville"/>
          <w:bCs/>
        </w:rPr>
        <w:t>, the sole explicit hierarchical element is contained in Article 38(1)</w:t>
      </w:r>
      <w:r>
        <w:rPr>
          <w:rFonts w:ascii="Baskerville" w:hAnsi="Baskerville"/>
          <w:bCs/>
        </w:rPr>
        <w:t>(</w:t>
      </w:r>
      <w:r w:rsidRPr="00AE5265">
        <w:rPr>
          <w:rFonts w:ascii="Baskerville" w:hAnsi="Baskerville"/>
          <w:bCs/>
        </w:rPr>
        <w:t>d</w:t>
      </w:r>
      <w:r>
        <w:rPr>
          <w:rFonts w:ascii="Baskerville" w:hAnsi="Baskerville"/>
          <w:bCs/>
        </w:rPr>
        <w:t>)</w:t>
      </w:r>
      <w:r w:rsidRPr="00AE5265">
        <w:rPr>
          <w:rFonts w:ascii="Baskerville" w:hAnsi="Baskerville"/>
          <w:bCs/>
        </w:rPr>
        <w:t xml:space="preserve">, </w:t>
      </w:r>
      <w:r>
        <w:rPr>
          <w:rFonts w:ascii="Baskerville" w:hAnsi="Baskerville"/>
          <w:bCs/>
        </w:rPr>
        <w:t xml:space="preserve">which </w:t>
      </w:r>
      <w:r w:rsidRPr="00AE5265">
        <w:rPr>
          <w:rFonts w:ascii="Baskerville" w:hAnsi="Baskerville"/>
          <w:bCs/>
        </w:rPr>
        <w:t>refer</w:t>
      </w:r>
      <w:r>
        <w:rPr>
          <w:rFonts w:ascii="Baskerville" w:hAnsi="Baskerville"/>
          <w:bCs/>
        </w:rPr>
        <w:t>s</w:t>
      </w:r>
      <w:r w:rsidRPr="00AE5265">
        <w:rPr>
          <w:rFonts w:ascii="Baskerville" w:hAnsi="Baskerville"/>
          <w:bCs/>
        </w:rPr>
        <w:t xml:space="preserve"> to ‘subsidiary means for the determination of rules of law’. </w:t>
      </w:r>
    </w:p>
    <w:p w14:paraId="5C89CDC3" w14:textId="77777777" w:rsidR="003475CF" w:rsidRDefault="003475CF" w:rsidP="003475CF">
      <w:pPr>
        <w:rPr>
          <w:rFonts w:ascii="Baskerville" w:hAnsi="Baskerville"/>
          <w:bCs/>
        </w:rPr>
      </w:pPr>
    </w:p>
    <w:p w14:paraId="23247AC4" w14:textId="23CA12AF" w:rsidR="00587F02" w:rsidRPr="005B4A44" w:rsidRDefault="0086448C" w:rsidP="003475CF">
      <w:pPr>
        <w:rPr>
          <w:rFonts w:ascii="Baskerville" w:hAnsi="Baskerville"/>
          <w:bCs/>
          <w:lang w:val="en-US"/>
        </w:rPr>
      </w:pPr>
      <w:r w:rsidRPr="005B4A44">
        <w:rPr>
          <w:rFonts w:ascii="Baskerville" w:hAnsi="Baskerville"/>
          <w:bCs/>
          <w:lang w:val="en-US"/>
        </w:rPr>
        <w:t>Dr.</w:t>
      </w:r>
      <w:r w:rsidR="00EF1685" w:rsidRPr="005B4A44">
        <w:rPr>
          <w:rFonts w:ascii="Baskerville" w:hAnsi="Baskerville"/>
          <w:bCs/>
          <w:lang w:val="en-US"/>
        </w:rPr>
        <w:t xml:space="preserve"> </w:t>
      </w:r>
      <w:r w:rsidR="0019193E" w:rsidRPr="005B4A44">
        <w:rPr>
          <w:rFonts w:ascii="Baskerville" w:hAnsi="Baskerville"/>
          <w:bCs/>
          <w:lang w:val="en-US"/>
        </w:rPr>
        <w:t xml:space="preserve">Aldo Zammit Borda </w:t>
      </w:r>
      <w:r w:rsidR="006F6309" w:rsidRPr="005B4A44">
        <w:rPr>
          <w:rFonts w:ascii="Baskerville" w:hAnsi="Baskerville"/>
          <w:bCs/>
        </w:rPr>
        <w:t xml:space="preserve">takes the view that ‘determination’ in Article 38(1)(d) of the ICJ Statute </w:t>
      </w:r>
      <w:r w:rsidR="00587F02" w:rsidRPr="005B4A44">
        <w:rPr>
          <w:rFonts w:ascii="Baskerville" w:hAnsi="Baskerville"/>
          <w:bCs/>
        </w:rPr>
        <w:t>‘</w:t>
      </w:r>
      <w:r w:rsidR="006F6309" w:rsidRPr="005B4A44">
        <w:rPr>
          <w:rFonts w:ascii="Baskerville" w:hAnsi="Baskerville"/>
          <w:bCs/>
        </w:rPr>
        <w:t>comprises</w:t>
      </w:r>
      <w:r w:rsidR="003475CF" w:rsidRPr="005B4A44">
        <w:rPr>
          <w:rFonts w:ascii="Baskerville" w:hAnsi="Baskerville"/>
          <w:bCs/>
          <w:lang w:val="en-US"/>
        </w:rPr>
        <w:t xml:space="preserve">: </w:t>
      </w:r>
    </w:p>
    <w:p w14:paraId="46C816BE" w14:textId="77777777" w:rsidR="00587F02" w:rsidRPr="005B4A44" w:rsidRDefault="00587F02" w:rsidP="003475CF">
      <w:pPr>
        <w:rPr>
          <w:rFonts w:ascii="Baskerville" w:hAnsi="Baskerville"/>
          <w:bCs/>
          <w:lang w:val="en-US"/>
        </w:rPr>
      </w:pPr>
    </w:p>
    <w:p w14:paraId="79C58D12" w14:textId="77777777" w:rsidR="00587F02" w:rsidRPr="005B4A44" w:rsidRDefault="003475CF" w:rsidP="003475CF">
      <w:pPr>
        <w:pStyle w:val="ListParagraph"/>
        <w:numPr>
          <w:ilvl w:val="0"/>
          <w:numId w:val="40"/>
        </w:numPr>
        <w:rPr>
          <w:rFonts w:ascii="Baskerville" w:hAnsi="Baskerville"/>
          <w:bCs/>
          <w:lang w:val="en-US"/>
        </w:rPr>
      </w:pPr>
      <w:r w:rsidRPr="005B4A44">
        <w:rPr>
          <w:rFonts w:ascii="Baskerville" w:hAnsi="Baskerville"/>
          <w:bCs/>
          <w:lang w:val="en-US"/>
        </w:rPr>
        <w:t xml:space="preserve">a verification of the </w:t>
      </w:r>
      <w:r w:rsidRPr="005B4A44">
        <w:rPr>
          <w:rFonts w:ascii="Baskerville" w:hAnsi="Baskerville"/>
          <w:bCs/>
          <w:i/>
          <w:iCs/>
          <w:lang w:val="en-US"/>
        </w:rPr>
        <w:t xml:space="preserve">existence </w:t>
      </w:r>
      <w:r w:rsidRPr="005B4A44">
        <w:rPr>
          <w:rFonts w:ascii="Baskerville" w:hAnsi="Baskerville"/>
          <w:bCs/>
          <w:lang w:val="en-US"/>
        </w:rPr>
        <w:t xml:space="preserve">and </w:t>
      </w:r>
      <w:r w:rsidRPr="005B4A44">
        <w:rPr>
          <w:rFonts w:ascii="Baskerville" w:hAnsi="Baskerville"/>
          <w:bCs/>
          <w:i/>
          <w:iCs/>
          <w:lang w:val="en-US"/>
        </w:rPr>
        <w:t xml:space="preserve">state </w:t>
      </w:r>
      <w:r w:rsidRPr="005B4A44">
        <w:rPr>
          <w:rFonts w:ascii="Baskerville" w:hAnsi="Baskerville"/>
          <w:bCs/>
          <w:lang w:val="en-US"/>
        </w:rPr>
        <w:t xml:space="preserve">of rules of law; and </w:t>
      </w:r>
    </w:p>
    <w:p w14:paraId="412F46E4" w14:textId="7DF187DE" w:rsidR="00587F02" w:rsidRPr="005B4A44" w:rsidRDefault="003475CF" w:rsidP="003475CF">
      <w:pPr>
        <w:pStyle w:val="ListParagraph"/>
        <w:numPr>
          <w:ilvl w:val="0"/>
          <w:numId w:val="40"/>
        </w:numPr>
        <w:rPr>
          <w:rFonts w:ascii="Baskerville" w:hAnsi="Baskerville"/>
          <w:bCs/>
          <w:lang w:val="en-US"/>
        </w:rPr>
      </w:pPr>
      <w:r w:rsidRPr="005B4A44">
        <w:rPr>
          <w:rFonts w:ascii="Baskerville" w:hAnsi="Baskerville"/>
          <w:bCs/>
          <w:lang w:val="en-US"/>
        </w:rPr>
        <w:t xml:space="preserve">a verification of the </w:t>
      </w:r>
      <w:r w:rsidRPr="005B4A44">
        <w:rPr>
          <w:rFonts w:ascii="Baskerville" w:hAnsi="Baskerville"/>
          <w:bCs/>
          <w:i/>
          <w:iCs/>
          <w:lang w:val="en-US"/>
        </w:rPr>
        <w:t xml:space="preserve">proper interpretation </w:t>
      </w:r>
      <w:r w:rsidR="00587F02" w:rsidRPr="005B4A44">
        <w:rPr>
          <w:rFonts w:ascii="Baskerville" w:hAnsi="Baskerville"/>
          <w:bCs/>
          <w:lang w:val="en-US"/>
        </w:rPr>
        <w:t>of rules of law (the ‘verifica</w:t>
      </w:r>
      <w:r w:rsidRPr="005B4A44">
        <w:rPr>
          <w:rFonts w:ascii="Baskerville" w:hAnsi="Baskerville"/>
          <w:bCs/>
          <w:lang w:val="en-US"/>
        </w:rPr>
        <w:t>tion process’).</w:t>
      </w:r>
      <w:r w:rsidR="00587F02" w:rsidRPr="005B4A44">
        <w:rPr>
          <w:rFonts w:ascii="Baskerville" w:hAnsi="Baskerville"/>
          <w:bCs/>
          <w:lang w:val="en-US"/>
        </w:rPr>
        <w:t>’</w:t>
      </w:r>
      <w:r w:rsidR="0019193E" w:rsidRPr="005B4A44">
        <w:rPr>
          <w:rStyle w:val="FootnoteReference"/>
          <w:rFonts w:ascii="Baskerville" w:hAnsi="Baskerville"/>
          <w:bCs/>
          <w:lang w:val="en-US"/>
        </w:rPr>
        <w:footnoteReference w:id="32"/>
      </w:r>
    </w:p>
    <w:p w14:paraId="46ACE420" w14:textId="77777777" w:rsidR="00587F02" w:rsidRDefault="003475CF" w:rsidP="003475CF">
      <w:pPr>
        <w:rPr>
          <w:rFonts w:ascii="Baskerville" w:hAnsi="Baskerville"/>
          <w:bCs/>
          <w:color w:val="FF0000"/>
          <w:lang w:val="en-US"/>
        </w:rPr>
      </w:pPr>
      <w:r w:rsidRPr="006F6309">
        <w:rPr>
          <w:rFonts w:ascii="Baskerville" w:hAnsi="Baskerville"/>
          <w:bCs/>
          <w:color w:val="FF0000"/>
          <w:lang w:val="en-US"/>
        </w:rPr>
        <w:t xml:space="preserve"> </w:t>
      </w:r>
    </w:p>
    <w:p w14:paraId="7256F457" w14:textId="7DF66C55" w:rsidR="002E5AD1" w:rsidRPr="00D0598F" w:rsidRDefault="001140FC" w:rsidP="003475CF">
      <w:pPr>
        <w:rPr>
          <w:rFonts w:ascii="Baskerville" w:hAnsi="Baskerville"/>
          <w:bCs/>
          <w:lang w:val="en-US"/>
        </w:rPr>
      </w:pPr>
      <w:r w:rsidRPr="001140FC">
        <w:rPr>
          <w:rFonts w:ascii="Baskerville" w:hAnsi="Baskerville"/>
          <w:bCs/>
          <w:lang w:val="en-US"/>
        </w:rPr>
        <w:t>Borda</w:t>
      </w:r>
      <w:r w:rsidR="003475CF" w:rsidRPr="001140FC">
        <w:rPr>
          <w:rFonts w:ascii="Baskerville" w:hAnsi="Baskerville"/>
          <w:bCs/>
          <w:lang w:val="en-US"/>
        </w:rPr>
        <w:t xml:space="preserve"> </w:t>
      </w:r>
      <w:r w:rsidR="00192CDD" w:rsidRPr="001140FC">
        <w:rPr>
          <w:rFonts w:ascii="Baskerville" w:hAnsi="Baskerville"/>
          <w:bCs/>
          <w:lang w:val="en-US"/>
        </w:rPr>
        <w:t>claims</w:t>
      </w:r>
      <w:r w:rsidR="003475CF" w:rsidRPr="001140FC">
        <w:rPr>
          <w:rFonts w:ascii="Baskerville" w:hAnsi="Baskerville"/>
          <w:bCs/>
          <w:lang w:val="en-US"/>
        </w:rPr>
        <w:t xml:space="preserve"> that the </w:t>
      </w:r>
      <w:r w:rsidR="002175A8">
        <w:rPr>
          <w:rFonts w:ascii="Baskerville" w:hAnsi="Baskerville"/>
          <w:bCs/>
          <w:lang w:val="en-US"/>
        </w:rPr>
        <w:t>term</w:t>
      </w:r>
      <w:r w:rsidR="003475CF" w:rsidRPr="001140FC">
        <w:rPr>
          <w:rFonts w:ascii="Baskerville" w:hAnsi="Baskerville"/>
          <w:bCs/>
          <w:lang w:val="en-US"/>
        </w:rPr>
        <w:t xml:space="preserve"> ‘subsidiary’ is not intended </w:t>
      </w:r>
      <w:r w:rsidRPr="001140FC">
        <w:rPr>
          <w:rFonts w:ascii="Baskerville" w:hAnsi="Baskerville"/>
          <w:bCs/>
          <w:lang w:val="en-US"/>
        </w:rPr>
        <w:t>simply</w:t>
      </w:r>
      <w:r w:rsidR="003475CF" w:rsidRPr="001140FC">
        <w:rPr>
          <w:rFonts w:ascii="Baskerville" w:hAnsi="Baskerville"/>
          <w:bCs/>
          <w:lang w:val="en-US"/>
        </w:rPr>
        <w:t xml:space="preserve"> to </w:t>
      </w:r>
      <w:r w:rsidRPr="001140FC">
        <w:rPr>
          <w:rFonts w:ascii="Baskerville" w:hAnsi="Baskerville"/>
          <w:bCs/>
          <w:lang w:val="en-US"/>
        </w:rPr>
        <w:t>indicate</w:t>
      </w:r>
      <w:r w:rsidR="003475CF" w:rsidRPr="001140FC">
        <w:rPr>
          <w:rFonts w:ascii="Baskerville" w:hAnsi="Baskerville"/>
          <w:bCs/>
          <w:lang w:val="en-US"/>
        </w:rPr>
        <w:t xml:space="preserve"> that judicial decisions cannot be </w:t>
      </w:r>
      <w:r w:rsidRPr="001140FC">
        <w:rPr>
          <w:rFonts w:ascii="Baskerville" w:hAnsi="Baskerville"/>
          <w:bCs/>
          <w:lang w:val="en-US"/>
        </w:rPr>
        <w:t>regarded as</w:t>
      </w:r>
      <w:r w:rsidR="003475CF" w:rsidRPr="001140FC">
        <w:rPr>
          <w:rFonts w:ascii="Baskerville" w:hAnsi="Baskerville"/>
          <w:bCs/>
          <w:lang w:val="en-US"/>
        </w:rPr>
        <w:t xml:space="preserve"> sources</w:t>
      </w:r>
      <w:r w:rsidR="00B811FF">
        <w:rPr>
          <w:rFonts w:ascii="Baskerville" w:hAnsi="Baskerville"/>
          <w:bCs/>
          <w:lang w:val="en-US"/>
        </w:rPr>
        <w:t>.</w:t>
      </w:r>
      <w:r w:rsidR="001C44EC" w:rsidRPr="001140FC">
        <w:rPr>
          <w:rStyle w:val="FootnoteReference"/>
          <w:rFonts w:ascii="Baskerville" w:hAnsi="Baskerville"/>
          <w:bCs/>
          <w:lang w:val="en-US"/>
        </w:rPr>
        <w:footnoteReference w:id="33"/>
      </w:r>
      <w:r w:rsidR="00192CDD">
        <w:rPr>
          <w:rFonts w:ascii="Baskerville" w:hAnsi="Baskerville"/>
          <w:bCs/>
          <w:color w:val="FF0000"/>
          <w:lang w:val="en-US"/>
        </w:rPr>
        <w:t xml:space="preserve"> </w:t>
      </w:r>
      <w:r w:rsidR="00DB31A9" w:rsidRPr="00DB31A9">
        <w:rPr>
          <w:rFonts w:ascii="Baskerville" w:hAnsi="Baskerville"/>
          <w:bCs/>
          <w:lang w:val="en-US"/>
        </w:rPr>
        <w:t xml:space="preserve">Although Article 38(1)(d) </w:t>
      </w:r>
      <w:r w:rsidR="003475CF" w:rsidRPr="00DB31A9">
        <w:rPr>
          <w:rFonts w:ascii="Baskerville" w:hAnsi="Baskerville"/>
          <w:bCs/>
          <w:lang w:val="en-US"/>
        </w:rPr>
        <w:t xml:space="preserve">treats </w:t>
      </w:r>
      <w:r w:rsidR="00DB31A9" w:rsidRPr="00DB31A9">
        <w:rPr>
          <w:rFonts w:ascii="Baskerville" w:hAnsi="Baskerville"/>
          <w:bCs/>
          <w:lang w:val="en-US"/>
        </w:rPr>
        <w:t>‘</w:t>
      </w:r>
      <w:r w:rsidR="003475CF" w:rsidRPr="00DB31A9">
        <w:rPr>
          <w:rFonts w:ascii="Baskerville" w:hAnsi="Baskerville"/>
          <w:bCs/>
          <w:lang w:val="en-US"/>
        </w:rPr>
        <w:t>judicial decisions and teachings of publicists</w:t>
      </w:r>
      <w:r w:rsidR="00DB31A9" w:rsidRPr="00DB31A9">
        <w:rPr>
          <w:rFonts w:ascii="Baskerville" w:hAnsi="Baskerville"/>
          <w:bCs/>
          <w:lang w:val="en-US"/>
        </w:rPr>
        <w:t>’</w:t>
      </w:r>
      <w:r w:rsidR="003475CF" w:rsidRPr="00DB31A9">
        <w:rPr>
          <w:rFonts w:ascii="Baskerville" w:hAnsi="Baskerville"/>
          <w:bCs/>
          <w:lang w:val="en-US"/>
        </w:rPr>
        <w:t xml:space="preserve"> as i</w:t>
      </w:r>
      <w:r w:rsidR="00DB31A9" w:rsidRPr="00DB31A9">
        <w:rPr>
          <w:rFonts w:ascii="Baskerville" w:hAnsi="Baskerville"/>
          <w:bCs/>
          <w:lang w:val="en-US"/>
        </w:rPr>
        <w:t>f they</w:t>
      </w:r>
      <w:r w:rsidR="003475CF" w:rsidRPr="00DB31A9">
        <w:rPr>
          <w:rFonts w:ascii="Baskerville" w:hAnsi="Baskerville"/>
          <w:bCs/>
          <w:lang w:val="en-US"/>
        </w:rPr>
        <w:t xml:space="preserve"> were in the same </w:t>
      </w:r>
      <w:r w:rsidR="00DB31A9" w:rsidRPr="00DB31A9">
        <w:rPr>
          <w:rFonts w:ascii="Baskerville" w:hAnsi="Baskerville"/>
          <w:bCs/>
          <w:lang w:val="en-US"/>
        </w:rPr>
        <w:t>category</w:t>
      </w:r>
      <w:r w:rsidR="003475CF" w:rsidRPr="00DB31A9">
        <w:rPr>
          <w:rFonts w:ascii="Baskerville" w:hAnsi="Baskerville"/>
          <w:bCs/>
          <w:lang w:val="en-US"/>
        </w:rPr>
        <w:t>,</w:t>
      </w:r>
      <w:r w:rsidR="00153F7F" w:rsidRPr="00DB31A9">
        <w:rPr>
          <w:rStyle w:val="FootnoteReference"/>
          <w:rFonts w:ascii="Baskerville" w:hAnsi="Baskerville"/>
          <w:bCs/>
          <w:lang w:val="en-US"/>
        </w:rPr>
        <w:footnoteReference w:id="34"/>
      </w:r>
      <w:r w:rsidR="003475CF" w:rsidRPr="00DB31A9">
        <w:rPr>
          <w:rFonts w:ascii="Baskerville" w:hAnsi="Baskerville"/>
          <w:bCs/>
          <w:lang w:val="en-US"/>
        </w:rPr>
        <w:t xml:space="preserve"> </w:t>
      </w:r>
      <w:r w:rsidR="003475CF" w:rsidRPr="00D0598F">
        <w:rPr>
          <w:rFonts w:ascii="Baskerville" w:hAnsi="Baskerville"/>
          <w:bCs/>
          <w:lang w:val="en-US"/>
        </w:rPr>
        <w:t xml:space="preserve">an approach </w:t>
      </w:r>
      <w:r w:rsidR="00E341C2" w:rsidRPr="00D0598F">
        <w:rPr>
          <w:rFonts w:ascii="Baskerville" w:hAnsi="Baskerville"/>
          <w:bCs/>
          <w:lang w:val="en-US"/>
        </w:rPr>
        <w:t>that</w:t>
      </w:r>
      <w:r w:rsidR="003475CF" w:rsidRPr="00D0598F">
        <w:rPr>
          <w:rFonts w:ascii="Baskerville" w:hAnsi="Baskerville"/>
          <w:bCs/>
          <w:lang w:val="en-US"/>
        </w:rPr>
        <w:t xml:space="preserve"> </w:t>
      </w:r>
      <w:r w:rsidR="00D0598F" w:rsidRPr="00D0598F">
        <w:rPr>
          <w:rFonts w:ascii="Baskerville" w:hAnsi="Baskerville"/>
          <w:bCs/>
          <w:lang w:val="en-US"/>
        </w:rPr>
        <w:t>does not</w:t>
      </w:r>
      <w:r w:rsidR="003475CF" w:rsidRPr="00D0598F">
        <w:rPr>
          <w:rFonts w:ascii="Baskerville" w:hAnsi="Baskerville"/>
          <w:bCs/>
          <w:lang w:val="en-US"/>
        </w:rPr>
        <w:t xml:space="preserve"> </w:t>
      </w:r>
      <w:r w:rsidR="00D0598F" w:rsidRPr="00D0598F">
        <w:rPr>
          <w:rFonts w:ascii="Baskerville" w:hAnsi="Baskerville"/>
          <w:bCs/>
          <w:lang w:val="en-US"/>
        </w:rPr>
        <w:t xml:space="preserve">allow for </w:t>
      </w:r>
      <w:r w:rsidR="003475CF" w:rsidRPr="00D0598F">
        <w:rPr>
          <w:rFonts w:ascii="Baskerville" w:hAnsi="Baskerville"/>
          <w:bCs/>
          <w:lang w:val="en-US"/>
        </w:rPr>
        <w:t xml:space="preserve">the more direct impact of judicial decisions </w:t>
      </w:r>
      <w:r w:rsidR="00A631F6">
        <w:rPr>
          <w:rFonts w:ascii="Baskerville" w:hAnsi="Baskerville"/>
          <w:bCs/>
          <w:lang w:val="en-US"/>
        </w:rPr>
        <w:t>‘</w:t>
      </w:r>
      <w:r w:rsidR="00D0598F" w:rsidRPr="00D0598F">
        <w:rPr>
          <w:rFonts w:ascii="Baskerville" w:hAnsi="Baskerville"/>
          <w:bCs/>
          <w:lang w:val="en-US"/>
        </w:rPr>
        <w:t>ought to</w:t>
      </w:r>
      <w:r w:rsidR="003475CF" w:rsidRPr="00D0598F">
        <w:rPr>
          <w:rFonts w:ascii="Baskerville" w:hAnsi="Baskerville"/>
          <w:bCs/>
          <w:lang w:val="en-US"/>
        </w:rPr>
        <w:t xml:space="preserve"> be avoided</w:t>
      </w:r>
      <w:r w:rsidR="00A631F6">
        <w:rPr>
          <w:rFonts w:ascii="Baskerville" w:hAnsi="Baskerville"/>
          <w:bCs/>
          <w:lang w:val="en-US"/>
        </w:rPr>
        <w:t>’</w:t>
      </w:r>
      <w:r w:rsidR="003475CF" w:rsidRPr="00D0598F">
        <w:rPr>
          <w:rFonts w:ascii="Baskerville" w:hAnsi="Baskerville"/>
          <w:bCs/>
          <w:lang w:val="en-US"/>
        </w:rPr>
        <w:t>.</w:t>
      </w:r>
      <w:r w:rsidR="000D113D" w:rsidRPr="00D0598F">
        <w:rPr>
          <w:rStyle w:val="FootnoteReference"/>
          <w:rFonts w:ascii="Baskerville" w:hAnsi="Baskerville"/>
          <w:bCs/>
          <w:lang w:val="en-US"/>
        </w:rPr>
        <w:footnoteReference w:id="35"/>
      </w:r>
      <w:r w:rsidR="003475CF" w:rsidRPr="00D0598F">
        <w:rPr>
          <w:rFonts w:ascii="Baskerville" w:hAnsi="Baskerville"/>
          <w:bCs/>
          <w:lang w:val="en-US"/>
        </w:rPr>
        <w:t xml:space="preserve"> </w:t>
      </w:r>
    </w:p>
    <w:p w14:paraId="54A0A419" w14:textId="77777777" w:rsidR="003373B2" w:rsidRDefault="003373B2" w:rsidP="003373B2">
      <w:pPr>
        <w:rPr>
          <w:rFonts w:ascii="Baskerville" w:hAnsi="Baskerville"/>
          <w:lang w:val="en-US"/>
        </w:rPr>
      </w:pPr>
    </w:p>
    <w:p w14:paraId="365CC7BE" w14:textId="03CE2174" w:rsidR="003373B2" w:rsidRPr="00CE0B69" w:rsidRDefault="00CE0B69" w:rsidP="003373B2">
      <w:pPr>
        <w:rPr>
          <w:rFonts w:ascii="Baskerville" w:hAnsi="Baskerville"/>
          <w:color w:val="FF0000"/>
          <w:lang w:val="en-US"/>
        </w:rPr>
      </w:pPr>
      <w:r w:rsidRPr="00AC4E02">
        <w:rPr>
          <w:rFonts w:ascii="Baskerville" w:hAnsi="Baskerville"/>
          <w:lang w:val="en-US"/>
        </w:rPr>
        <w:t>A</w:t>
      </w:r>
      <w:r w:rsidR="003373B2" w:rsidRPr="00AC4E02">
        <w:rPr>
          <w:rFonts w:ascii="Baskerville" w:hAnsi="Baskerville"/>
          <w:lang w:val="en-US"/>
        </w:rPr>
        <w:t>rticle 38</w:t>
      </w:r>
      <w:r w:rsidR="00F32DAF">
        <w:rPr>
          <w:rFonts w:ascii="Baskerville" w:hAnsi="Baskerville"/>
          <w:lang w:val="en-US"/>
        </w:rPr>
        <w:t>(1)</w:t>
      </w:r>
      <w:r w:rsidR="00B402A3">
        <w:rPr>
          <w:rFonts w:ascii="Baskerville" w:hAnsi="Baskerville"/>
          <w:lang w:val="en-US"/>
        </w:rPr>
        <w:t>(d)</w:t>
      </w:r>
      <w:r w:rsidR="003373B2" w:rsidRPr="00AC4E02">
        <w:rPr>
          <w:rFonts w:ascii="Baskerville" w:hAnsi="Baskerville"/>
          <w:lang w:val="en-US"/>
        </w:rPr>
        <w:t xml:space="preserve"> </w:t>
      </w:r>
      <w:r w:rsidR="00AC4E02" w:rsidRPr="00AC4E02">
        <w:rPr>
          <w:rFonts w:ascii="Baskerville" w:hAnsi="Baskerville"/>
          <w:lang w:val="en-US"/>
        </w:rPr>
        <w:t>merely</w:t>
      </w:r>
      <w:r w:rsidR="003373B2" w:rsidRPr="00AC4E02">
        <w:rPr>
          <w:rFonts w:ascii="Baskerville" w:hAnsi="Baskerville"/>
          <w:lang w:val="en-US"/>
        </w:rPr>
        <w:t xml:space="preserve"> regulates the applicable law </w:t>
      </w:r>
      <w:r w:rsidR="00AC4E02" w:rsidRPr="00AC4E02">
        <w:rPr>
          <w:rFonts w:ascii="Baskerville" w:hAnsi="Baskerville"/>
          <w:lang w:val="en-US"/>
        </w:rPr>
        <w:t>concerning</w:t>
      </w:r>
      <w:r w:rsidR="003373B2" w:rsidRPr="00AC4E02">
        <w:rPr>
          <w:rFonts w:ascii="Baskerville" w:hAnsi="Baskerville"/>
          <w:lang w:val="en-US"/>
        </w:rPr>
        <w:t xml:space="preserve"> specific disputes before the ICJ and restricted to the State parties.</w:t>
      </w:r>
      <w:r w:rsidR="008D5391" w:rsidRPr="00AC4E02">
        <w:rPr>
          <w:rStyle w:val="FootnoteReference"/>
          <w:rFonts w:ascii="Baskerville" w:hAnsi="Baskerville"/>
          <w:lang w:val="en-US"/>
        </w:rPr>
        <w:footnoteReference w:id="36"/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3373B2" w:rsidRPr="00AD6005">
        <w:rPr>
          <w:rFonts w:ascii="Baskerville" w:hAnsi="Baskerville"/>
          <w:lang w:val="en-US"/>
        </w:rPr>
        <w:t>From the</w:t>
      </w:r>
      <w:r w:rsidR="00AD6005" w:rsidRPr="00AD6005">
        <w:rPr>
          <w:rFonts w:ascii="Baskerville" w:hAnsi="Baskerville"/>
          <w:lang w:val="en-US"/>
        </w:rPr>
        <w:t xml:space="preserve"> perspective of</w:t>
      </w:r>
      <w:r w:rsidR="003373B2" w:rsidRPr="00AD6005">
        <w:rPr>
          <w:rFonts w:ascii="Baskerville" w:hAnsi="Baskerville"/>
          <w:lang w:val="en-US"/>
        </w:rPr>
        <w:t xml:space="preserve"> institutional law</w:t>
      </w:r>
      <w:r w:rsidR="00AD6005" w:rsidRPr="00AD6005">
        <w:rPr>
          <w:rFonts w:ascii="Baskerville" w:hAnsi="Baskerville"/>
          <w:lang w:val="en-US"/>
        </w:rPr>
        <w:t xml:space="preserve">, </w:t>
      </w:r>
      <w:r w:rsidR="003373B2" w:rsidRPr="00AD6005">
        <w:rPr>
          <w:rFonts w:ascii="Baskerville" w:hAnsi="Baskerville"/>
          <w:lang w:val="en-US"/>
        </w:rPr>
        <w:t xml:space="preserve">the ICJ </w:t>
      </w:r>
      <w:r w:rsidR="00AD6005" w:rsidRPr="00AD6005">
        <w:rPr>
          <w:rFonts w:ascii="Baskerville" w:hAnsi="Baskerville"/>
          <w:lang w:val="en-US"/>
        </w:rPr>
        <w:t xml:space="preserve">is the </w:t>
      </w:r>
      <w:r w:rsidR="003373B2" w:rsidRPr="00AD6005">
        <w:rPr>
          <w:rFonts w:ascii="Baskerville" w:hAnsi="Baskerville"/>
          <w:lang w:val="en-US"/>
        </w:rPr>
        <w:t xml:space="preserve">only dispute settlement organ of one </w:t>
      </w:r>
      <w:r w:rsidR="00AD6005" w:rsidRPr="00AD6005">
        <w:rPr>
          <w:rFonts w:ascii="Baskerville" w:hAnsi="Baskerville"/>
          <w:lang w:val="en-US"/>
        </w:rPr>
        <w:t>specific</w:t>
      </w:r>
      <w:r w:rsidR="003373B2" w:rsidRPr="00AD6005">
        <w:rPr>
          <w:rFonts w:ascii="Baskerville" w:hAnsi="Baskerville"/>
          <w:lang w:val="en-US"/>
        </w:rPr>
        <w:t xml:space="preserve"> international organization: the U</w:t>
      </w:r>
      <w:r w:rsidR="00AD6005" w:rsidRPr="00AD6005">
        <w:rPr>
          <w:rFonts w:ascii="Baskerville" w:hAnsi="Baskerville"/>
          <w:lang w:val="en-US"/>
        </w:rPr>
        <w:t xml:space="preserve">nited </w:t>
      </w:r>
      <w:r w:rsidR="003373B2" w:rsidRPr="00AD6005">
        <w:rPr>
          <w:rFonts w:ascii="Baskerville" w:hAnsi="Baskerville"/>
          <w:lang w:val="en-US"/>
        </w:rPr>
        <w:t>N</w:t>
      </w:r>
      <w:r w:rsidR="00AD6005" w:rsidRPr="00AD6005">
        <w:rPr>
          <w:rFonts w:ascii="Baskerville" w:hAnsi="Baskerville"/>
          <w:lang w:val="en-US"/>
        </w:rPr>
        <w:t>ations</w:t>
      </w:r>
      <w:r w:rsidR="003373B2" w:rsidRPr="00AD6005">
        <w:rPr>
          <w:rFonts w:ascii="Baskerville" w:hAnsi="Baskerville"/>
          <w:lang w:val="en-US"/>
        </w:rPr>
        <w:t>.</w:t>
      </w:r>
      <w:r w:rsidR="00A21A4C" w:rsidRPr="00AD6005">
        <w:rPr>
          <w:rStyle w:val="FootnoteReference"/>
          <w:rFonts w:ascii="Baskerville" w:hAnsi="Baskerville"/>
          <w:lang w:val="en-US"/>
        </w:rPr>
        <w:footnoteReference w:id="37"/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07138A">
        <w:rPr>
          <w:rFonts w:ascii="Baskerville" w:hAnsi="Baskerville"/>
          <w:lang w:val="en-US"/>
        </w:rPr>
        <w:t xml:space="preserve">We are often misled </w:t>
      </w:r>
      <w:r w:rsidR="004E00BB" w:rsidRPr="004E00BB">
        <w:rPr>
          <w:rFonts w:ascii="Baskerville" w:hAnsi="Baskerville"/>
          <w:lang w:val="en-US"/>
        </w:rPr>
        <w:t>into believing that t</w:t>
      </w:r>
      <w:r w:rsidR="003373B2" w:rsidRPr="004E00BB">
        <w:rPr>
          <w:rFonts w:ascii="Baskerville" w:hAnsi="Baskerville"/>
          <w:lang w:val="en-US"/>
        </w:rPr>
        <w:t>he ICJ is the world court or the supreme international court of justice.</w:t>
      </w:r>
      <w:r w:rsidR="00CC3832" w:rsidRPr="004E00BB">
        <w:rPr>
          <w:rStyle w:val="FootnoteReference"/>
          <w:rFonts w:ascii="Baskerville" w:hAnsi="Baskerville"/>
          <w:lang w:val="en-US"/>
        </w:rPr>
        <w:footnoteReference w:id="38"/>
      </w:r>
      <w:r w:rsidR="00CC3832" w:rsidRPr="004E00BB">
        <w:rPr>
          <w:rFonts w:ascii="Baskerville" w:hAnsi="Baskerville"/>
          <w:lang w:val="en-US"/>
        </w:rPr>
        <w:t xml:space="preserve"> </w:t>
      </w:r>
      <w:r w:rsidR="004D20C8" w:rsidRPr="004D20C8">
        <w:rPr>
          <w:rFonts w:ascii="Baskerville" w:hAnsi="Baskerville"/>
          <w:lang w:val="en-US"/>
        </w:rPr>
        <w:t>Consequently</w:t>
      </w:r>
      <w:r w:rsidR="003373B2" w:rsidRPr="004D20C8">
        <w:rPr>
          <w:rFonts w:ascii="Baskerville" w:hAnsi="Baskerville"/>
          <w:lang w:val="en-US"/>
        </w:rPr>
        <w:t xml:space="preserve">, </w:t>
      </w:r>
      <w:r w:rsidR="00EB3376" w:rsidRPr="004D20C8">
        <w:rPr>
          <w:rFonts w:ascii="Baskerville" w:hAnsi="Baskerville"/>
          <w:lang w:val="en-US"/>
        </w:rPr>
        <w:t>the Court’s</w:t>
      </w:r>
      <w:r w:rsidR="003373B2" w:rsidRPr="004D20C8">
        <w:rPr>
          <w:rFonts w:ascii="Baskerville" w:hAnsi="Baskerville"/>
          <w:lang w:val="en-US"/>
        </w:rPr>
        <w:t xml:space="preserve"> statute </w:t>
      </w:r>
      <w:r w:rsidR="004D20C8" w:rsidRPr="004D20C8">
        <w:rPr>
          <w:rFonts w:ascii="Baskerville" w:hAnsi="Baskerville"/>
          <w:lang w:val="en-US"/>
        </w:rPr>
        <w:t>comprises</w:t>
      </w:r>
      <w:r w:rsidR="003373B2" w:rsidRPr="004D20C8">
        <w:rPr>
          <w:rFonts w:ascii="Baskerville" w:hAnsi="Baskerville"/>
          <w:lang w:val="en-US"/>
        </w:rPr>
        <w:t xml:space="preserve"> </w:t>
      </w:r>
      <w:r w:rsidR="004D20C8" w:rsidRPr="004D20C8">
        <w:rPr>
          <w:rFonts w:ascii="Baskerville" w:hAnsi="Baskerville"/>
          <w:lang w:val="en-US"/>
        </w:rPr>
        <w:t>only</w:t>
      </w:r>
      <w:r w:rsidR="003373B2" w:rsidRPr="004D20C8">
        <w:rPr>
          <w:rFonts w:ascii="Baskerville" w:hAnsi="Baskerville"/>
          <w:lang w:val="en-US"/>
        </w:rPr>
        <w:t xml:space="preserve"> a secondary rule </w:t>
      </w:r>
      <w:r w:rsidR="004D20C8" w:rsidRPr="004D20C8">
        <w:rPr>
          <w:rFonts w:ascii="Baskerville" w:hAnsi="Baskerville"/>
          <w:lang w:val="en-US"/>
        </w:rPr>
        <w:t xml:space="preserve">that is </w:t>
      </w:r>
      <w:r w:rsidR="003373B2" w:rsidRPr="004D20C8">
        <w:rPr>
          <w:rFonts w:ascii="Baskerville" w:hAnsi="Baskerville"/>
          <w:lang w:val="en-US"/>
        </w:rPr>
        <w:t>applicable within the organi</w:t>
      </w:r>
      <w:r w:rsidR="004D20C8" w:rsidRPr="004D20C8">
        <w:rPr>
          <w:rFonts w:ascii="Baskerville" w:hAnsi="Baskerville"/>
          <w:lang w:val="en-US"/>
        </w:rPr>
        <w:t>s</w:t>
      </w:r>
      <w:r w:rsidR="003373B2" w:rsidRPr="004D20C8">
        <w:rPr>
          <w:rFonts w:ascii="Baskerville" w:hAnsi="Baskerville"/>
          <w:lang w:val="en-US"/>
        </w:rPr>
        <w:t>ation.</w:t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3373B2" w:rsidRPr="00524503">
        <w:rPr>
          <w:rFonts w:ascii="Baskerville" w:hAnsi="Baskerville"/>
          <w:lang w:val="en-US"/>
        </w:rPr>
        <w:t xml:space="preserve">It </w:t>
      </w:r>
      <w:r w:rsidR="004D20C8" w:rsidRPr="00524503">
        <w:rPr>
          <w:rFonts w:ascii="Baskerville" w:hAnsi="Baskerville"/>
          <w:lang w:val="en-US"/>
        </w:rPr>
        <w:t xml:space="preserve">also </w:t>
      </w:r>
      <w:r w:rsidR="00524503" w:rsidRPr="00524503">
        <w:rPr>
          <w:rFonts w:ascii="Baskerville" w:hAnsi="Baskerville"/>
          <w:lang w:val="en-US"/>
        </w:rPr>
        <w:t>validates</w:t>
      </w:r>
      <w:r w:rsidR="004D20C8" w:rsidRPr="00524503">
        <w:rPr>
          <w:rFonts w:ascii="Baskerville" w:hAnsi="Baskerville"/>
          <w:lang w:val="en-US"/>
        </w:rPr>
        <w:t xml:space="preserve"> </w:t>
      </w:r>
      <w:r w:rsidR="00C9132C" w:rsidRPr="00524503">
        <w:rPr>
          <w:rFonts w:ascii="Baskerville" w:hAnsi="Baskerville"/>
          <w:lang w:val="en-US"/>
        </w:rPr>
        <w:t xml:space="preserve">former ICJ judge </w:t>
      </w:r>
      <w:r w:rsidR="004D20C8" w:rsidRPr="00524503">
        <w:rPr>
          <w:rFonts w:ascii="Baskerville" w:hAnsi="Baskerville"/>
          <w:lang w:val="en-US"/>
        </w:rPr>
        <w:t>R</w:t>
      </w:r>
      <w:r w:rsidR="00C9132C" w:rsidRPr="00524503">
        <w:rPr>
          <w:rFonts w:ascii="Baskerville" w:hAnsi="Baskerville"/>
          <w:lang w:val="en-US"/>
        </w:rPr>
        <w:t>obert</w:t>
      </w:r>
      <w:r w:rsidR="004D20C8" w:rsidRPr="00524503">
        <w:rPr>
          <w:rFonts w:ascii="Baskerville" w:hAnsi="Baskerville"/>
          <w:lang w:val="en-US"/>
        </w:rPr>
        <w:t xml:space="preserve"> Jennings’ </w:t>
      </w:r>
      <w:r w:rsidR="003C1A86">
        <w:rPr>
          <w:rFonts w:ascii="Baskerville" w:hAnsi="Baskerville"/>
          <w:lang w:val="en-US"/>
        </w:rPr>
        <w:t>view</w:t>
      </w:r>
      <w:r w:rsidR="004D20C8" w:rsidRPr="00524503">
        <w:rPr>
          <w:rFonts w:ascii="Baskerville" w:hAnsi="Baskerville"/>
          <w:lang w:val="en-US"/>
        </w:rPr>
        <w:t xml:space="preserve"> that it is</w:t>
      </w:r>
      <w:r w:rsidR="003373B2" w:rsidRPr="00524503">
        <w:rPr>
          <w:rFonts w:ascii="Baskerville" w:hAnsi="Baskerville"/>
          <w:lang w:val="en-US"/>
        </w:rPr>
        <w:t xml:space="preserve"> </w:t>
      </w:r>
      <w:r w:rsidR="004D20C8" w:rsidRPr="00524503">
        <w:rPr>
          <w:rFonts w:ascii="Baskerville" w:hAnsi="Baskerville"/>
          <w:lang w:val="en-US"/>
        </w:rPr>
        <w:t>‘</w:t>
      </w:r>
      <w:r w:rsidR="003373B2" w:rsidRPr="00524503">
        <w:rPr>
          <w:rFonts w:ascii="Baskerville" w:hAnsi="Baskerville"/>
          <w:lang w:val="en-US"/>
        </w:rPr>
        <w:t>absurd</w:t>
      </w:r>
      <w:r w:rsidR="009023F4" w:rsidRPr="00524503">
        <w:rPr>
          <w:rFonts w:ascii="Baskerville" w:hAnsi="Baskerville"/>
          <w:lang w:val="en-US"/>
        </w:rPr>
        <w:t xml:space="preserve"> to rely solely on Article 38</w:t>
      </w:r>
      <w:r w:rsidR="004D20C8" w:rsidRPr="00524503">
        <w:rPr>
          <w:rFonts w:ascii="Baskerville" w:hAnsi="Baskerville"/>
          <w:lang w:val="en-US"/>
        </w:rPr>
        <w:t>’</w:t>
      </w:r>
      <w:r w:rsidR="009023F4" w:rsidRPr="00524503">
        <w:rPr>
          <w:rFonts w:ascii="Baskerville" w:hAnsi="Baskerville"/>
          <w:lang w:val="en-US"/>
        </w:rPr>
        <w:t>.</w:t>
      </w:r>
      <w:r w:rsidR="009023F4" w:rsidRPr="00524503">
        <w:rPr>
          <w:rStyle w:val="FootnoteReference"/>
          <w:rFonts w:ascii="Baskerville" w:hAnsi="Baskerville"/>
          <w:lang w:val="en-US"/>
        </w:rPr>
        <w:footnoteReference w:id="39"/>
      </w:r>
      <w:r w:rsidR="003373B2" w:rsidRPr="00CE0B69">
        <w:rPr>
          <w:rFonts w:ascii="Baskerville" w:hAnsi="Baskerville"/>
          <w:color w:val="FF0000"/>
          <w:lang w:val="en-US"/>
        </w:rPr>
        <w:t xml:space="preserve"> </w:t>
      </w:r>
      <w:r w:rsidR="00524503" w:rsidRPr="00F57937">
        <w:rPr>
          <w:rFonts w:ascii="Baskerville" w:hAnsi="Baskerville"/>
          <w:lang w:val="en-US"/>
        </w:rPr>
        <w:t>As a result</w:t>
      </w:r>
      <w:r w:rsidR="003373B2" w:rsidRPr="00F57937">
        <w:rPr>
          <w:rFonts w:ascii="Baskerville" w:hAnsi="Baskerville"/>
          <w:lang w:val="en-US"/>
        </w:rPr>
        <w:t>, Article 38</w:t>
      </w:r>
      <w:r w:rsidR="00F32DAF">
        <w:rPr>
          <w:rFonts w:ascii="Baskerville" w:hAnsi="Baskerville"/>
          <w:lang w:val="en-US"/>
        </w:rPr>
        <w:t>(1)</w:t>
      </w:r>
      <w:r w:rsidR="003373B2" w:rsidRPr="00F57937">
        <w:rPr>
          <w:rFonts w:ascii="Baskerville" w:hAnsi="Baskerville"/>
          <w:lang w:val="en-US"/>
        </w:rPr>
        <w:t xml:space="preserve"> should </w:t>
      </w:r>
      <w:r w:rsidR="00524503" w:rsidRPr="00F57937">
        <w:rPr>
          <w:rFonts w:ascii="Baskerville" w:hAnsi="Baskerville"/>
          <w:lang w:val="en-US"/>
        </w:rPr>
        <w:t>certainly</w:t>
      </w:r>
      <w:r w:rsidR="003373B2" w:rsidRPr="00F57937">
        <w:rPr>
          <w:rFonts w:ascii="Baskerville" w:hAnsi="Baskerville"/>
          <w:lang w:val="en-US"/>
        </w:rPr>
        <w:t xml:space="preserve"> not be considered universally </w:t>
      </w:r>
      <w:r w:rsidR="00F57937" w:rsidRPr="00F57937">
        <w:rPr>
          <w:rFonts w:ascii="Baskerville" w:hAnsi="Baskerville"/>
          <w:lang w:val="en-US"/>
        </w:rPr>
        <w:t>as</w:t>
      </w:r>
      <w:r w:rsidR="003373B2" w:rsidRPr="00F57937">
        <w:rPr>
          <w:rFonts w:ascii="Baskerville" w:hAnsi="Baskerville"/>
          <w:lang w:val="en-US"/>
        </w:rPr>
        <w:t xml:space="preserve"> the </w:t>
      </w:r>
      <w:r w:rsidR="00F57937" w:rsidRPr="00F57937">
        <w:rPr>
          <w:rFonts w:ascii="Baskerville" w:hAnsi="Baskerville"/>
          <w:lang w:val="en-US"/>
        </w:rPr>
        <w:t>benchmark</w:t>
      </w:r>
      <w:r w:rsidR="003373B2" w:rsidRPr="00F57937">
        <w:rPr>
          <w:rFonts w:ascii="Baskerville" w:hAnsi="Baskerville"/>
          <w:lang w:val="en-US"/>
        </w:rPr>
        <w:t xml:space="preserve"> </w:t>
      </w:r>
      <w:r w:rsidR="00F57937" w:rsidRPr="00F57937">
        <w:rPr>
          <w:rFonts w:ascii="Baskerville" w:hAnsi="Baskerville"/>
          <w:lang w:val="en-US"/>
        </w:rPr>
        <w:t>for</w:t>
      </w:r>
      <w:r w:rsidR="003373B2" w:rsidRPr="00F57937">
        <w:rPr>
          <w:rFonts w:ascii="Baskerville" w:hAnsi="Baskerville"/>
          <w:lang w:val="en-US"/>
        </w:rPr>
        <w:t xml:space="preserve"> determin</w:t>
      </w:r>
      <w:r w:rsidR="00F57937" w:rsidRPr="00F57937">
        <w:rPr>
          <w:rFonts w:ascii="Baskerville" w:hAnsi="Baskerville"/>
          <w:lang w:val="en-US"/>
        </w:rPr>
        <w:t>ing</w:t>
      </w:r>
      <w:r w:rsidR="003373B2" w:rsidRPr="00F57937">
        <w:rPr>
          <w:rFonts w:ascii="Baskerville" w:hAnsi="Baskerville"/>
          <w:lang w:val="en-US"/>
        </w:rPr>
        <w:t xml:space="preserve"> international law.</w:t>
      </w:r>
    </w:p>
    <w:p w14:paraId="52C9B040" w14:textId="77777777" w:rsidR="00C66BFF" w:rsidRDefault="00C66BFF" w:rsidP="004B015A">
      <w:pPr>
        <w:rPr>
          <w:rFonts w:ascii="Baskerville" w:hAnsi="Baskerville"/>
          <w:lang w:val="en-US"/>
        </w:rPr>
      </w:pPr>
    </w:p>
    <w:p w14:paraId="4B90B309" w14:textId="7A6ECA4A" w:rsidR="007044A4" w:rsidRDefault="00FA438D" w:rsidP="004B015A">
      <w:pPr>
        <w:rPr>
          <w:rFonts w:ascii="Baskerville" w:hAnsi="Baskerville"/>
          <w:b/>
          <w:u w:val="single"/>
          <w:lang w:val="en-US"/>
        </w:rPr>
      </w:pPr>
      <w:r>
        <w:rPr>
          <w:rFonts w:ascii="Baskerville" w:hAnsi="Baskerville"/>
          <w:b/>
          <w:u w:val="single"/>
          <w:lang w:val="en-US"/>
        </w:rPr>
        <w:t>Conclusion</w:t>
      </w:r>
    </w:p>
    <w:p w14:paraId="111B5584" w14:textId="77777777" w:rsidR="00F94839" w:rsidRDefault="00F94839" w:rsidP="004B015A">
      <w:pPr>
        <w:rPr>
          <w:rFonts w:ascii="Baskerville" w:hAnsi="Baskerville"/>
          <w:b/>
          <w:u w:val="single"/>
          <w:lang w:val="en-US"/>
        </w:rPr>
      </w:pPr>
    </w:p>
    <w:p w14:paraId="093130D2" w14:textId="7072EB63" w:rsidR="007044A4" w:rsidRDefault="00F94839" w:rsidP="004B015A">
      <w:pPr>
        <w:rPr>
          <w:rFonts w:ascii="Baskerville" w:hAnsi="Baskerville"/>
          <w:lang w:val="en-US"/>
        </w:rPr>
      </w:pPr>
      <w:r>
        <w:rPr>
          <w:rFonts w:ascii="Baskerville" w:hAnsi="Baskerville"/>
          <w:bCs/>
        </w:rPr>
        <w:t>It is essential for international law to not be weakened.</w:t>
      </w:r>
      <w:r>
        <w:rPr>
          <w:rFonts w:ascii="Baskerville" w:hAnsi="Baskerville"/>
          <w:color w:val="FF0000"/>
          <w:lang w:val="en-US"/>
        </w:rPr>
        <w:t xml:space="preserve"> </w:t>
      </w:r>
      <w:r w:rsidR="00F721AA">
        <w:rPr>
          <w:rFonts w:ascii="Baskerville" w:hAnsi="Baskerville"/>
          <w:lang w:val="en-US"/>
        </w:rPr>
        <w:t>The</w:t>
      </w:r>
      <w:r w:rsidR="00FA438D" w:rsidRPr="00F94839">
        <w:rPr>
          <w:rFonts w:ascii="Baskerville" w:hAnsi="Baskerville"/>
          <w:lang w:val="en-US"/>
        </w:rPr>
        <w:t xml:space="preserve"> international </w:t>
      </w:r>
      <w:r w:rsidRPr="00F94839">
        <w:rPr>
          <w:rFonts w:ascii="Baskerville" w:hAnsi="Baskerville"/>
          <w:lang w:val="en-US"/>
        </w:rPr>
        <w:t>area</w:t>
      </w:r>
      <w:r w:rsidR="00FA438D" w:rsidRPr="00F94839">
        <w:rPr>
          <w:rFonts w:ascii="Baskerville" w:hAnsi="Baskerville"/>
          <w:lang w:val="en-US"/>
        </w:rPr>
        <w:t xml:space="preserve"> of law has </w:t>
      </w:r>
      <w:r w:rsidR="00F672D6">
        <w:rPr>
          <w:rFonts w:ascii="Baskerville" w:hAnsi="Baskerville"/>
          <w:lang w:val="en-US"/>
        </w:rPr>
        <w:t>morphed into</w:t>
      </w:r>
      <w:r w:rsidR="00FA438D" w:rsidRPr="00F94839">
        <w:rPr>
          <w:rFonts w:ascii="Baskerville" w:hAnsi="Baskerville"/>
          <w:lang w:val="en-US"/>
        </w:rPr>
        <w:t xml:space="preserve"> </w:t>
      </w:r>
      <w:r w:rsidR="00B962A5">
        <w:rPr>
          <w:rFonts w:ascii="Baskerville" w:hAnsi="Baskerville"/>
          <w:lang w:val="en-US"/>
        </w:rPr>
        <w:t>‘</w:t>
      </w:r>
      <w:r w:rsidR="00FA438D" w:rsidRPr="003801F7">
        <w:rPr>
          <w:rFonts w:ascii="Baskerville" w:hAnsi="Baskerville"/>
          <w:lang w:val="en-US"/>
        </w:rPr>
        <w:t>soft law</w:t>
      </w:r>
      <w:r w:rsidR="00B962A5">
        <w:rPr>
          <w:rFonts w:ascii="Baskerville" w:hAnsi="Baskerville"/>
          <w:lang w:val="en-US"/>
        </w:rPr>
        <w:t>’</w:t>
      </w:r>
      <w:r w:rsidR="00FA438D" w:rsidRPr="00F94839">
        <w:rPr>
          <w:rFonts w:ascii="Baskerville" w:hAnsi="Baskerville"/>
          <w:lang w:val="en-US"/>
        </w:rPr>
        <w:t>,</w:t>
      </w:r>
      <w:r>
        <w:rPr>
          <w:rStyle w:val="FootnoteReference"/>
          <w:rFonts w:ascii="Baskerville" w:hAnsi="Baskerville"/>
          <w:lang w:val="en-US"/>
        </w:rPr>
        <w:footnoteReference w:id="40"/>
      </w:r>
      <w:r w:rsidR="00FA438D" w:rsidRPr="00F94839">
        <w:rPr>
          <w:rFonts w:ascii="Baskerville" w:hAnsi="Baskerville"/>
          <w:lang w:val="en-US"/>
        </w:rPr>
        <w:t xml:space="preserve"> but </w:t>
      </w:r>
      <w:r w:rsidRPr="00F94839">
        <w:rPr>
          <w:rFonts w:ascii="Baskerville" w:hAnsi="Baskerville"/>
          <w:lang w:val="en-US"/>
        </w:rPr>
        <w:t>we cannot ignore the</w:t>
      </w:r>
      <w:r w:rsidR="00FA438D" w:rsidRPr="00F94839">
        <w:rPr>
          <w:rFonts w:ascii="Baskerville" w:hAnsi="Baskerville"/>
          <w:lang w:val="en-US"/>
        </w:rPr>
        <w:t xml:space="preserve"> areas </w:t>
      </w:r>
      <w:r w:rsidRPr="00F94839">
        <w:rPr>
          <w:rFonts w:ascii="Baskerville" w:hAnsi="Baskerville"/>
          <w:lang w:val="en-US"/>
        </w:rPr>
        <w:t>requiring</w:t>
      </w:r>
      <w:r w:rsidR="00FA438D" w:rsidRPr="00F94839">
        <w:rPr>
          <w:rFonts w:ascii="Baskerville" w:hAnsi="Baskerville"/>
          <w:lang w:val="en-US"/>
        </w:rPr>
        <w:t xml:space="preserve"> improvement</w:t>
      </w:r>
      <w:r w:rsidRPr="00F94839">
        <w:rPr>
          <w:rFonts w:ascii="Baskerville" w:hAnsi="Baskerville"/>
          <w:lang w:val="en-US"/>
        </w:rPr>
        <w:t>, where those improvements can be practically made.</w:t>
      </w:r>
      <w:r w:rsidR="00FA438D" w:rsidRPr="00FA438D">
        <w:rPr>
          <w:rFonts w:ascii="Baskerville" w:hAnsi="Baskerville"/>
          <w:color w:val="FF0000"/>
          <w:lang w:val="en-US"/>
        </w:rPr>
        <w:t xml:space="preserve"> </w:t>
      </w:r>
      <w:r w:rsidR="00284B6F" w:rsidRPr="00F93E44">
        <w:rPr>
          <w:rFonts w:ascii="Baskerville" w:hAnsi="Baskerville"/>
          <w:lang w:val="en-US"/>
        </w:rPr>
        <w:t>At present, the</w:t>
      </w:r>
      <w:r w:rsidR="00FA438D" w:rsidRPr="00F93E44">
        <w:rPr>
          <w:rFonts w:ascii="Baskerville" w:hAnsi="Baskerville"/>
          <w:lang w:val="en-US"/>
        </w:rPr>
        <w:t xml:space="preserve"> sources of law are </w:t>
      </w:r>
      <w:r w:rsidR="00A6574A">
        <w:rPr>
          <w:rFonts w:ascii="Baskerville" w:hAnsi="Baskerville"/>
          <w:lang w:val="en-US"/>
        </w:rPr>
        <w:t>full</w:t>
      </w:r>
      <w:r w:rsidR="004B1D1D">
        <w:rPr>
          <w:rFonts w:ascii="Baskerville" w:hAnsi="Baskerville"/>
          <w:lang w:val="en-US"/>
        </w:rPr>
        <w:t xml:space="preserve"> </w:t>
      </w:r>
      <w:r w:rsidR="00A6574A">
        <w:rPr>
          <w:rFonts w:ascii="Baskerville" w:hAnsi="Baskerville"/>
          <w:lang w:val="en-US"/>
        </w:rPr>
        <w:t>of</w:t>
      </w:r>
      <w:r w:rsidR="004B1D1D">
        <w:rPr>
          <w:rFonts w:ascii="Baskerville" w:hAnsi="Baskerville"/>
          <w:lang w:val="en-US"/>
        </w:rPr>
        <w:t xml:space="preserve"> irregularities and there are many </w:t>
      </w:r>
      <w:r w:rsidR="00FA438D" w:rsidRPr="00F93E44">
        <w:rPr>
          <w:rFonts w:ascii="Baskerville" w:hAnsi="Baskerville"/>
          <w:lang w:val="en-US"/>
        </w:rPr>
        <w:t xml:space="preserve">questions still </w:t>
      </w:r>
      <w:r w:rsidR="004B1D1D">
        <w:rPr>
          <w:rFonts w:ascii="Baskerville" w:hAnsi="Baskerville"/>
          <w:lang w:val="en-US"/>
        </w:rPr>
        <w:t>to be answered</w:t>
      </w:r>
      <w:r w:rsidR="00FA438D" w:rsidRPr="00FE5F6E">
        <w:rPr>
          <w:rFonts w:ascii="Baskerville" w:hAnsi="Baskerville"/>
          <w:lang w:val="en-US"/>
        </w:rPr>
        <w:t>. Article 38</w:t>
      </w:r>
      <w:r w:rsidR="004B1D1D" w:rsidRPr="00FE5F6E">
        <w:rPr>
          <w:rFonts w:ascii="Baskerville" w:hAnsi="Baskerville"/>
          <w:lang w:val="en-US"/>
        </w:rPr>
        <w:t>(1)</w:t>
      </w:r>
      <w:r w:rsidR="00FA438D" w:rsidRPr="00FE5F6E">
        <w:rPr>
          <w:rFonts w:ascii="Baskerville" w:hAnsi="Baskerville"/>
          <w:lang w:val="en-US"/>
        </w:rPr>
        <w:t xml:space="preserve"> </w:t>
      </w:r>
      <w:r w:rsidR="004B1D1D" w:rsidRPr="00FE5F6E">
        <w:rPr>
          <w:rFonts w:ascii="Baskerville" w:hAnsi="Baskerville"/>
          <w:lang w:val="en-US"/>
        </w:rPr>
        <w:t xml:space="preserve">may have </w:t>
      </w:r>
      <w:r w:rsidR="00FA438D" w:rsidRPr="00FE5F6E">
        <w:rPr>
          <w:rFonts w:ascii="Baskerville" w:hAnsi="Baskerville"/>
          <w:lang w:val="en-US"/>
        </w:rPr>
        <w:t xml:space="preserve">helped </w:t>
      </w:r>
      <w:r w:rsidR="004B1D1D" w:rsidRPr="00FE5F6E">
        <w:rPr>
          <w:rFonts w:ascii="Baskerville" w:hAnsi="Baskerville"/>
          <w:lang w:val="en-US"/>
        </w:rPr>
        <w:t xml:space="preserve">to </w:t>
      </w:r>
      <w:r w:rsidR="00FA438D" w:rsidRPr="00FE5F6E">
        <w:rPr>
          <w:rFonts w:ascii="Baskerville" w:hAnsi="Baskerville"/>
          <w:lang w:val="en-US"/>
        </w:rPr>
        <w:t>define</w:t>
      </w:r>
      <w:r w:rsidR="004B1D1D" w:rsidRPr="00FE5F6E">
        <w:rPr>
          <w:rFonts w:ascii="Baskerville" w:hAnsi="Baskerville"/>
          <w:lang w:val="en-US"/>
        </w:rPr>
        <w:t xml:space="preserve"> the sources of</w:t>
      </w:r>
      <w:r w:rsidR="00FA438D" w:rsidRPr="00FE5F6E">
        <w:rPr>
          <w:rFonts w:ascii="Baskerville" w:hAnsi="Baskerville"/>
          <w:lang w:val="en-US"/>
        </w:rPr>
        <w:t xml:space="preserve"> international law</w:t>
      </w:r>
      <w:r w:rsidR="00FA438D" w:rsidRPr="00270328">
        <w:rPr>
          <w:rFonts w:ascii="Baskerville" w:hAnsi="Baskerville"/>
          <w:lang w:val="en-US"/>
        </w:rPr>
        <w:t xml:space="preserve">, </w:t>
      </w:r>
      <w:r w:rsidR="00D90866" w:rsidRPr="00270328">
        <w:rPr>
          <w:rFonts w:ascii="Baskerville" w:hAnsi="Baskerville"/>
          <w:lang w:val="en-US"/>
        </w:rPr>
        <w:t xml:space="preserve">but </w:t>
      </w:r>
      <w:r w:rsidR="00FA438D" w:rsidRPr="00270328">
        <w:rPr>
          <w:rFonts w:ascii="Baskerville" w:hAnsi="Baskerville"/>
          <w:lang w:val="en-US"/>
        </w:rPr>
        <w:t>it has fallen short of seeing the</w:t>
      </w:r>
      <w:r w:rsidR="00D70110" w:rsidRPr="00270328">
        <w:rPr>
          <w:rFonts w:ascii="Baskerville" w:hAnsi="Baskerville"/>
          <w:lang w:val="en-US"/>
        </w:rPr>
        <w:t xml:space="preserve">ir practical </w:t>
      </w:r>
      <w:r w:rsidR="007366D5" w:rsidRPr="00270328">
        <w:rPr>
          <w:rFonts w:ascii="Baskerville" w:hAnsi="Baskerville"/>
          <w:lang w:val="en-US"/>
        </w:rPr>
        <w:t>application</w:t>
      </w:r>
      <w:r w:rsidR="00FA438D" w:rsidRPr="00270328">
        <w:rPr>
          <w:rFonts w:ascii="Baskerville" w:hAnsi="Baskerville"/>
          <w:lang w:val="en-US"/>
        </w:rPr>
        <w:t xml:space="preserve">. </w:t>
      </w:r>
      <w:r w:rsidR="003141CD">
        <w:rPr>
          <w:rFonts w:ascii="Baskerville" w:hAnsi="Baskerville"/>
          <w:lang w:val="en-US"/>
        </w:rPr>
        <w:t xml:space="preserve">Today, </w:t>
      </w:r>
      <w:r w:rsidR="004D2B2A">
        <w:rPr>
          <w:rFonts w:ascii="Baskerville" w:hAnsi="Baskerville"/>
          <w:lang w:val="en-US"/>
        </w:rPr>
        <w:t>Article 38(1)</w:t>
      </w:r>
      <w:r w:rsidR="00AE24DC">
        <w:rPr>
          <w:rFonts w:ascii="Baskerville" w:hAnsi="Baskerville"/>
          <w:lang w:val="en-US"/>
        </w:rPr>
        <w:t xml:space="preserve"> </w:t>
      </w:r>
      <w:r w:rsidR="004D2B2A">
        <w:rPr>
          <w:rFonts w:ascii="Baskerville" w:hAnsi="Baskerville"/>
          <w:lang w:val="en-US"/>
        </w:rPr>
        <w:t>w</w:t>
      </w:r>
      <w:r w:rsidR="00AE24DC">
        <w:rPr>
          <w:rFonts w:ascii="Baskerville" w:hAnsi="Baskerville"/>
          <w:lang w:val="en-US"/>
        </w:rPr>
        <w:t xml:space="preserve">ould perhaps be better </w:t>
      </w:r>
      <w:r w:rsidR="005E1AB8">
        <w:rPr>
          <w:rFonts w:ascii="Baskerville" w:hAnsi="Baskerville"/>
          <w:lang w:val="en-US"/>
        </w:rPr>
        <w:t>regarded</w:t>
      </w:r>
      <w:r w:rsidR="00AE24DC">
        <w:rPr>
          <w:rFonts w:ascii="Baskerville" w:hAnsi="Baskerville"/>
          <w:lang w:val="en-US"/>
        </w:rPr>
        <w:t xml:space="preserve"> as </w:t>
      </w:r>
      <w:r w:rsidR="004D2B2A">
        <w:rPr>
          <w:rFonts w:ascii="Baskerville" w:hAnsi="Baskerville"/>
          <w:lang w:val="en-US"/>
        </w:rPr>
        <w:t>a “starting point for the discussion of the [sources of international law] and provides a convenient list”.</w:t>
      </w:r>
      <w:r w:rsidR="00B33C5C">
        <w:rPr>
          <w:rStyle w:val="FootnoteReference"/>
          <w:rFonts w:ascii="Baskerville" w:hAnsi="Baskerville"/>
          <w:lang w:val="en-US"/>
        </w:rPr>
        <w:footnoteReference w:id="41"/>
      </w:r>
      <w:r w:rsidR="004D2B2A">
        <w:rPr>
          <w:rFonts w:ascii="Baskerville" w:hAnsi="Baskerville"/>
          <w:lang w:val="en-US"/>
        </w:rPr>
        <w:t xml:space="preserve"> </w:t>
      </w:r>
      <w:r w:rsidR="00C36599" w:rsidRPr="00C36599">
        <w:rPr>
          <w:rFonts w:ascii="Baskerville" w:hAnsi="Baskerville"/>
          <w:lang w:val="en-US"/>
        </w:rPr>
        <w:t>Society is ever changing</w:t>
      </w:r>
      <w:r w:rsidR="00FA438D" w:rsidRPr="00C36599">
        <w:rPr>
          <w:rFonts w:ascii="Baskerville" w:hAnsi="Baskerville"/>
          <w:lang w:val="en-US"/>
        </w:rPr>
        <w:t xml:space="preserve">, </w:t>
      </w:r>
      <w:r w:rsidR="00C36599" w:rsidRPr="00C36599">
        <w:rPr>
          <w:rFonts w:ascii="Baskerville" w:hAnsi="Baskerville"/>
          <w:lang w:val="en-US"/>
        </w:rPr>
        <w:t xml:space="preserve">but the </w:t>
      </w:r>
      <w:r w:rsidR="00FA438D" w:rsidRPr="00C36599">
        <w:rPr>
          <w:rFonts w:ascii="Baskerville" w:hAnsi="Baskerville"/>
          <w:lang w:val="en-US"/>
        </w:rPr>
        <w:t xml:space="preserve">law needs to be one step ahead to </w:t>
      </w:r>
      <w:r w:rsidR="00C36599" w:rsidRPr="00C36599">
        <w:rPr>
          <w:rFonts w:ascii="Baskerville" w:hAnsi="Baskerville"/>
          <w:lang w:val="en-US"/>
        </w:rPr>
        <w:t>guarantee</w:t>
      </w:r>
      <w:r w:rsidR="00FA438D" w:rsidRPr="00C36599">
        <w:rPr>
          <w:rFonts w:ascii="Baskerville" w:hAnsi="Baskerville"/>
          <w:lang w:val="en-US"/>
        </w:rPr>
        <w:t xml:space="preserve"> that there is a means to </w:t>
      </w:r>
      <w:r w:rsidR="00C36599" w:rsidRPr="00C36599">
        <w:rPr>
          <w:rFonts w:ascii="Baskerville" w:hAnsi="Baskerville"/>
          <w:lang w:val="en-US"/>
        </w:rPr>
        <w:t>regulate</w:t>
      </w:r>
      <w:r w:rsidR="00FA438D" w:rsidRPr="00C36599">
        <w:rPr>
          <w:rFonts w:ascii="Baskerville" w:hAnsi="Baskerville"/>
          <w:lang w:val="en-US"/>
        </w:rPr>
        <w:t xml:space="preserve"> </w:t>
      </w:r>
      <w:r w:rsidR="00C36599" w:rsidRPr="00C36599">
        <w:rPr>
          <w:rFonts w:ascii="Baskerville" w:hAnsi="Baskerville"/>
          <w:lang w:val="en-US"/>
        </w:rPr>
        <w:t xml:space="preserve">important </w:t>
      </w:r>
      <w:r w:rsidR="00FA438D" w:rsidRPr="00C36599">
        <w:rPr>
          <w:rFonts w:ascii="Baskerville" w:hAnsi="Baskerville"/>
          <w:lang w:val="en-US"/>
        </w:rPr>
        <w:t xml:space="preserve">actions. </w:t>
      </w:r>
      <w:r w:rsidR="006D3496">
        <w:rPr>
          <w:rFonts w:ascii="Baskerville" w:hAnsi="Baskerville"/>
          <w:lang w:val="en-US"/>
        </w:rPr>
        <w:t xml:space="preserve">In light of the many weaknesses and gaps in its </w:t>
      </w:r>
      <w:r w:rsidR="00B3506B">
        <w:rPr>
          <w:rFonts w:ascii="Baskerville" w:hAnsi="Baskerville"/>
          <w:lang w:val="en-US"/>
        </w:rPr>
        <w:t>scope</w:t>
      </w:r>
      <w:r w:rsidR="00FA438D" w:rsidRPr="00C36599">
        <w:rPr>
          <w:rFonts w:ascii="Baskerville" w:hAnsi="Baskerville"/>
          <w:lang w:val="en-US"/>
        </w:rPr>
        <w:t xml:space="preserve">, </w:t>
      </w:r>
      <w:r w:rsidR="00C36599" w:rsidRPr="00C36599">
        <w:rPr>
          <w:rFonts w:ascii="Baskerville" w:hAnsi="Baskerville"/>
          <w:lang w:val="en-US"/>
        </w:rPr>
        <w:t xml:space="preserve">a </w:t>
      </w:r>
      <w:r w:rsidR="00FA438D" w:rsidRPr="00C36599">
        <w:rPr>
          <w:rFonts w:ascii="Baskerville" w:hAnsi="Baskerville"/>
          <w:lang w:val="en-US"/>
        </w:rPr>
        <w:t>review</w:t>
      </w:r>
      <w:r w:rsidR="00C36599" w:rsidRPr="00C36599">
        <w:rPr>
          <w:rFonts w:ascii="Baskerville" w:hAnsi="Baskerville"/>
          <w:lang w:val="en-US"/>
        </w:rPr>
        <w:t xml:space="preserve"> of</w:t>
      </w:r>
      <w:r w:rsidR="00FA438D" w:rsidRPr="00C36599">
        <w:rPr>
          <w:rFonts w:ascii="Baskerville" w:hAnsi="Baskerville"/>
          <w:lang w:val="en-US"/>
        </w:rPr>
        <w:t xml:space="preserve"> Article 38</w:t>
      </w:r>
      <w:r w:rsidR="00C36599" w:rsidRPr="00C36599">
        <w:rPr>
          <w:rFonts w:ascii="Baskerville" w:hAnsi="Baskerville"/>
          <w:lang w:val="en-US"/>
        </w:rPr>
        <w:t>(1)</w:t>
      </w:r>
      <w:r w:rsidR="00FA438D" w:rsidRPr="00C36599">
        <w:rPr>
          <w:rFonts w:ascii="Baskerville" w:hAnsi="Baskerville"/>
          <w:lang w:val="en-US"/>
        </w:rPr>
        <w:t xml:space="preserve"> would </w:t>
      </w:r>
      <w:r w:rsidR="00C36599" w:rsidRPr="00C36599">
        <w:rPr>
          <w:rFonts w:ascii="Baskerville" w:hAnsi="Baskerville"/>
          <w:lang w:val="en-US"/>
        </w:rPr>
        <w:t>‘</w:t>
      </w:r>
      <w:r w:rsidR="00FA438D" w:rsidRPr="00C36599">
        <w:rPr>
          <w:rFonts w:ascii="Baskerville" w:hAnsi="Baskerville"/>
          <w:lang w:val="en-US"/>
        </w:rPr>
        <w:t>bode well for the</w:t>
      </w:r>
      <w:r w:rsidR="00C66BFF">
        <w:rPr>
          <w:rFonts w:ascii="Baskerville" w:hAnsi="Baskerville"/>
          <w:lang w:val="en-US"/>
        </w:rPr>
        <w:t xml:space="preserve"> evolution of international law</w:t>
      </w:r>
      <w:r w:rsidR="003A1F2C" w:rsidRPr="00C36599">
        <w:rPr>
          <w:rFonts w:ascii="Baskerville" w:hAnsi="Baskerville"/>
          <w:lang w:val="en-US"/>
        </w:rPr>
        <w:t>’</w:t>
      </w:r>
      <w:r w:rsidR="00C66BFF">
        <w:rPr>
          <w:rFonts w:ascii="Baskerville" w:hAnsi="Baskerville"/>
          <w:lang w:val="en-US"/>
        </w:rPr>
        <w:t>.</w:t>
      </w:r>
      <w:r w:rsidR="00970D34" w:rsidRPr="00C36599">
        <w:rPr>
          <w:rStyle w:val="FootnoteReference"/>
          <w:rFonts w:ascii="Baskerville" w:hAnsi="Baskerville"/>
          <w:lang w:val="en-US"/>
        </w:rPr>
        <w:footnoteReference w:id="42"/>
      </w:r>
    </w:p>
    <w:p w14:paraId="1E7B7639" w14:textId="77777777" w:rsidR="00C66BFF" w:rsidRDefault="00C66BFF" w:rsidP="004B015A">
      <w:pPr>
        <w:rPr>
          <w:rFonts w:ascii="Baskerville" w:hAnsi="Baskerville"/>
          <w:lang w:val="en-US"/>
        </w:rPr>
      </w:pPr>
    </w:p>
    <w:p w14:paraId="0E32446F" w14:textId="77777777" w:rsidR="00205259" w:rsidRDefault="00205259" w:rsidP="004B015A">
      <w:pPr>
        <w:rPr>
          <w:rFonts w:ascii="Baskerville" w:hAnsi="Baskerville"/>
          <w:lang w:val="en-US"/>
        </w:rPr>
      </w:pPr>
    </w:p>
    <w:p w14:paraId="06670B15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3A20D8C8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9293452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5CC8E216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21965DF4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209F2C10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56A3429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265FD446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455F50EE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74B08995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339B1224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5F13B00A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1555BFB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2B678B0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379A950C" w14:textId="77777777" w:rsidR="00A35CC4" w:rsidRDefault="00A35CC4" w:rsidP="004B015A">
      <w:pPr>
        <w:rPr>
          <w:rFonts w:ascii="Baskerville" w:hAnsi="Baskerville"/>
          <w:lang w:val="en-US"/>
        </w:rPr>
      </w:pPr>
    </w:p>
    <w:p w14:paraId="17896CB8" w14:textId="77777777" w:rsidR="00691223" w:rsidRPr="000A4983" w:rsidRDefault="00691223" w:rsidP="00691223">
      <w:pPr>
        <w:rPr>
          <w:rFonts w:ascii="Baskerville" w:hAnsi="Baskerville"/>
          <w:b/>
          <w:u w:val="single"/>
        </w:rPr>
      </w:pPr>
    </w:p>
    <w:p w14:paraId="7A8909E0" w14:textId="77777777" w:rsidR="00691223" w:rsidRDefault="00691223" w:rsidP="00691223">
      <w:pPr>
        <w:rPr>
          <w:rFonts w:ascii="Baskerville" w:hAnsi="Baskerville"/>
          <w:b/>
          <w:u w:val="single"/>
        </w:rPr>
      </w:pPr>
    </w:p>
    <w:p w14:paraId="22CEC807" w14:textId="43D6F8E7" w:rsidR="00000BD1" w:rsidRDefault="00000BD1" w:rsidP="00000BD1">
      <w:pPr>
        <w:rPr>
          <w:rFonts w:ascii="Baskerville" w:hAnsi="Baskerville"/>
          <w:b/>
          <w:u w:val="single"/>
        </w:rPr>
      </w:pPr>
    </w:p>
    <w:p w14:paraId="19F52B73" w14:textId="7D86134D" w:rsidR="0076466F" w:rsidRDefault="00DB3229" w:rsidP="00DB3229">
      <w:pPr>
        <w:pStyle w:val="FootnoteText"/>
        <w:jc w:val="center"/>
        <w:rPr>
          <w:rFonts w:ascii="Baskerville" w:hAnsi="Baskerville"/>
          <w:b/>
          <w:sz w:val="28"/>
          <w:szCs w:val="28"/>
        </w:rPr>
      </w:pPr>
      <w:r w:rsidRPr="00DB3229">
        <w:rPr>
          <w:rFonts w:ascii="Baskerville" w:hAnsi="Baskerville"/>
          <w:b/>
          <w:sz w:val="28"/>
          <w:szCs w:val="28"/>
        </w:rPr>
        <w:t>Bibliography</w:t>
      </w:r>
      <w:bookmarkStart w:id="0" w:name="_GoBack"/>
      <w:bookmarkEnd w:id="0"/>
    </w:p>
    <w:p w14:paraId="50832920" w14:textId="77777777" w:rsidR="00DB3229" w:rsidRPr="00DB3229" w:rsidRDefault="00DB3229" w:rsidP="00DB3229">
      <w:pPr>
        <w:pStyle w:val="FootnoteText"/>
        <w:jc w:val="center"/>
        <w:rPr>
          <w:rFonts w:ascii="Baskerville" w:hAnsi="Baskerville"/>
          <w:b/>
          <w:sz w:val="28"/>
          <w:szCs w:val="28"/>
        </w:rPr>
      </w:pPr>
    </w:p>
    <w:p w14:paraId="1C8F3F2C" w14:textId="3E773055" w:rsidR="00DB3229" w:rsidRDefault="00DB3229" w:rsidP="0076466F">
      <w:pPr>
        <w:pStyle w:val="FootnoteText"/>
        <w:rPr>
          <w:rFonts w:ascii="Baskerville" w:hAnsi="Baskerville"/>
          <w:b/>
          <w:u w:val="single"/>
        </w:rPr>
      </w:pPr>
      <w:r w:rsidRPr="00DB3229">
        <w:rPr>
          <w:rFonts w:ascii="Baskerville" w:hAnsi="Baskerville"/>
          <w:b/>
          <w:u w:val="single"/>
        </w:rPr>
        <w:t>Primary sources</w:t>
      </w:r>
    </w:p>
    <w:p w14:paraId="52CD7F00" w14:textId="77777777" w:rsidR="00DB3229" w:rsidRPr="00DB3229" w:rsidRDefault="00DB3229" w:rsidP="0076466F">
      <w:pPr>
        <w:pStyle w:val="FootnoteText"/>
        <w:rPr>
          <w:rFonts w:ascii="Baskerville" w:hAnsi="Baskerville"/>
          <w:b/>
          <w:u w:val="single"/>
        </w:rPr>
      </w:pPr>
    </w:p>
    <w:p w14:paraId="6D908A21" w14:textId="33E065DE" w:rsidR="0076466F" w:rsidRDefault="0076466F" w:rsidP="0076466F">
      <w:pPr>
        <w:pStyle w:val="FootnoteText"/>
        <w:rPr>
          <w:rFonts w:ascii="Baskerville" w:hAnsi="Baskerville"/>
          <w:bCs/>
          <w:iCs/>
        </w:rPr>
      </w:pPr>
      <w:r w:rsidRPr="002228D7">
        <w:rPr>
          <w:rFonts w:ascii="Baskerville" w:hAnsi="Baskerville"/>
          <w:bCs/>
          <w:i/>
          <w:iCs/>
          <w:lang w:val="en-US"/>
        </w:rPr>
        <w:t xml:space="preserve">Nicaragua </w:t>
      </w:r>
      <w:r w:rsidRPr="002228D7">
        <w:rPr>
          <w:rFonts w:ascii="Baskerville" w:hAnsi="Baskerville"/>
          <w:bCs/>
          <w:iCs/>
          <w:lang w:val="en-US"/>
        </w:rPr>
        <w:t>v</w:t>
      </w:r>
      <w:r w:rsidRPr="002228D7">
        <w:rPr>
          <w:rFonts w:ascii="Baskerville" w:hAnsi="Baskerville"/>
          <w:bCs/>
          <w:i/>
          <w:iCs/>
          <w:lang w:val="en-US"/>
        </w:rPr>
        <w:t xml:space="preserve"> United States of America</w:t>
      </w:r>
      <w:r w:rsidR="0000539A">
        <w:rPr>
          <w:rFonts w:ascii="Baskerville" w:hAnsi="Baskerville"/>
          <w:bCs/>
          <w:i/>
          <w:iCs/>
          <w:lang w:val="en-US"/>
        </w:rPr>
        <w:t xml:space="preserve"> </w:t>
      </w:r>
      <w:r w:rsidR="0000539A">
        <w:rPr>
          <w:rFonts w:ascii="Baskerville" w:hAnsi="Baskerville"/>
          <w:bCs/>
          <w:iCs/>
        </w:rPr>
        <w:t>[1986]</w:t>
      </w:r>
      <w:r w:rsidRPr="002228D7">
        <w:rPr>
          <w:rFonts w:ascii="Baskerville" w:hAnsi="Baskerville"/>
          <w:bCs/>
          <w:iCs/>
        </w:rPr>
        <w:t xml:space="preserve"> IC</w:t>
      </w:r>
      <w:r w:rsidR="003425EA">
        <w:rPr>
          <w:rFonts w:ascii="Baskerville" w:hAnsi="Baskerville"/>
          <w:bCs/>
          <w:iCs/>
        </w:rPr>
        <w:t>J Rep 14</w:t>
      </w:r>
    </w:p>
    <w:p w14:paraId="795A2E2F" w14:textId="77777777" w:rsidR="003425EA" w:rsidRDefault="003425EA" w:rsidP="0076466F">
      <w:pPr>
        <w:pStyle w:val="FootnoteText"/>
        <w:rPr>
          <w:rFonts w:ascii="Baskerville" w:hAnsi="Baskerville"/>
          <w:bCs/>
          <w:iCs/>
        </w:rPr>
      </w:pPr>
    </w:p>
    <w:p w14:paraId="13AAB1EB" w14:textId="7CBB5615" w:rsidR="003425EA" w:rsidRPr="003425EA" w:rsidRDefault="003425EA" w:rsidP="0076466F">
      <w:pPr>
        <w:pStyle w:val="FootnoteText"/>
        <w:rPr>
          <w:rFonts w:ascii="Baskerville" w:hAnsi="Baskerville"/>
        </w:rPr>
      </w:pPr>
      <w:r w:rsidRPr="00732EF5">
        <w:rPr>
          <w:rFonts w:ascii="Baskerville" w:hAnsi="Baskerville"/>
          <w:i/>
          <w:iCs/>
        </w:rPr>
        <w:t xml:space="preserve">North Sea Continental Shelf </w:t>
      </w:r>
      <w:r w:rsidRPr="00732EF5">
        <w:rPr>
          <w:rFonts w:ascii="Baskerville" w:hAnsi="Baskerville"/>
          <w:i/>
        </w:rPr>
        <w:t xml:space="preserve">cases </w:t>
      </w:r>
      <w:r w:rsidR="0000539A">
        <w:rPr>
          <w:rFonts w:ascii="Baskerville" w:hAnsi="Baskerville"/>
        </w:rPr>
        <w:t>[1969] ICJ Rep 3</w:t>
      </w:r>
      <w:r w:rsidRPr="00732EF5">
        <w:rPr>
          <w:rFonts w:ascii="Baskerville" w:hAnsi="Baskerville"/>
        </w:rPr>
        <w:t xml:space="preserve"> 74</w:t>
      </w:r>
    </w:p>
    <w:p w14:paraId="5D100C66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4BB87AFF" w14:textId="77777777" w:rsidR="0076466F" w:rsidRPr="007D5923" w:rsidRDefault="0076466F" w:rsidP="0076466F">
      <w:pPr>
        <w:pStyle w:val="FootnoteText"/>
        <w:rPr>
          <w:rFonts w:ascii="Baskerville" w:hAnsi="Baskerville"/>
          <w:lang w:val="en-US"/>
        </w:rPr>
      </w:pPr>
      <w:r w:rsidRPr="007D5923">
        <w:rPr>
          <w:rFonts w:ascii="Baskerville" w:hAnsi="Baskerville"/>
          <w:i/>
          <w:iCs/>
          <w:lang w:val="en-US"/>
        </w:rPr>
        <w:t xml:space="preserve">Serdar Mohammad </w:t>
      </w:r>
      <w:r w:rsidRPr="007D5923">
        <w:rPr>
          <w:rFonts w:ascii="Baskerville" w:hAnsi="Baskerville"/>
          <w:iCs/>
          <w:lang w:val="en-US"/>
        </w:rPr>
        <w:t>v</w:t>
      </w:r>
      <w:r w:rsidRPr="007D5923">
        <w:rPr>
          <w:rFonts w:ascii="Baskerville" w:hAnsi="Baskerville"/>
          <w:i/>
          <w:iCs/>
          <w:lang w:val="en-US"/>
        </w:rPr>
        <w:t xml:space="preserve"> Secretary of State for Defence</w:t>
      </w:r>
      <w:r w:rsidRPr="007D5923">
        <w:rPr>
          <w:rFonts w:ascii="Baskerville" w:hAnsi="Baskerville"/>
          <w:lang w:val="en-US"/>
        </w:rPr>
        <w:t xml:space="preserve"> [2015] EWCA Civ 843</w:t>
      </w:r>
    </w:p>
    <w:p w14:paraId="12806DC4" w14:textId="77777777" w:rsidR="0076466F" w:rsidRDefault="0076466F" w:rsidP="0076466F">
      <w:pPr>
        <w:rPr>
          <w:rFonts w:ascii="Baskerville" w:hAnsi="Baskerville"/>
          <w:b/>
        </w:rPr>
      </w:pPr>
    </w:p>
    <w:p w14:paraId="3FA3C7AC" w14:textId="74C641A7" w:rsidR="00967912" w:rsidRPr="00967912" w:rsidRDefault="00967912" w:rsidP="00967912">
      <w:pPr>
        <w:rPr>
          <w:rFonts w:ascii="Calibri" w:hAnsi="Calibri" w:cs="Times New Roman"/>
          <w:color w:val="000000"/>
        </w:rPr>
      </w:pPr>
      <w:r>
        <w:rPr>
          <w:rFonts w:ascii="Baskerville" w:hAnsi="Baskerville" w:cs="Times New Roman"/>
          <w:color w:val="000000"/>
        </w:rPr>
        <w:t>United Nations, ‘</w:t>
      </w:r>
      <w:r w:rsidRPr="00967912">
        <w:rPr>
          <w:rFonts w:ascii="Baskerville" w:hAnsi="Baskerville" w:cs="Times New Roman"/>
          <w:color w:val="000000"/>
        </w:rPr>
        <w:t>The Stockholm Declaration </w:t>
      </w:r>
      <w:r w:rsidRPr="00967912">
        <w:rPr>
          <w:rFonts w:ascii="Baskerville" w:hAnsi="Baskerville" w:cs="Times New Roman"/>
          <w:color w:val="000000"/>
          <w:lang w:val="en-US"/>
        </w:rPr>
        <w:t>of the United Nations Conference on the Human Environment</w:t>
      </w:r>
      <w:r>
        <w:rPr>
          <w:rFonts w:ascii="Baskerville" w:hAnsi="Baskerville" w:cs="Times New Roman"/>
          <w:color w:val="000000"/>
          <w:lang w:val="en-US"/>
        </w:rPr>
        <w:t>’</w:t>
      </w:r>
      <w:r w:rsidRPr="00967912">
        <w:rPr>
          <w:rFonts w:ascii="Baskerville" w:hAnsi="Baskerville" w:cs="Times New Roman"/>
          <w:color w:val="000000"/>
        </w:rPr>
        <w:t> </w:t>
      </w:r>
      <w:r>
        <w:rPr>
          <w:rFonts w:ascii="Baskerville" w:hAnsi="Baskerville" w:cs="Times New Roman"/>
          <w:color w:val="000000"/>
        </w:rPr>
        <w:t xml:space="preserve">(1972) </w:t>
      </w:r>
      <w:r>
        <w:rPr>
          <w:rFonts w:ascii="Baskerville" w:hAnsi="Baskerville" w:cs="Times New Roman"/>
          <w:color w:val="000000"/>
          <w:lang w:val="en-US"/>
        </w:rPr>
        <w:t xml:space="preserve">UN Doc A/Conf </w:t>
      </w:r>
      <w:r w:rsidRPr="00967912">
        <w:rPr>
          <w:rFonts w:ascii="Baskerville" w:hAnsi="Baskerville" w:cs="Times New Roman"/>
          <w:color w:val="000000"/>
          <w:lang w:val="en-US"/>
        </w:rPr>
        <w:t xml:space="preserve">48/14/Rev 1(1973)11 ILM 1416 </w:t>
      </w:r>
    </w:p>
    <w:p w14:paraId="662CF88E" w14:textId="77777777" w:rsidR="0076466F" w:rsidRPr="00967912" w:rsidRDefault="0076466F" w:rsidP="0076466F">
      <w:pPr>
        <w:rPr>
          <w:rFonts w:ascii="Baskerville" w:hAnsi="Baskerville"/>
          <w:iCs/>
        </w:rPr>
      </w:pPr>
    </w:p>
    <w:p w14:paraId="6795F52E" w14:textId="42FC292D" w:rsidR="00967912" w:rsidRPr="00967912" w:rsidRDefault="00967912" w:rsidP="00967912">
      <w:pPr>
        <w:rPr>
          <w:rFonts w:ascii="Calibri" w:hAnsi="Calibri" w:cs="Times New Roman"/>
          <w:color w:val="000000"/>
        </w:rPr>
      </w:pPr>
      <w:r>
        <w:rPr>
          <w:rFonts w:ascii="Baskerville" w:hAnsi="Baskerville" w:cs="Times New Roman"/>
          <w:color w:val="000000"/>
        </w:rPr>
        <w:t>United Nations, ‘</w:t>
      </w:r>
      <w:r w:rsidRPr="00967912">
        <w:rPr>
          <w:rFonts w:ascii="Baskerville" w:hAnsi="Baskerville" w:cs="Times New Roman"/>
          <w:color w:val="000000"/>
        </w:rPr>
        <w:t>Rio Declaration on Development and Environment</w:t>
      </w:r>
      <w:r>
        <w:rPr>
          <w:rFonts w:ascii="Baskerville" w:hAnsi="Baskerville" w:cs="Times New Roman"/>
          <w:color w:val="000000"/>
        </w:rPr>
        <w:t>’</w:t>
      </w:r>
      <w:r w:rsidRPr="00967912">
        <w:rPr>
          <w:rFonts w:ascii="Baskerville" w:hAnsi="Baskerville" w:cs="Times New Roman"/>
          <w:color w:val="000000"/>
        </w:rPr>
        <w:t xml:space="preserve"> </w:t>
      </w:r>
      <w:r>
        <w:rPr>
          <w:rFonts w:ascii="Baskerville" w:hAnsi="Baskerville" w:cs="Times New Roman"/>
          <w:color w:val="000000"/>
        </w:rPr>
        <w:t xml:space="preserve">(1992) </w:t>
      </w:r>
      <w:r>
        <w:rPr>
          <w:rFonts w:ascii="Baskerville" w:hAnsi="Baskerville" w:cs="Times New Roman"/>
          <w:color w:val="000000"/>
          <w:lang w:val="en-US"/>
        </w:rPr>
        <w:t xml:space="preserve">UN Doc </w:t>
      </w:r>
      <w:r w:rsidRPr="00967912">
        <w:rPr>
          <w:rFonts w:ascii="Baskerville" w:hAnsi="Baskerville" w:cs="Times New Roman"/>
          <w:color w:val="000000"/>
          <w:lang w:val="en-US"/>
        </w:rPr>
        <w:t>A/CONF.151/26 (vol. I)/31 ILM 874 (1992)</w:t>
      </w:r>
      <w:r w:rsidRPr="00967912">
        <w:rPr>
          <w:rFonts w:ascii="Calibri" w:hAnsi="Calibri" w:cs="Times New Roman"/>
          <w:color w:val="000000"/>
        </w:rPr>
        <w:t>   </w:t>
      </w:r>
    </w:p>
    <w:p w14:paraId="019279EE" w14:textId="77777777" w:rsidR="0076466F" w:rsidRPr="00967912" w:rsidRDefault="0076466F" w:rsidP="0076466F">
      <w:pPr>
        <w:rPr>
          <w:rFonts w:ascii="Baskerville" w:hAnsi="Baskerville"/>
          <w:b/>
        </w:rPr>
      </w:pPr>
    </w:p>
    <w:p w14:paraId="6B5C4E5D" w14:textId="77777777" w:rsidR="0076466F" w:rsidRDefault="0076466F" w:rsidP="0076466F">
      <w:pPr>
        <w:rPr>
          <w:rFonts w:ascii="Baskerville" w:hAnsi="Baskerville"/>
        </w:rPr>
      </w:pPr>
      <w:r>
        <w:rPr>
          <w:rFonts w:ascii="Baskerville" w:hAnsi="Baskerville"/>
        </w:rPr>
        <w:t xml:space="preserve">Foreign and Commonwealth Office, </w:t>
      </w:r>
      <w:r w:rsidRPr="0028521A">
        <w:rPr>
          <w:rFonts w:ascii="Baskerville" w:hAnsi="Baskerville"/>
          <w:i/>
        </w:rPr>
        <w:t>Vienna Convention on the Law of Treaties</w:t>
      </w:r>
      <w:r>
        <w:rPr>
          <w:rFonts w:ascii="Baskerville" w:hAnsi="Baskerville"/>
        </w:rPr>
        <w:t xml:space="preserve"> (Cmd 7964, </w:t>
      </w:r>
    </w:p>
    <w:p w14:paraId="4F373AC0" w14:textId="39E24F00" w:rsidR="0076466F" w:rsidRDefault="0076466F" w:rsidP="0076466F">
      <w:pPr>
        <w:rPr>
          <w:rFonts w:ascii="Baskerville" w:hAnsi="Baskerville"/>
        </w:rPr>
      </w:pPr>
      <w:r>
        <w:rPr>
          <w:rFonts w:ascii="Baskerville" w:hAnsi="Baskerville"/>
        </w:rPr>
        <w:t xml:space="preserve">1980) </w:t>
      </w:r>
    </w:p>
    <w:p w14:paraId="14D5AB99" w14:textId="77777777" w:rsidR="0076466F" w:rsidRDefault="0076466F" w:rsidP="0076466F">
      <w:pPr>
        <w:rPr>
          <w:rFonts w:ascii="Baskerville" w:hAnsi="Baskerville"/>
        </w:rPr>
      </w:pPr>
    </w:p>
    <w:p w14:paraId="5C44A115" w14:textId="39FD9814" w:rsidR="00B65815" w:rsidRDefault="00B65815" w:rsidP="0076466F">
      <w:pPr>
        <w:rPr>
          <w:rFonts w:ascii="Baskerville" w:hAnsi="Baskerville"/>
          <w:lang w:val="en-US"/>
        </w:rPr>
      </w:pPr>
      <w:r w:rsidRPr="00000BD1">
        <w:rPr>
          <w:rFonts w:ascii="Baskerville" w:hAnsi="Baskerville"/>
          <w:lang w:val="en-US"/>
        </w:rPr>
        <w:t xml:space="preserve">Statute of the International </w:t>
      </w:r>
      <w:r>
        <w:rPr>
          <w:rFonts w:ascii="Baskerville" w:hAnsi="Baskerville"/>
          <w:lang w:val="en-US"/>
        </w:rPr>
        <w:t xml:space="preserve">Court of Justice [ICJ] </w:t>
      </w:r>
    </w:p>
    <w:p w14:paraId="52A2C3C5" w14:textId="77777777" w:rsidR="00D07AC5" w:rsidRPr="00D07AC5" w:rsidRDefault="00D07AC5" w:rsidP="0076466F">
      <w:pPr>
        <w:rPr>
          <w:rFonts w:ascii="Baskerville" w:hAnsi="Baskerville"/>
          <w:lang w:val="en-US"/>
        </w:rPr>
      </w:pPr>
    </w:p>
    <w:p w14:paraId="18D7C198" w14:textId="6D987B6F" w:rsidR="001354CE" w:rsidRPr="00AC6ED3" w:rsidRDefault="001354CE" w:rsidP="001354CE">
      <w:pPr>
        <w:rPr>
          <w:rFonts w:ascii="Calibri" w:hAnsi="Calibri" w:cs="Times New Roman"/>
          <w:color w:val="000000"/>
        </w:rPr>
      </w:pPr>
      <w:r>
        <w:rPr>
          <w:rFonts w:ascii="Baskerville" w:hAnsi="Baskerville"/>
        </w:rPr>
        <w:t>United Nations,</w:t>
      </w:r>
      <w:r w:rsidR="00D07AC5" w:rsidRPr="0015341E">
        <w:rPr>
          <w:rFonts w:ascii="Baskerville" w:hAnsi="Baskerville"/>
        </w:rPr>
        <w:t xml:space="preserve"> </w:t>
      </w:r>
      <w:r w:rsidR="00967912">
        <w:rPr>
          <w:rFonts w:ascii="Baskerville" w:hAnsi="Baskerville"/>
        </w:rPr>
        <w:t>‘</w:t>
      </w:r>
      <w:r w:rsidR="0000539A" w:rsidRPr="0015341E">
        <w:rPr>
          <w:rFonts w:ascii="Baskerville" w:hAnsi="Baskerville"/>
        </w:rPr>
        <w:t xml:space="preserve">Charter </w:t>
      </w:r>
      <w:r w:rsidR="00D07AC5" w:rsidRPr="0015341E">
        <w:rPr>
          <w:rFonts w:ascii="Baskerville" w:hAnsi="Baskerville"/>
        </w:rPr>
        <w:t>of the United Nations</w:t>
      </w:r>
      <w:r w:rsidR="00FA7BDE">
        <w:rPr>
          <w:rFonts w:ascii="Baskerville" w:hAnsi="Baskerville"/>
        </w:rPr>
        <w:t>’</w:t>
      </w:r>
      <w:r w:rsidR="00D07AC5" w:rsidRPr="0015341E">
        <w:rPr>
          <w:rFonts w:ascii="Baskerville" w:hAnsi="Baskerville"/>
        </w:rPr>
        <w:t xml:space="preserve"> </w:t>
      </w:r>
      <w:r>
        <w:rPr>
          <w:rFonts w:ascii="Baskerville" w:hAnsi="Baskerville"/>
        </w:rPr>
        <w:t xml:space="preserve">(1945) </w:t>
      </w:r>
      <w:r>
        <w:rPr>
          <w:rFonts w:ascii="Baskerville" w:hAnsi="Baskerville" w:cs="Times New Roman"/>
          <w:color w:val="000000"/>
          <w:lang w:val="en-US"/>
        </w:rPr>
        <w:t>ATS 1/59 Stat 1031 TS 993</w:t>
      </w:r>
      <w:r w:rsidRPr="00AC6ED3">
        <w:rPr>
          <w:rFonts w:ascii="Baskerville" w:hAnsi="Baskerville" w:cs="Times New Roman"/>
          <w:color w:val="000000"/>
          <w:lang w:val="en-US"/>
        </w:rPr>
        <w:t xml:space="preserve"> 3 Bevans 1153</w:t>
      </w:r>
      <w:r w:rsidRPr="00AC6ED3">
        <w:rPr>
          <w:rFonts w:ascii="Calibri" w:hAnsi="Calibri" w:cs="Times New Roman"/>
          <w:color w:val="000000"/>
        </w:rPr>
        <w:t> </w:t>
      </w:r>
    </w:p>
    <w:p w14:paraId="7261602D" w14:textId="77777777" w:rsidR="0076466F" w:rsidRDefault="0076466F" w:rsidP="0076466F">
      <w:pPr>
        <w:rPr>
          <w:rFonts w:ascii="Baskerville" w:hAnsi="Baskerville"/>
        </w:rPr>
      </w:pPr>
    </w:p>
    <w:p w14:paraId="59F6B6D5" w14:textId="560F36A5" w:rsidR="0074124C" w:rsidRPr="00FA7BDE" w:rsidRDefault="001354CE" w:rsidP="0076466F">
      <w:pPr>
        <w:rPr>
          <w:rFonts w:ascii="Calibri" w:hAnsi="Calibri" w:cs="Times New Roman"/>
          <w:color w:val="000000"/>
        </w:rPr>
      </w:pPr>
      <w:r>
        <w:rPr>
          <w:rFonts w:ascii="Baskerville" w:hAnsi="Baskerville"/>
          <w:iCs/>
        </w:rPr>
        <w:t>United Nations</w:t>
      </w:r>
      <w:r w:rsidR="00FA7BDE">
        <w:rPr>
          <w:rFonts w:ascii="Baskerville" w:hAnsi="Baskerville"/>
          <w:iCs/>
        </w:rPr>
        <w:t>,</w:t>
      </w:r>
      <w:r w:rsidR="0076466F" w:rsidRPr="003B4C57">
        <w:rPr>
          <w:rFonts w:ascii="Baskerville" w:hAnsi="Baskerville"/>
          <w:iCs/>
        </w:rPr>
        <w:t xml:space="preserve"> </w:t>
      </w:r>
      <w:r w:rsidR="00FA7BDE">
        <w:rPr>
          <w:rFonts w:ascii="Baskerville" w:hAnsi="Baskerville"/>
          <w:iCs/>
        </w:rPr>
        <w:t>‘</w:t>
      </w:r>
      <w:r w:rsidR="0076466F" w:rsidRPr="003B4C57">
        <w:rPr>
          <w:rFonts w:ascii="Baskerville" w:hAnsi="Baskerville"/>
          <w:iCs/>
        </w:rPr>
        <w:t>Framework Convention on Climate Change</w:t>
      </w:r>
      <w:r w:rsidR="00FA7BDE">
        <w:rPr>
          <w:rFonts w:ascii="Baskerville" w:hAnsi="Baskerville"/>
          <w:iCs/>
        </w:rPr>
        <w:t>’</w:t>
      </w:r>
      <w:r>
        <w:rPr>
          <w:rFonts w:ascii="Baskerville" w:hAnsi="Baskerville"/>
          <w:iCs/>
        </w:rPr>
        <w:t xml:space="preserve"> (1992)</w:t>
      </w:r>
      <w:r w:rsidR="00967912">
        <w:rPr>
          <w:rFonts w:ascii="Baskerville" w:hAnsi="Baskerville"/>
          <w:iCs/>
        </w:rPr>
        <w:t xml:space="preserve"> </w:t>
      </w:r>
      <w:r w:rsidR="00967912">
        <w:rPr>
          <w:rFonts w:ascii="Baskerville" w:hAnsi="Baskerville" w:cs="Times New Roman"/>
          <w:color w:val="000000"/>
        </w:rPr>
        <w:t>1771 UNTS 107 S. Treaty Doc No. 102-38 UN Doc A/AC.237/18 (Part II)/Add</w:t>
      </w:r>
      <w:r w:rsidR="00FA7BDE">
        <w:rPr>
          <w:rFonts w:ascii="Baskerville" w:hAnsi="Baskerville" w:cs="Times New Roman"/>
          <w:color w:val="000000"/>
        </w:rPr>
        <w:t>.</w:t>
      </w:r>
      <w:r w:rsidR="00967912">
        <w:rPr>
          <w:rFonts w:ascii="Baskerville" w:hAnsi="Baskerville" w:cs="Times New Roman"/>
          <w:color w:val="000000"/>
        </w:rPr>
        <w:t xml:space="preserve"> </w:t>
      </w:r>
      <w:r w:rsidR="00967912" w:rsidRPr="00967912">
        <w:rPr>
          <w:rFonts w:ascii="Baskerville" w:hAnsi="Baskerville" w:cs="Times New Roman"/>
          <w:color w:val="000000"/>
        </w:rPr>
        <w:t>1</w:t>
      </w:r>
      <w:r w:rsidR="00967912">
        <w:rPr>
          <w:rFonts w:ascii="Baskerville" w:hAnsi="Baskerville" w:cs="Times New Roman"/>
          <w:color w:val="000000"/>
        </w:rPr>
        <w:t>/</w:t>
      </w:r>
      <w:r w:rsidR="00967912" w:rsidRPr="00967912">
        <w:rPr>
          <w:rFonts w:ascii="Baskerville" w:hAnsi="Baskerville" w:cs="Times New Roman"/>
          <w:color w:val="000000"/>
        </w:rPr>
        <w:t xml:space="preserve">31 ILM 849 </w:t>
      </w:r>
    </w:p>
    <w:p w14:paraId="35526790" w14:textId="77777777" w:rsidR="00B65815" w:rsidRDefault="00B65815" w:rsidP="0076466F">
      <w:pPr>
        <w:rPr>
          <w:rFonts w:ascii="Baskerville" w:hAnsi="Baskerville"/>
          <w:lang w:val="en-US"/>
        </w:rPr>
      </w:pPr>
    </w:p>
    <w:p w14:paraId="06DF4DF3" w14:textId="0C9CFCBA" w:rsidR="0076466F" w:rsidRDefault="0076466F" w:rsidP="0076466F">
      <w:pPr>
        <w:rPr>
          <w:rFonts w:ascii="Baskerville" w:hAnsi="Baskerville"/>
          <w:b/>
          <w:u w:val="single"/>
          <w:lang w:val="en-US"/>
        </w:rPr>
      </w:pPr>
      <w:r>
        <w:rPr>
          <w:rFonts w:ascii="Baskerville" w:hAnsi="Baskerville"/>
          <w:b/>
          <w:u w:val="single"/>
          <w:lang w:val="en-US"/>
        </w:rPr>
        <w:t xml:space="preserve">Secondary </w:t>
      </w:r>
      <w:r w:rsidR="00971B39">
        <w:rPr>
          <w:rFonts w:ascii="Baskerville" w:hAnsi="Baskerville"/>
          <w:b/>
          <w:u w:val="single"/>
          <w:lang w:val="en-US"/>
        </w:rPr>
        <w:t>s</w:t>
      </w:r>
      <w:r>
        <w:rPr>
          <w:rFonts w:ascii="Baskerville" w:hAnsi="Baskerville"/>
          <w:b/>
          <w:u w:val="single"/>
          <w:lang w:val="en-US"/>
        </w:rPr>
        <w:t>ources</w:t>
      </w:r>
    </w:p>
    <w:p w14:paraId="3FBE181A" w14:textId="77777777" w:rsidR="0076466F" w:rsidRDefault="0076466F" w:rsidP="0076466F">
      <w:pPr>
        <w:rPr>
          <w:rFonts w:ascii="Baskerville" w:hAnsi="Baskerville"/>
          <w:b/>
          <w:u w:val="single"/>
          <w:lang w:val="en-US"/>
        </w:rPr>
      </w:pPr>
    </w:p>
    <w:p w14:paraId="7AAF7974" w14:textId="77777777" w:rsidR="0076466F" w:rsidRDefault="0076466F" w:rsidP="0076466F">
      <w:pPr>
        <w:rPr>
          <w:rFonts w:ascii="Baskerville" w:hAnsi="Baskerville"/>
          <w:b/>
          <w:lang w:val="en-US"/>
        </w:rPr>
      </w:pPr>
      <w:r w:rsidRPr="004B7F7C">
        <w:rPr>
          <w:rFonts w:ascii="Baskerville" w:hAnsi="Baskerville"/>
          <w:b/>
          <w:lang w:val="en-US"/>
        </w:rPr>
        <w:t>Book</w:t>
      </w:r>
      <w:r>
        <w:rPr>
          <w:rFonts w:ascii="Baskerville" w:hAnsi="Baskerville"/>
          <w:b/>
          <w:lang w:val="en-US"/>
        </w:rPr>
        <w:t>s</w:t>
      </w:r>
    </w:p>
    <w:p w14:paraId="38D35971" w14:textId="77777777" w:rsidR="0076466F" w:rsidRDefault="0076466F" w:rsidP="0076466F">
      <w:pPr>
        <w:rPr>
          <w:rFonts w:ascii="Baskerville" w:hAnsi="Baskerville"/>
        </w:rPr>
      </w:pPr>
    </w:p>
    <w:p w14:paraId="1F1B1919" w14:textId="526CE431" w:rsidR="0076466F" w:rsidRDefault="00971B39" w:rsidP="0076466F">
      <w:pPr>
        <w:rPr>
          <w:rFonts w:ascii="Baskerville" w:eastAsia="Arial Unicode MS" w:hAnsi="Baskerville" w:cs="Arial Unicode MS"/>
          <w:color w:val="000000"/>
          <w:shd w:val="clear" w:color="auto" w:fill="FFFFFF"/>
        </w:rPr>
      </w:pPr>
      <w:r>
        <w:rPr>
          <w:rFonts w:ascii="Baskerville" w:hAnsi="Baskerville"/>
        </w:rPr>
        <w:t>D</w:t>
      </w:r>
      <w:r w:rsidR="0076466F">
        <w:rPr>
          <w:rFonts w:ascii="Baskerville" w:hAnsi="Baskerville"/>
        </w:rPr>
        <w:t>’Aspremont J,</w:t>
      </w:r>
      <w:r w:rsidR="003425EA">
        <w:rPr>
          <w:rFonts w:ascii="Baskerville" w:hAnsi="Baskerville"/>
        </w:rPr>
        <w:t xml:space="preserve"> </w:t>
      </w:r>
      <w:r w:rsidR="0076466F" w:rsidRPr="002C45C0">
        <w:rPr>
          <w:rFonts w:ascii="Baskerville" w:hAnsi="Baskerville"/>
          <w:i/>
        </w:rPr>
        <w:t>The Configuration of Formal Ascertainment of Inter</w:t>
      </w:r>
      <w:r w:rsidR="003425EA">
        <w:rPr>
          <w:rFonts w:ascii="Baskerville" w:hAnsi="Baskerville"/>
          <w:i/>
        </w:rPr>
        <w:t>national Law: The Source Thesis</w:t>
      </w:r>
      <w:r w:rsidR="0076466F" w:rsidRPr="002C45C0">
        <w:rPr>
          <w:rFonts w:ascii="Baskerville" w:hAnsi="Baskerville"/>
          <w:i/>
        </w:rPr>
        <w:t xml:space="preserve"> in </w:t>
      </w:r>
      <w:r w:rsidR="0076466F" w:rsidRPr="002C45C0">
        <w:rPr>
          <w:rFonts w:ascii="Baskerville" w:eastAsia="Arial Unicode MS" w:hAnsi="Baskerville" w:cs="Arial Unicode MS"/>
          <w:i/>
          <w:color w:val="000000"/>
          <w:shd w:val="clear" w:color="auto" w:fill="FFFFFF"/>
        </w:rPr>
        <w:t>Formalism and the Sources of International Law : A Theory of the Ascertainment of Legal Rules</w:t>
      </w:r>
      <w:r w:rsidR="0076466F"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 (OUP 2011)</w:t>
      </w:r>
    </w:p>
    <w:p w14:paraId="6AF26F84" w14:textId="77777777" w:rsidR="00B65815" w:rsidRDefault="00B65815" w:rsidP="0076466F">
      <w:pPr>
        <w:rPr>
          <w:rFonts w:ascii="Baskerville" w:eastAsia="Arial Unicode MS" w:hAnsi="Baskerville" w:cs="Arial Unicode MS"/>
          <w:color w:val="000000"/>
          <w:shd w:val="clear" w:color="auto" w:fill="FFFFFF"/>
        </w:rPr>
      </w:pPr>
    </w:p>
    <w:p w14:paraId="71ACFE4E" w14:textId="6D3EA607" w:rsidR="00B65815" w:rsidRPr="005119F9" w:rsidRDefault="00B65815" w:rsidP="0076466F">
      <w:pPr>
        <w:rPr>
          <w:rFonts w:eastAsia="Times New Roman" w:cs="Times New Roman"/>
          <w:lang w:val="en-US"/>
        </w:rPr>
      </w:pP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Brownlie I, </w:t>
      </w:r>
      <w:r w:rsidRPr="002C45C0">
        <w:rPr>
          <w:rFonts w:ascii="Baskerville" w:eastAsia="Arial Unicode MS" w:hAnsi="Baskerville" w:cs="Arial Unicode MS"/>
          <w:i/>
          <w:color w:val="000000"/>
          <w:shd w:val="clear" w:color="auto" w:fill="FFFFFF"/>
        </w:rPr>
        <w:t>Principles of Public International Law</w:t>
      </w:r>
      <w:r w:rsidR="003425EA">
        <w:rPr>
          <w:rFonts w:ascii="Baskerville" w:eastAsia="Arial Unicode MS" w:hAnsi="Baskerville" w:cs="Arial Unicode MS"/>
          <w:i/>
          <w:color w:val="000000"/>
          <w:shd w:val="clear" w:color="auto" w:fill="FFFFFF"/>
        </w:rPr>
        <w:t xml:space="preserve"> 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>(4</w:t>
      </w:r>
      <w:r w:rsidRPr="00B65815">
        <w:rPr>
          <w:rFonts w:ascii="Baskerville" w:eastAsia="Arial Unicode MS" w:hAnsi="Baskerville" w:cs="Arial Unicode MS"/>
          <w:color w:val="000000"/>
          <w:shd w:val="clear" w:color="auto" w:fill="FFFFFF"/>
          <w:vertAlign w:val="superscript"/>
        </w:rPr>
        <w:t>th</w:t>
      </w:r>
      <w:r>
        <w:rPr>
          <w:rFonts w:ascii="Baskerville" w:eastAsia="Arial Unicode MS" w:hAnsi="Baskerville" w:cs="Arial Unicode MS"/>
          <w:color w:val="000000"/>
          <w:shd w:val="clear" w:color="auto" w:fill="FFFFFF"/>
        </w:rPr>
        <w:t xml:space="preserve"> edn, OUP 1990)</w:t>
      </w:r>
    </w:p>
    <w:p w14:paraId="6D9E8DC6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76B1DFE2" w14:textId="610D30A3" w:rsidR="0076466F" w:rsidRPr="00BF46E6" w:rsidRDefault="0076466F" w:rsidP="0076466F">
      <w:pPr>
        <w:pStyle w:val="FootnoteText"/>
        <w:rPr>
          <w:rFonts w:ascii="Baskerville" w:hAnsi="Baskerville"/>
        </w:rPr>
      </w:pPr>
      <w:r w:rsidRPr="00BF46E6">
        <w:rPr>
          <w:rFonts w:ascii="Baskerville" w:hAnsi="Baskerville"/>
        </w:rPr>
        <w:t>Chigara</w:t>
      </w:r>
      <w:r>
        <w:rPr>
          <w:rFonts w:ascii="Baskerville" w:hAnsi="Baskerville"/>
        </w:rPr>
        <w:t xml:space="preserve"> B</w:t>
      </w:r>
      <w:r w:rsidRPr="00BF46E6">
        <w:rPr>
          <w:rFonts w:ascii="Baskerville" w:hAnsi="Baskerville"/>
        </w:rPr>
        <w:t xml:space="preserve">, </w:t>
      </w:r>
      <w:r w:rsidRPr="003425EA">
        <w:rPr>
          <w:rFonts w:ascii="Baskerville" w:hAnsi="Baskerville"/>
          <w:i/>
          <w:iCs/>
        </w:rPr>
        <w:t>Legitimacy Deficit in Custom: A Deconstructionist Critique</w:t>
      </w:r>
      <w:r w:rsidRPr="00BF46E6">
        <w:rPr>
          <w:rFonts w:ascii="Baskerville" w:hAnsi="Baskerville"/>
          <w:i/>
          <w:iCs/>
        </w:rPr>
        <w:t xml:space="preserve"> </w:t>
      </w:r>
      <w:r>
        <w:rPr>
          <w:rFonts w:ascii="Baskerville" w:hAnsi="Baskerville"/>
        </w:rPr>
        <w:t>(</w:t>
      </w:r>
      <w:r w:rsidRPr="00BF46E6">
        <w:rPr>
          <w:rFonts w:ascii="Baskerville" w:hAnsi="Baskerville"/>
        </w:rPr>
        <w:t>Ashgate Publishing</w:t>
      </w:r>
      <w:r w:rsidRPr="00BF46E6">
        <w:rPr>
          <w:rFonts w:ascii="Baskerville" w:hAnsi="Baskerville"/>
          <w:color w:val="FF0000"/>
        </w:rPr>
        <w:t xml:space="preserve"> </w:t>
      </w:r>
      <w:r w:rsidRPr="00BF46E6">
        <w:rPr>
          <w:rFonts w:ascii="Baskerville" w:hAnsi="Baskerville"/>
        </w:rPr>
        <w:t>2001)</w:t>
      </w:r>
    </w:p>
    <w:p w14:paraId="346D7EB8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67A32D83" w14:textId="3815580B" w:rsidR="0076466F" w:rsidRDefault="0076466F" w:rsidP="0076466F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Delbruck J, Hofmann R and Zimmermann A,</w:t>
      </w:r>
      <w:r w:rsidRPr="008C7A37">
        <w:rPr>
          <w:rFonts w:ascii="Baskerville" w:hAnsi="Baskerville"/>
        </w:rPr>
        <w:t xml:space="preserve"> </w:t>
      </w:r>
      <w:r w:rsidRPr="008C7A37">
        <w:rPr>
          <w:rFonts w:ascii="Baskerville" w:hAnsi="Baskerville"/>
          <w:i/>
          <w:iCs/>
        </w:rPr>
        <w:t>German Yearbook of International Law</w:t>
      </w:r>
      <w:r w:rsidR="00971B39" w:rsidRPr="00971B39">
        <w:rPr>
          <w:rFonts w:ascii="Baskerville" w:hAnsi="Baskerville"/>
          <w:iCs/>
        </w:rPr>
        <w:t>,</w:t>
      </w:r>
      <w:r w:rsidRPr="008C7A37">
        <w:rPr>
          <w:rFonts w:ascii="Baskerville" w:hAnsi="Baskerville"/>
          <w:i/>
          <w:iCs/>
        </w:rPr>
        <w:t xml:space="preserve"> </w:t>
      </w:r>
      <w:r w:rsidR="00971B39">
        <w:rPr>
          <w:rFonts w:ascii="Baskerville" w:hAnsi="Baskerville"/>
          <w:iCs/>
        </w:rPr>
        <w:t>V</w:t>
      </w:r>
      <w:r w:rsidRPr="008C7A37">
        <w:rPr>
          <w:rFonts w:ascii="Baskerville" w:hAnsi="Baskerville"/>
          <w:iCs/>
        </w:rPr>
        <w:t>ol</w:t>
      </w:r>
      <w:r w:rsidR="00971B39">
        <w:rPr>
          <w:rFonts w:ascii="Baskerville" w:hAnsi="Baskerville"/>
          <w:iCs/>
        </w:rPr>
        <w:t>.</w:t>
      </w:r>
      <w:r w:rsidRPr="008C7A37">
        <w:rPr>
          <w:rFonts w:ascii="Baskerville" w:hAnsi="Baskerville"/>
          <w:iCs/>
        </w:rPr>
        <w:t xml:space="preserve"> 31</w:t>
      </w:r>
      <w:r w:rsidR="00971B39">
        <w:rPr>
          <w:rFonts w:ascii="Baskerville" w:hAnsi="Baskerville"/>
          <w:iCs/>
        </w:rPr>
        <w:t xml:space="preserve"> </w:t>
      </w:r>
      <w:r w:rsidRPr="008C7A37">
        <w:rPr>
          <w:rFonts w:ascii="Baskerville" w:hAnsi="Baskerville"/>
        </w:rPr>
        <w:t>(</w:t>
      </w:r>
      <w:r w:rsidR="00971B39">
        <w:rPr>
          <w:rFonts w:ascii="Baskerville" w:hAnsi="Baskerville"/>
        </w:rPr>
        <w:t xml:space="preserve">Duncker &amp; Humblot </w:t>
      </w:r>
      <w:r>
        <w:rPr>
          <w:rFonts w:ascii="Baskerville" w:hAnsi="Baskerville"/>
        </w:rPr>
        <w:t>2013)</w:t>
      </w:r>
    </w:p>
    <w:p w14:paraId="7A15DE2B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33F900D2" w14:textId="77777777" w:rsidR="0076466F" w:rsidRPr="00BF46E6" w:rsidRDefault="0076466F" w:rsidP="0076466F">
      <w:pPr>
        <w:rPr>
          <w:rFonts w:ascii="Baskerville" w:hAnsi="Baskerville"/>
        </w:rPr>
      </w:pPr>
      <w:r w:rsidRPr="00000BD1">
        <w:rPr>
          <w:rFonts w:ascii="Baskerville" w:hAnsi="Baskerville"/>
        </w:rPr>
        <w:t xml:space="preserve">Fitzmaurice M and Quast A, </w:t>
      </w:r>
      <w:r w:rsidRPr="003425EA">
        <w:rPr>
          <w:rFonts w:ascii="Baskerville" w:hAnsi="Baskerville"/>
          <w:i/>
        </w:rPr>
        <w:t>Law of Treaties Section A: Introduction to the Law of Treaties</w:t>
      </w:r>
      <w:r w:rsidRPr="00000BD1">
        <w:rPr>
          <w:rFonts w:ascii="Baskerville" w:hAnsi="Baskerville"/>
        </w:rPr>
        <w:t xml:space="preserve"> (University of London Press 2007)</w:t>
      </w:r>
      <w:r w:rsidRPr="00BF46E6">
        <w:rPr>
          <w:rFonts w:ascii="Baskerville" w:hAnsi="Baskerville"/>
        </w:rPr>
        <w:t xml:space="preserve">  </w:t>
      </w:r>
    </w:p>
    <w:p w14:paraId="72A15306" w14:textId="77777777" w:rsidR="0076466F" w:rsidRPr="00BF46E6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31FB0C1C" w14:textId="319371F8" w:rsidR="0076466F" w:rsidRDefault="0076466F" w:rsidP="0076466F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>Jenks</w:t>
      </w:r>
      <w:r w:rsidR="006025FA">
        <w:rPr>
          <w:rFonts w:ascii="Baskerville" w:hAnsi="Baskerville"/>
          <w:lang w:val="en-US"/>
        </w:rPr>
        <w:t xml:space="preserve"> C</w:t>
      </w:r>
      <w:r w:rsidR="00971B39">
        <w:rPr>
          <w:rFonts w:ascii="Baskerville" w:hAnsi="Baskerville"/>
          <w:lang w:val="en-US"/>
        </w:rPr>
        <w:t>.</w:t>
      </w:r>
      <w:r w:rsidR="006025FA">
        <w:rPr>
          <w:rFonts w:ascii="Baskerville" w:hAnsi="Baskerville"/>
          <w:lang w:val="en-US"/>
        </w:rPr>
        <w:t>W</w:t>
      </w:r>
      <w:r w:rsidR="00971B39">
        <w:rPr>
          <w:rFonts w:ascii="Baskerville" w:hAnsi="Baskerville"/>
          <w:lang w:val="en-US"/>
        </w:rPr>
        <w:t>.</w:t>
      </w:r>
      <w:r>
        <w:rPr>
          <w:rFonts w:ascii="Baskerville" w:hAnsi="Baskerville"/>
          <w:lang w:val="en-US"/>
        </w:rPr>
        <w:t xml:space="preserve">, </w:t>
      </w:r>
      <w:r w:rsidRPr="00977D67">
        <w:rPr>
          <w:rFonts w:ascii="Baskerville" w:hAnsi="Baskerville"/>
          <w:i/>
          <w:lang w:val="en-US"/>
        </w:rPr>
        <w:t>The prospects of international abjudication</w:t>
      </w:r>
      <w:r>
        <w:rPr>
          <w:rFonts w:ascii="Baskerville" w:hAnsi="Baskerville"/>
          <w:lang w:val="en-US"/>
        </w:rPr>
        <w:t xml:space="preserve"> (Oceana Publications</w:t>
      </w:r>
    </w:p>
    <w:p w14:paraId="070C5CA0" w14:textId="77777777" w:rsidR="0076466F" w:rsidRDefault="0076466F" w:rsidP="0076466F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>1964)</w:t>
      </w:r>
    </w:p>
    <w:p w14:paraId="004A206C" w14:textId="77777777" w:rsidR="0076466F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36CA8ED9" w14:textId="1FDC9168" w:rsidR="0076466F" w:rsidRPr="003F48B0" w:rsidRDefault="0076466F" w:rsidP="0076466F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</w:rPr>
        <w:t>Jennings R</w:t>
      </w:r>
      <w:r w:rsidR="00971B39">
        <w:rPr>
          <w:rFonts w:ascii="Baskerville" w:hAnsi="Baskerville"/>
        </w:rPr>
        <w:t>.</w:t>
      </w:r>
      <w:r>
        <w:rPr>
          <w:rFonts w:ascii="Baskerville" w:hAnsi="Baskerville"/>
        </w:rPr>
        <w:t>Y</w:t>
      </w:r>
      <w:r w:rsidR="00971B39">
        <w:rPr>
          <w:rFonts w:ascii="Baskerville" w:hAnsi="Baskerville"/>
        </w:rPr>
        <w:t>.</w:t>
      </w:r>
      <w:r>
        <w:rPr>
          <w:rFonts w:ascii="Baskerville" w:hAnsi="Baskerville"/>
        </w:rPr>
        <w:t xml:space="preserve"> and Watts A (eds.),</w:t>
      </w:r>
      <w:r w:rsidRPr="003F48B0">
        <w:rPr>
          <w:rFonts w:ascii="Baskerville" w:hAnsi="Baskerville"/>
        </w:rPr>
        <w:t xml:space="preserve"> </w:t>
      </w:r>
      <w:r w:rsidRPr="003F48B0">
        <w:rPr>
          <w:rFonts w:ascii="Baskerville" w:hAnsi="Baskerville"/>
          <w:i/>
          <w:iCs/>
        </w:rPr>
        <w:t xml:space="preserve">Oppenheim’s International Law </w:t>
      </w:r>
      <w:r w:rsidR="003425EA">
        <w:rPr>
          <w:rFonts w:ascii="Baskerville" w:hAnsi="Baskerville"/>
        </w:rPr>
        <w:t>1</w:t>
      </w:r>
      <w:r>
        <w:rPr>
          <w:rFonts w:ascii="Baskerville" w:hAnsi="Baskerville"/>
        </w:rPr>
        <w:t xml:space="preserve"> (9th ed</w:t>
      </w:r>
      <w:r w:rsidR="00971B39">
        <w:rPr>
          <w:rFonts w:ascii="Baskerville" w:hAnsi="Baskerville"/>
        </w:rPr>
        <w:t>.</w:t>
      </w:r>
      <w:r w:rsidRPr="003F48B0">
        <w:rPr>
          <w:rFonts w:ascii="Baskerville" w:hAnsi="Baskerville"/>
        </w:rPr>
        <w:t xml:space="preserve"> Longman Harlow</w:t>
      </w:r>
      <w:r w:rsidRPr="003F48B0">
        <w:rPr>
          <w:rFonts w:ascii="Baskerville" w:hAnsi="Baskerville"/>
          <w:color w:val="FF0000"/>
        </w:rPr>
        <w:t xml:space="preserve"> </w:t>
      </w:r>
      <w:r>
        <w:rPr>
          <w:rFonts w:ascii="Baskerville" w:hAnsi="Baskerville"/>
        </w:rPr>
        <w:t>1992)</w:t>
      </w:r>
    </w:p>
    <w:p w14:paraId="13D6FCD8" w14:textId="77777777" w:rsidR="0076466F" w:rsidRPr="003F48B0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39AE9C72" w14:textId="77777777" w:rsidR="0076466F" w:rsidRPr="00D83F1F" w:rsidRDefault="0076466F" w:rsidP="0076466F">
      <w:pPr>
        <w:pStyle w:val="FootnoteText"/>
        <w:rPr>
          <w:rFonts w:ascii="Baskerville" w:hAnsi="Baskerville"/>
          <w:lang w:val="en-US"/>
        </w:rPr>
      </w:pPr>
      <w:r w:rsidRPr="00D83F1F">
        <w:rPr>
          <w:rFonts w:ascii="Baskerville" w:hAnsi="Baskerville"/>
        </w:rPr>
        <w:t>Kolb</w:t>
      </w:r>
      <w:r>
        <w:rPr>
          <w:rFonts w:ascii="Baskerville" w:hAnsi="Baskerville"/>
        </w:rPr>
        <w:t xml:space="preserve"> R</w:t>
      </w:r>
      <w:r w:rsidRPr="00D83F1F">
        <w:rPr>
          <w:rFonts w:ascii="Baskerville" w:hAnsi="Baskerville"/>
        </w:rPr>
        <w:t xml:space="preserve">, </w:t>
      </w:r>
      <w:r w:rsidRPr="00D83F1F">
        <w:rPr>
          <w:rFonts w:ascii="Baskerville" w:hAnsi="Baskerville"/>
          <w:i/>
        </w:rPr>
        <w:t xml:space="preserve">The International Court of Justice </w:t>
      </w:r>
      <w:r w:rsidRPr="00D83F1F">
        <w:rPr>
          <w:rFonts w:ascii="Baskerville" w:hAnsi="Baskerville"/>
        </w:rPr>
        <w:t>(Ha</w:t>
      </w:r>
      <w:r>
        <w:rPr>
          <w:rFonts w:ascii="Baskerville" w:hAnsi="Baskerville"/>
        </w:rPr>
        <w:t>rt Publishing 2013)</w:t>
      </w:r>
    </w:p>
    <w:p w14:paraId="7AB4A12B" w14:textId="77777777" w:rsidR="0076466F" w:rsidRPr="00D83F1F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7E97F411" w14:textId="4F598F40" w:rsidR="0076466F" w:rsidRDefault="0076466F" w:rsidP="0076466F">
      <w:pPr>
        <w:pStyle w:val="FootnoteText"/>
        <w:rPr>
          <w:rFonts w:ascii="Baskerville" w:hAnsi="Baskerville"/>
          <w:lang w:val="en-US"/>
        </w:rPr>
      </w:pPr>
      <w:r w:rsidRPr="00CD1F50">
        <w:rPr>
          <w:rFonts w:ascii="Baskerville" w:hAnsi="Baskerville"/>
          <w:lang w:val="en-US"/>
        </w:rPr>
        <w:t>Mendelson</w:t>
      </w:r>
      <w:r>
        <w:rPr>
          <w:rFonts w:ascii="Baskerville" w:hAnsi="Baskerville"/>
          <w:lang w:val="en-US"/>
        </w:rPr>
        <w:t xml:space="preserve"> M</w:t>
      </w:r>
      <w:r w:rsidRPr="00CD1F50">
        <w:rPr>
          <w:rFonts w:ascii="Baskerville" w:hAnsi="Baskerville"/>
          <w:lang w:val="en-US"/>
        </w:rPr>
        <w:t xml:space="preserve">, </w:t>
      </w:r>
      <w:r w:rsidRPr="003425EA">
        <w:rPr>
          <w:rFonts w:ascii="Baskerville" w:hAnsi="Baskerville"/>
          <w:i/>
          <w:lang w:val="en-US"/>
        </w:rPr>
        <w:t>The International Court of Justice and the Sources of International Law</w:t>
      </w:r>
      <w:r>
        <w:rPr>
          <w:rFonts w:ascii="Baskerville" w:hAnsi="Baskerville"/>
          <w:lang w:val="en-US"/>
        </w:rPr>
        <w:t xml:space="preserve"> in </w:t>
      </w:r>
      <w:r w:rsidRPr="00CD1F50">
        <w:rPr>
          <w:rFonts w:ascii="Baskerville" w:hAnsi="Baskerville"/>
          <w:lang w:val="en-US"/>
        </w:rPr>
        <w:t>Vaughan L</w:t>
      </w:r>
      <w:r>
        <w:rPr>
          <w:rFonts w:ascii="Baskerville" w:hAnsi="Baskerville"/>
          <w:lang w:val="en-US"/>
        </w:rPr>
        <w:t xml:space="preserve">owe and Malgosia Fitzmaurice (eds), </w:t>
      </w:r>
      <w:r w:rsidRPr="002D5DF0">
        <w:rPr>
          <w:rFonts w:ascii="Baskerville" w:hAnsi="Baskerville"/>
          <w:i/>
          <w:lang w:val="en-US"/>
        </w:rPr>
        <w:t>Fifty years of the International Court of Justice</w:t>
      </w:r>
      <w:r>
        <w:rPr>
          <w:rFonts w:ascii="Baskerville" w:hAnsi="Baskerville"/>
          <w:i/>
          <w:lang w:val="en-US"/>
        </w:rPr>
        <w:t xml:space="preserve"> </w:t>
      </w:r>
      <w:r w:rsidRPr="002D5DF0">
        <w:rPr>
          <w:rFonts w:ascii="Baskerville" w:hAnsi="Baskerville"/>
          <w:lang w:val="en-US"/>
        </w:rPr>
        <w:t>(CUP 1996)</w:t>
      </w:r>
    </w:p>
    <w:p w14:paraId="267B1D59" w14:textId="77777777" w:rsidR="0076466F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5C21ABD5" w14:textId="06B7D8EE" w:rsidR="0076466F" w:rsidRPr="00CD1F50" w:rsidRDefault="0076466F" w:rsidP="0076466F">
      <w:pPr>
        <w:pStyle w:val="FootnoteText"/>
        <w:rPr>
          <w:rFonts w:ascii="Baskerville" w:hAnsi="Baskerville"/>
          <w:i/>
          <w:lang w:val="en-US"/>
        </w:rPr>
      </w:pPr>
      <w:r w:rsidRPr="00977D67">
        <w:rPr>
          <w:rFonts w:ascii="Baskerville" w:hAnsi="Baskerville"/>
        </w:rPr>
        <w:t>Ross</w:t>
      </w:r>
      <w:r>
        <w:rPr>
          <w:rFonts w:ascii="Baskerville" w:hAnsi="Baskerville"/>
        </w:rPr>
        <w:t xml:space="preserve"> A</w:t>
      </w:r>
      <w:r w:rsidRPr="00977D67">
        <w:rPr>
          <w:rFonts w:ascii="Baskerville" w:hAnsi="Baskerville"/>
        </w:rPr>
        <w:t xml:space="preserve">, </w:t>
      </w:r>
      <w:r w:rsidRPr="00977D67">
        <w:rPr>
          <w:rFonts w:ascii="Baskerville" w:hAnsi="Baskerville"/>
          <w:i/>
          <w:iCs/>
        </w:rPr>
        <w:t xml:space="preserve">A Textbook of International Law </w:t>
      </w:r>
      <w:r w:rsidRPr="00977D67">
        <w:rPr>
          <w:rFonts w:ascii="Baskerville" w:hAnsi="Baskerville"/>
        </w:rPr>
        <w:t>(</w:t>
      </w:r>
      <w:r w:rsidRPr="00977D67">
        <w:rPr>
          <w:rFonts w:ascii="Baskerville" w:hAnsi="Baskerville"/>
          <w:lang w:val="en-US"/>
        </w:rPr>
        <w:t xml:space="preserve">Longmans, Green </w:t>
      </w:r>
      <w:r w:rsidRPr="00977D67">
        <w:rPr>
          <w:rFonts w:ascii="Baskerville" w:hAnsi="Baskerville"/>
        </w:rPr>
        <w:t>1947</w:t>
      </w:r>
      <w:r w:rsidRPr="00AB53E4">
        <w:rPr>
          <w:rFonts w:ascii="Baskerville" w:hAnsi="Baskerville"/>
          <w:sz w:val="20"/>
          <w:szCs w:val="20"/>
        </w:rPr>
        <w:t>)</w:t>
      </w:r>
    </w:p>
    <w:p w14:paraId="12C9F5AE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68E2CBE1" w14:textId="53525B9E" w:rsidR="0076466F" w:rsidRPr="00265399" w:rsidRDefault="0076466F" w:rsidP="0076466F">
      <w:pPr>
        <w:pStyle w:val="FootnoteText"/>
        <w:rPr>
          <w:rFonts w:ascii="Baskerville" w:hAnsi="Baskerville"/>
          <w:i/>
        </w:rPr>
      </w:pPr>
      <w:r w:rsidRPr="00000BD1">
        <w:rPr>
          <w:rFonts w:ascii="Baskerville" w:hAnsi="Baskerville"/>
        </w:rPr>
        <w:t>Schermers H</w:t>
      </w:r>
      <w:r w:rsidR="00971B39"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G</w:t>
      </w:r>
      <w:r w:rsidR="00971B39">
        <w:rPr>
          <w:rFonts w:ascii="Baskerville" w:hAnsi="Baskerville"/>
        </w:rPr>
        <w:t>.</w:t>
      </w:r>
      <w:r w:rsidRPr="00000BD1">
        <w:rPr>
          <w:rFonts w:ascii="Baskerville" w:hAnsi="Baskerville"/>
        </w:rPr>
        <w:t xml:space="preserve"> and Blokker N</w:t>
      </w:r>
      <w:r w:rsidR="00971B39"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M</w:t>
      </w:r>
      <w:r w:rsidR="00971B39">
        <w:rPr>
          <w:rFonts w:ascii="Baskerville" w:hAnsi="Baskerville"/>
        </w:rPr>
        <w:t>.</w:t>
      </w:r>
      <w:r w:rsidRPr="00000BD1">
        <w:rPr>
          <w:rFonts w:ascii="Baskerville" w:hAnsi="Baskerville"/>
        </w:rPr>
        <w:t xml:space="preserve">, </w:t>
      </w:r>
      <w:r w:rsidRPr="00000BD1">
        <w:rPr>
          <w:rFonts w:ascii="Baskerville" w:hAnsi="Baskerville"/>
          <w:i/>
        </w:rPr>
        <w:t>International Institutional Law: unity within diversity</w:t>
      </w:r>
      <w:r w:rsidRPr="00000BD1">
        <w:rPr>
          <w:rFonts w:ascii="Baskerville" w:hAnsi="Baskerville"/>
        </w:rPr>
        <w:t xml:space="preserve"> (5th rev. edn, Leiden: Martinus Nijhoff Publishers 2011)</w:t>
      </w:r>
    </w:p>
    <w:p w14:paraId="5FB4755E" w14:textId="77777777" w:rsidR="0076466F" w:rsidRPr="00265399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29076FF1" w14:textId="0328FDB9" w:rsidR="0076466F" w:rsidRPr="00CD1F50" w:rsidRDefault="0076466F" w:rsidP="0076466F">
      <w:pPr>
        <w:rPr>
          <w:rFonts w:ascii="Baskerville" w:hAnsi="Baskerville"/>
          <w:lang w:val="en-US"/>
        </w:rPr>
      </w:pPr>
      <w:r w:rsidRPr="00CD1F50">
        <w:rPr>
          <w:rFonts w:ascii="Baskerville" w:hAnsi="Baskerville"/>
        </w:rPr>
        <w:t>Shaw</w:t>
      </w:r>
      <w:r>
        <w:rPr>
          <w:rFonts w:ascii="Baskerville" w:hAnsi="Baskerville"/>
        </w:rPr>
        <w:t xml:space="preserve"> M</w:t>
      </w:r>
      <w:r w:rsidR="00971B39">
        <w:rPr>
          <w:rFonts w:ascii="Baskerville" w:hAnsi="Baskerville"/>
        </w:rPr>
        <w:t>.</w:t>
      </w:r>
      <w:r>
        <w:rPr>
          <w:rFonts w:ascii="Baskerville" w:hAnsi="Baskerville"/>
        </w:rPr>
        <w:t>N</w:t>
      </w:r>
      <w:r w:rsidR="00971B39">
        <w:rPr>
          <w:rFonts w:ascii="Baskerville" w:hAnsi="Baskerville"/>
        </w:rPr>
        <w:t>.</w:t>
      </w:r>
      <w:r w:rsidRPr="00CD1F50">
        <w:rPr>
          <w:rFonts w:ascii="Baskerville" w:hAnsi="Baskerville"/>
        </w:rPr>
        <w:t xml:space="preserve"> QC, </w:t>
      </w:r>
      <w:r w:rsidRPr="00CD1F50">
        <w:rPr>
          <w:rFonts w:ascii="Baskerville" w:hAnsi="Baskerville"/>
          <w:i/>
          <w:lang w:val="en-US"/>
        </w:rPr>
        <w:t>International Law</w:t>
      </w:r>
      <w:r w:rsidRPr="00CD1F50">
        <w:rPr>
          <w:rFonts w:ascii="Baskerville" w:hAnsi="Baskerville"/>
          <w:lang w:val="en-US"/>
        </w:rPr>
        <w:t xml:space="preserve"> (</w:t>
      </w:r>
      <w:r>
        <w:rPr>
          <w:rFonts w:ascii="Baskerville" w:hAnsi="Baskerville"/>
          <w:lang w:val="en-US"/>
        </w:rPr>
        <w:t>4</w:t>
      </w:r>
      <w:r w:rsidRPr="00CD1F50">
        <w:rPr>
          <w:rFonts w:ascii="Baskerville" w:hAnsi="Baskerville"/>
          <w:lang w:val="en-US"/>
        </w:rPr>
        <w:t>th edn, CUP 1997)</w:t>
      </w:r>
    </w:p>
    <w:p w14:paraId="1D5E2D65" w14:textId="77777777" w:rsidR="0076466F" w:rsidRDefault="0076466F" w:rsidP="0076466F">
      <w:pPr>
        <w:rPr>
          <w:lang w:val="en-US"/>
        </w:rPr>
      </w:pPr>
    </w:p>
    <w:p w14:paraId="4100420D" w14:textId="77777777" w:rsidR="0076466F" w:rsidRDefault="0076466F" w:rsidP="0076466F">
      <w:pPr>
        <w:rPr>
          <w:rFonts w:ascii="Baskerville" w:hAnsi="Baskerville"/>
          <w:iCs/>
          <w:lang w:val="en-US"/>
        </w:rPr>
      </w:pPr>
      <w:r>
        <w:rPr>
          <w:rFonts w:ascii="Baskerville" w:hAnsi="Baskerville"/>
          <w:lang w:val="en-US"/>
        </w:rPr>
        <w:t>Thompson B</w:t>
      </w:r>
      <w:r w:rsidRPr="00D83F1F">
        <w:rPr>
          <w:rFonts w:ascii="Baskerville" w:hAnsi="Baskerville"/>
          <w:lang w:val="en-US"/>
        </w:rPr>
        <w:t xml:space="preserve">, </w:t>
      </w:r>
      <w:r w:rsidRPr="00D83F1F">
        <w:rPr>
          <w:rFonts w:ascii="Baskerville" w:hAnsi="Baskerville"/>
          <w:i/>
          <w:iCs/>
          <w:lang w:val="en-US"/>
        </w:rPr>
        <w:t xml:space="preserve">Universal Jurisdiction: The Sierra Leone Profile </w:t>
      </w:r>
      <w:r>
        <w:rPr>
          <w:rFonts w:ascii="Baskerville" w:hAnsi="Baskerville"/>
          <w:iCs/>
          <w:lang w:val="en-US"/>
        </w:rPr>
        <w:t>(</w:t>
      </w:r>
      <w:r w:rsidRPr="00D83F1F">
        <w:rPr>
          <w:rFonts w:ascii="Baskerville" w:hAnsi="Baskerville"/>
          <w:iCs/>
          <w:lang w:val="en-US"/>
        </w:rPr>
        <w:t>Asser Press 2015</w:t>
      </w:r>
      <w:r>
        <w:rPr>
          <w:rFonts w:ascii="Baskerville" w:hAnsi="Baskerville"/>
          <w:iCs/>
          <w:lang w:val="en-US"/>
        </w:rPr>
        <w:t>)</w:t>
      </w:r>
    </w:p>
    <w:p w14:paraId="41F2B5B4" w14:textId="77777777" w:rsidR="0076466F" w:rsidRDefault="0076466F" w:rsidP="0076466F">
      <w:pPr>
        <w:rPr>
          <w:rFonts w:ascii="Baskerville" w:hAnsi="Baskerville"/>
          <w:lang w:val="en-US"/>
        </w:rPr>
      </w:pPr>
    </w:p>
    <w:p w14:paraId="17319116" w14:textId="1F32749A" w:rsidR="0076466F" w:rsidRDefault="0076466F" w:rsidP="0076466F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D739DB">
        <w:rPr>
          <w:rFonts w:ascii="Baskerville" w:hAnsi="Baskerville"/>
          <w:lang w:val="en-US"/>
        </w:rPr>
        <w:t>Van Hoof</w:t>
      </w:r>
      <w:r>
        <w:rPr>
          <w:rFonts w:ascii="Baskerville" w:hAnsi="Baskerville"/>
          <w:lang w:val="en-US"/>
        </w:rPr>
        <w:t xml:space="preserve"> G</w:t>
      </w:r>
      <w:r w:rsidR="00971B39">
        <w:rPr>
          <w:rFonts w:ascii="Baskerville" w:hAnsi="Baskerville"/>
          <w:lang w:val="en-US"/>
        </w:rPr>
        <w:t>.</w:t>
      </w:r>
      <w:r>
        <w:rPr>
          <w:rFonts w:ascii="Baskerville" w:hAnsi="Baskerville"/>
          <w:lang w:val="en-US"/>
        </w:rPr>
        <w:t>J</w:t>
      </w:r>
      <w:r w:rsidR="00971B39">
        <w:rPr>
          <w:rFonts w:ascii="Baskerville" w:hAnsi="Baskerville"/>
          <w:lang w:val="en-US"/>
        </w:rPr>
        <w:t>.</w:t>
      </w:r>
      <w:r>
        <w:rPr>
          <w:rFonts w:ascii="Baskerville" w:hAnsi="Baskerville"/>
          <w:lang w:val="en-US"/>
        </w:rPr>
        <w:t>H</w:t>
      </w:r>
      <w:r w:rsidR="00971B39">
        <w:rPr>
          <w:rFonts w:ascii="Baskerville" w:hAnsi="Baskerville"/>
          <w:lang w:val="en-US"/>
        </w:rPr>
        <w:t>.</w:t>
      </w:r>
      <w:r w:rsidRPr="00D739DB">
        <w:rPr>
          <w:rFonts w:ascii="Baskerville" w:hAnsi="Baskerville"/>
          <w:lang w:val="en-US"/>
        </w:rPr>
        <w:t xml:space="preserve">, </w:t>
      </w:r>
      <w:r w:rsidRPr="00D739DB">
        <w:rPr>
          <w:rFonts w:ascii="Baskerville" w:hAnsi="Baskerville"/>
          <w:i/>
          <w:iCs/>
          <w:lang w:val="en-US"/>
        </w:rPr>
        <w:t xml:space="preserve">Rethinking the Sources of International Law </w:t>
      </w:r>
      <w:r w:rsidRPr="00D739DB">
        <w:rPr>
          <w:rFonts w:ascii="Baskerville" w:hAnsi="Baskerville"/>
          <w:lang w:val="en-US"/>
        </w:rPr>
        <w:t>(</w:t>
      </w:r>
      <w:r w:rsidRPr="00D739DB">
        <w:rPr>
          <w:rFonts w:ascii="Baskerville" w:hAnsi="Baskerville"/>
          <w:bCs/>
          <w:lang w:val="en-US"/>
        </w:rPr>
        <w:t>Kluwer Law and Taxation Publishers</w:t>
      </w:r>
      <w:r w:rsidRPr="00D739DB">
        <w:rPr>
          <w:rFonts w:ascii="Baskerville" w:hAnsi="Baskerville"/>
          <w:lang w:val="en-US"/>
        </w:rPr>
        <w:t xml:space="preserve"> 1983</w:t>
      </w:r>
      <w:r>
        <w:rPr>
          <w:rFonts w:ascii="Baskerville" w:hAnsi="Baskerville"/>
          <w:lang w:val="en-US"/>
        </w:rPr>
        <w:t>)</w:t>
      </w:r>
      <w:r w:rsidRPr="001C44EC">
        <w:rPr>
          <w:rFonts w:ascii="Baskerville" w:hAnsi="Baskerville"/>
          <w:sz w:val="20"/>
          <w:szCs w:val="20"/>
          <w:lang w:val="en-US"/>
        </w:rPr>
        <w:t> </w:t>
      </w:r>
    </w:p>
    <w:p w14:paraId="6397B289" w14:textId="77777777" w:rsidR="0076466F" w:rsidRDefault="0076466F" w:rsidP="0076466F">
      <w:pPr>
        <w:pStyle w:val="FootnoteText"/>
        <w:rPr>
          <w:rFonts w:ascii="Baskerville" w:hAnsi="Baskerville"/>
          <w:sz w:val="20"/>
          <w:szCs w:val="20"/>
          <w:lang w:val="en-US"/>
        </w:rPr>
      </w:pPr>
    </w:p>
    <w:p w14:paraId="4DA91ECA" w14:textId="77777777" w:rsidR="0076466F" w:rsidRPr="00265399" w:rsidRDefault="0076466F" w:rsidP="0076466F">
      <w:pPr>
        <w:pStyle w:val="FootnoteText"/>
        <w:rPr>
          <w:rFonts w:ascii="Baskerville" w:hAnsi="Baskerville"/>
          <w:lang w:val="en-US"/>
        </w:rPr>
      </w:pPr>
      <w:r w:rsidRPr="00000BD1">
        <w:rPr>
          <w:rFonts w:ascii="Baskerville" w:hAnsi="Baskerville"/>
        </w:rPr>
        <w:t xml:space="preserve">Verdross A and Simma B, </w:t>
      </w:r>
      <w:r w:rsidRPr="00000BD1">
        <w:rPr>
          <w:rFonts w:ascii="Baskerville" w:hAnsi="Baskerville"/>
          <w:i/>
          <w:iCs/>
        </w:rPr>
        <w:t xml:space="preserve">Universelles Völkerrecht </w:t>
      </w:r>
      <w:r w:rsidRPr="00000BD1">
        <w:rPr>
          <w:rFonts w:ascii="Baskerville" w:hAnsi="Baskerville"/>
        </w:rPr>
        <w:t>(3rd edn, 1984)</w:t>
      </w:r>
    </w:p>
    <w:p w14:paraId="6C0F103C" w14:textId="77777777" w:rsidR="0076466F" w:rsidRDefault="0076466F" w:rsidP="0076466F">
      <w:pPr>
        <w:rPr>
          <w:rFonts w:ascii="Baskerville" w:hAnsi="Baskerville"/>
          <w:lang w:val="en-US"/>
        </w:rPr>
      </w:pPr>
    </w:p>
    <w:p w14:paraId="08C85E41" w14:textId="4A016D66" w:rsidR="002C45C0" w:rsidRPr="003425EA" w:rsidRDefault="00971B39" w:rsidP="0076466F">
      <w:pPr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 xml:space="preserve">Verzijl </w:t>
      </w:r>
      <w:r w:rsidR="002C45C0">
        <w:rPr>
          <w:rFonts w:ascii="Baskerville" w:hAnsi="Baskerville"/>
          <w:lang w:val="en-US"/>
        </w:rPr>
        <w:t>J</w:t>
      </w:r>
      <w:r>
        <w:rPr>
          <w:rFonts w:ascii="Baskerville" w:hAnsi="Baskerville"/>
          <w:lang w:val="en-US"/>
        </w:rPr>
        <w:t>.</w:t>
      </w:r>
      <w:r w:rsidR="002C45C0">
        <w:rPr>
          <w:rFonts w:ascii="Baskerville" w:hAnsi="Baskerville"/>
          <w:lang w:val="en-US"/>
        </w:rPr>
        <w:t>H</w:t>
      </w:r>
      <w:r>
        <w:rPr>
          <w:rFonts w:ascii="Baskerville" w:hAnsi="Baskerville"/>
          <w:lang w:val="en-US"/>
        </w:rPr>
        <w:t>.</w:t>
      </w:r>
      <w:r w:rsidR="002C45C0">
        <w:rPr>
          <w:rFonts w:ascii="Baskerville" w:hAnsi="Baskerville"/>
          <w:lang w:val="en-US"/>
        </w:rPr>
        <w:t>W</w:t>
      </w:r>
      <w:r>
        <w:rPr>
          <w:rFonts w:ascii="Baskerville" w:hAnsi="Baskerville"/>
          <w:lang w:val="en-US"/>
        </w:rPr>
        <w:t>.</w:t>
      </w:r>
      <w:r w:rsidR="002C45C0">
        <w:rPr>
          <w:rFonts w:ascii="Baskerville" w:hAnsi="Baskerville"/>
          <w:lang w:val="en-US"/>
        </w:rPr>
        <w:t xml:space="preserve">, </w:t>
      </w:r>
      <w:r w:rsidR="002C45C0" w:rsidRPr="003425EA">
        <w:rPr>
          <w:rFonts w:ascii="Baskerville" w:hAnsi="Baskerville"/>
          <w:i/>
          <w:lang w:val="en-US"/>
        </w:rPr>
        <w:t>Symbolae Verzijl: presentees au prof JHW Verzijl a l’occasion de son LXX-ieme anniversaire</w:t>
      </w:r>
      <w:r w:rsidR="003425EA">
        <w:rPr>
          <w:rFonts w:ascii="Baskerville" w:hAnsi="Baskerville"/>
          <w:i/>
          <w:lang w:val="en-US"/>
        </w:rPr>
        <w:t xml:space="preserve"> </w:t>
      </w:r>
      <w:r w:rsidR="003425EA">
        <w:rPr>
          <w:rFonts w:ascii="Baskerville" w:hAnsi="Baskerville"/>
          <w:lang w:val="en-US"/>
        </w:rPr>
        <w:t>(Nijhoff 1958)</w:t>
      </w:r>
    </w:p>
    <w:p w14:paraId="17084D2F" w14:textId="77777777" w:rsidR="002C45C0" w:rsidRPr="00D83F1F" w:rsidRDefault="002C45C0" w:rsidP="0076466F">
      <w:pPr>
        <w:rPr>
          <w:rFonts w:ascii="Baskerville" w:hAnsi="Baskerville"/>
          <w:lang w:val="en-US"/>
        </w:rPr>
      </w:pPr>
    </w:p>
    <w:p w14:paraId="18EEBA5F" w14:textId="1BEFC7C4" w:rsidR="0076466F" w:rsidRDefault="0076466F" w:rsidP="0076466F">
      <w:pPr>
        <w:rPr>
          <w:rFonts w:ascii="Baskerville" w:hAnsi="Baskerville"/>
          <w:lang w:val="en-US"/>
        </w:rPr>
      </w:pPr>
      <w:r w:rsidRPr="00CD1F50">
        <w:rPr>
          <w:rFonts w:ascii="Baskerville" w:hAnsi="Baskerville"/>
          <w:lang w:val="en-US"/>
        </w:rPr>
        <w:t>De Visscher</w:t>
      </w:r>
      <w:r>
        <w:rPr>
          <w:rFonts w:ascii="Baskerville" w:hAnsi="Baskerville"/>
          <w:lang w:val="en-US"/>
        </w:rPr>
        <w:t xml:space="preserve"> C</w:t>
      </w:r>
      <w:r w:rsidRPr="00CD1F50">
        <w:rPr>
          <w:rFonts w:ascii="Baskerville" w:hAnsi="Baskerville"/>
          <w:lang w:val="en-US"/>
        </w:rPr>
        <w:t xml:space="preserve">, </w:t>
      </w:r>
      <w:r w:rsidRPr="00CD1F50">
        <w:rPr>
          <w:rFonts w:ascii="Baskerville" w:hAnsi="Baskerville"/>
          <w:i/>
          <w:iCs/>
          <w:lang w:val="en-US"/>
        </w:rPr>
        <w:t>De l’equite dans le reglement arbitral ou judicaire des litiges de droit international public</w:t>
      </w:r>
      <w:r>
        <w:rPr>
          <w:rFonts w:ascii="Baskerville" w:hAnsi="Baskerville"/>
          <w:i/>
          <w:iCs/>
          <w:lang w:val="en-US"/>
        </w:rPr>
        <w:t xml:space="preserve"> </w:t>
      </w:r>
      <w:r>
        <w:rPr>
          <w:rFonts w:ascii="Baskerville" w:hAnsi="Baskerville"/>
          <w:iCs/>
          <w:lang w:val="en-US"/>
        </w:rPr>
        <w:t xml:space="preserve">(Pedone </w:t>
      </w:r>
      <w:r w:rsidRPr="00CD1F50">
        <w:rPr>
          <w:rFonts w:ascii="Baskerville" w:hAnsi="Baskerville"/>
          <w:lang w:val="en-US"/>
        </w:rPr>
        <w:t>1972</w:t>
      </w:r>
      <w:r>
        <w:rPr>
          <w:rFonts w:ascii="Baskerville" w:hAnsi="Baskerville"/>
          <w:lang w:val="en-US"/>
        </w:rPr>
        <w:t>)</w:t>
      </w:r>
    </w:p>
    <w:p w14:paraId="197089A2" w14:textId="77777777" w:rsidR="0076466F" w:rsidRDefault="0076466F" w:rsidP="0076466F">
      <w:pPr>
        <w:rPr>
          <w:rFonts w:ascii="Baskerville" w:hAnsi="Baskerville"/>
          <w:lang w:val="en-US"/>
        </w:rPr>
      </w:pPr>
    </w:p>
    <w:p w14:paraId="0ADC623A" w14:textId="77777777" w:rsidR="0076466F" w:rsidRPr="00977D67" w:rsidRDefault="0076466F" w:rsidP="0076466F">
      <w:r w:rsidRPr="00977D67">
        <w:rPr>
          <w:rFonts w:ascii="Baskerville" w:hAnsi="Baskerville"/>
        </w:rPr>
        <w:t>Werle</w:t>
      </w:r>
      <w:r>
        <w:rPr>
          <w:rFonts w:ascii="Baskerville" w:hAnsi="Baskerville"/>
        </w:rPr>
        <w:t xml:space="preserve"> G</w:t>
      </w:r>
      <w:r w:rsidRPr="00977D67">
        <w:rPr>
          <w:rFonts w:ascii="Baskerville" w:hAnsi="Baskerville"/>
        </w:rPr>
        <w:t xml:space="preserve">, </w:t>
      </w:r>
      <w:r w:rsidRPr="00977D67">
        <w:rPr>
          <w:rFonts w:ascii="Baskerville" w:hAnsi="Baskerville"/>
          <w:i/>
        </w:rPr>
        <w:t>Principles of International Criminal Law</w:t>
      </w:r>
      <w:r w:rsidRPr="00977D67">
        <w:rPr>
          <w:rFonts w:ascii="Baskerville" w:hAnsi="Baskerville"/>
        </w:rPr>
        <w:t xml:space="preserve"> (2</w:t>
      </w:r>
      <w:r w:rsidRPr="00977D67">
        <w:rPr>
          <w:rFonts w:ascii="Baskerville" w:hAnsi="Baskerville"/>
          <w:vertAlign w:val="superscript"/>
        </w:rPr>
        <w:t>nd</w:t>
      </w:r>
      <w:r>
        <w:rPr>
          <w:rFonts w:ascii="Baskerville" w:hAnsi="Baskerville"/>
        </w:rPr>
        <w:t xml:space="preserve"> edn, </w:t>
      </w:r>
      <w:r w:rsidRPr="00977D67">
        <w:rPr>
          <w:rFonts w:ascii="Baskerville" w:hAnsi="Baskerville"/>
        </w:rPr>
        <w:t>TMC Asser Press 2009</w:t>
      </w:r>
      <w:r>
        <w:rPr>
          <w:rFonts w:ascii="Baskerville" w:hAnsi="Baskerville"/>
        </w:rPr>
        <w:t>)</w:t>
      </w:r>
    </w:p>
    <w:p w14:paraId="43B108E3" w14:textId="77777777" w:rsidR="0076466F" w:rsidRPr="00977D67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79AEC0AE" w14:textId="77777777" w:rsidR="0076466F" w:rsidRDefault="0076466F" w:rsidP="0076466F">
      <w:pPr>
        <w:pStyle w:val="FootnoteText"/>
        <w:rPr>
          <w:rFonts w:ascii="Baskerville" w:hAnsi="Baskerville"/>
          <w:b/>
          <w:lang w:val="en-US"/>
        </w:rPr>
      </w:pPr>
      <w:r w:rsidRPr="00896B75">
        <w:rPr>
          <w:rFonts w:ascii="Baskerville" w:hAnsi="Baskerville"/>
          <w:b/>
          <w:lang w:val="en-US"/>
        </w:rPr>
        <w:t>Articles</w:t>
      </w:r>
    </w:p>
    <w:p w14:paraId="4022D9B5" w14:textId="77777777" w:rsidR="0076466F" w:rsidRDefault="0076466F" w:rsidP="0076466F">
      <w:pPr>
        <w:pStyle w:val="FootnoteText"/>
        <w:rPr>
          <w:rFonts w:ascii="Baskerville" w:hAnsi="Baskerville"/>
          <w:b/>
          <w:lang w:val="en-US"/>
        </w:rPr>
      </w:pPr>
    </w:p>
    <w:p w14:paraId="1406D065" w14:textId="7CA88D64" w:rsidR="0076466F" w:rsidRDefault="0076466F" w:rsidP="0076466F">
      <w:pPr>
        <w:pStyle w:val="FootnoteText"/>
        <w:rPr>
          <w:rFonts w:ascii="Baskerville" w:hAnsi="Baskerville"/>
          <w:iCs/>
          <w:lang w:val="en-US"/>
        </w:rPr>
      </w:pPr>
      <w:r w:rsidRPr="00000BD1">
        <w:rPr>
          <w:rFonts w:ascii="Baskerville" w:hAnsi="Baskerville"/>
        </w:rPr>
        <w:t>Borda A</w:t>
      </w:r>
      <w:r w:rsidR="00971B39"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Z</w:t>
      </w:r>
      <w:r w:rsidR="00971B39">
        <w:rPr>
          <w:rFonts w:ascii="Baskerville" w:hAnsi="Baskerville"/>
        </w:rPr>
        <w:t>.</w:t>
      </w:r>
      <w:r w:rsidRPr="00000BD1">
        <w:rPr>
          <w:rFonts w:ascii="Baskerville" w:hAnsi="Baskerville"/>
        </w:rPr>
        <w:t>, ‘</w:t>
      </w:r>
      <w:r w:rsidRPr="00000BD1">
        <w:rPr>
          <w:rFonts w:ascii="Baskerville" w:hAnsi="Baskerville"/>
          <w:iCs/>
          <w:lang w:val="en-US"/>
        </w:rPr>
        <w:t>A Formal Approach to Article 38(1)(d) of the ICJ Statute from the Perspective of the International Criminal Courts and Tribunals’,</w:t>
      </w:r>
      <w:r w:rsidRPr="00000BD1">
        <w:rPr>
          <w:rFonts w:ascii="Baskerville" w:hAnsi="Baskerville"/>
          <w:i/>
          <w:iCs/>
          <w:lang w:val="en-US"/>
        </w:rPr>
        <w:t xml:space="preserve"> EJIL</w:t>
      </w:r>
      <w:r w:rsidRPr="00000BD1">
        <w:rPr>
          <w:rFonts w:ascii="Baskerville" w:hAnsi="Baskerville"/>
          <w:iCs/>
          <w:lang w:val="en-US"/>
        </w:rPr>
        <w:t xml:space="preserve"> 24</w:t>
      </w:r>
      <w:r w:rsidRPr="00000BD1">
        <w:rPr>
          <w:rFonts w:ascii="Baskerville" w:hAnsi="Baskerville"/>
          <w:i/>
          <w:iCs/>
          <w:lang w:val="en-US"/>
        </w:rPr>
        <w:t xml:space="preserve"> </w:t>
      </w:r>
      <w:r w:rsidRPr="00000BD1">
        <w:rPr>
          <w:rFonts w:ascii="Baskerville" w:hAnsi="Baskerville"/>
          <w:iCs/>
          <w:lang w:val="en-US"/>
        </w:rPr>
        <w:t>(OUP 2013) 650</w:t>
      </w:r>
    </w:p>
    <w:p w14:paraId="64756BC9" w14:textId="77777777" w:rsidR="0076466F" w:rsidRDefault="0076466F" w:rsidP="0076466F">
      <w:pPr>
        <w:pStyle w:val="FootnoteText"/>
        <w:rPr>
          <w:rFonts w:ascii="Baskerville" w:hAnsi="Baskerville"/>
          <w:b/>
          <w:lang w:val="en-US"/>
        </w:rPr>
      </w:pPr>
    </w:p>
    <w:p w14:paraId="0CD662E6" w14:textId="486132FC" w:rsidR="0076466F" w:rsidRPr="00732EF5" w:rsidRDefault="0076466F" w:rsidP="0076466F">
      <w:pPr>
        <w:pStyle w:val="FootnoteText"/>
        <w:rPr>
          <w:rFonts w:ascii="Baskerville" w:hAnsi="Baskerville"/>
        </w:rPr>
      </w:pPr>
      <w:r w:rsidRPr="00000BD1">
        <w:rPr>
          <w:rFonts w:ascii="Baskerville" w:hAnsi="Baskerville"/>
        </w:rPr>
        <w:t xml:space="preserve">Bos M, ‘The Hierarchy among </w:t>
      </w:r>
      <w:r w:rsidR="0000539A">
        <w:rPr>
          <w:rFonts w:ascii="Baskerville" w:hAnsi="Baskerville"/>
        </w:rPr>
        <w:t>the Recognized Manifestations (Sources</w:t>
      </w:r>
      <w:r w:rsidRPr="00000BD1">
        <w:rPr>
          <w:rFonts w:ascii="Baskerville" w:hAnsi="Baskerville"/>
        </w:rPr>
        <w:t xml:space="preserve">) of International Law’, 25 </w:t>
      </w:r>
      <w:r w:rsidRPr="00000BD1">
        <w:rPr>
          <w:rFonts w:ascii="Baskerville" w:hAnsi="Baskerville"/>
          <w:i/>
          <w:iCs/>
        </w:rPr>
        <w:t xml:space="preserve">Netherlands International Law Review </w:t>
      </w:r>
      <w:r w:rsidRPr="00000BD1">
        <w:rPr>
          <w:rFonts w:ascii="Baskerville" w:hAnsi="Baskerville"/>
        </w:rPr>
        <w:t>(1978) 334</w:t>
      </w:r>
    </w:p>
    <w:p w14:paraId="179CDAB0" w14:textId="77777777" w:rsidR="0076466F" w:rsidRDefault="0076466F" w:rsidP="0076466F">
      <w:pPr>
        <w:pStyle w:val="FootnoteText"/>
        <w:rPr>
          <w:rFonts w:ascii="Baskerville" w:hAnsi="Baskerville"/>
          <w:b/>
          <w:lang w:val="en-US"/>
        </w:rPr>
      </w:pPr>
    </w:p>
    <w:p w14:paraId="5DBC5C51" w14:textId="58CF7A4D" w:rsidR="0076466F" w:rsidRDefault="0076466F" w:rsidP="0076466F">
      <w:pPr>
        <w:pStyle w:val="FootnoteText"/>
        <w:rPr>
          <w:rFonts w:ascii="Baskerville" w:hAnsi="Baskerville"/>
          <w:lang w:val="en-US"/>
        </w:rPr>
      </w:pPr>
      <w:r w:rsidRPr="00866EF4">
        <w:rPr>
          <w:rFonts w:ascii="Baskerville" w:hAnsi="Baskerville"/>
          <w:lang w:val="en-US"/>
        </w:rPr>
        <w:t>Brownlie I</w:t>
      </w:r>
      <w:r>
        <w:rPr>
          <w:rFonts w:ascii="Baskerville" w:hAnsi="Baskerville"/>
          <w:lang w:val="en-US"/>
        </w:rPr>
        <w:t xml:space="preserve">, </w:t>
      </w:r>
      <w:r w:rsidRPr="00866EF4">
        <w:rPr>
          <w:rFonts w:ascii="Baskerville" w:hAnsi="Baskerville"/>
          <w:lang w:val="en-US"/>
        </w:rPr>
        <w:t xml:space="preserve">Principles of </w:t>
      </w:r>
      <w:r>
        <w:rPr>
          <w:rFonts w:ascii="Baskerville" w:hAnsi="Baskerville"/>
          <w:lang w:val="en-US"/>
        </w:rPr>
        <w:t>P</w:t>
      </w:r>
      <w:r w:rsidRPr="00866EF4">
        <w:rPr>
          <w:rFonts w:ascii="Baskerville" w:hAnsi="Baskerville"/>
          <w:lang w:val="en-US"/>
        </w:rPr>
        <w:t xml:space="preserve">ublic </w:t>
      </w:r>
      <w:r>
        <w:rPr>
          <w:rFonts w:ascii="Baskerville" w:hAnsi="Baskerville"/>
          <w:lang w:val="en-US"/>
        </w:rPr>
        <w:t>I</w:t>
      </w:r>
      <w:r w:rsidRPr="00866EF4">
        <w:rPr>
          <w:rFonts w:ascii="Baskerville" w:hAnsi="Baskerville"/>
          <w:lang w:val="en-US"/>
        </w:rPr>
        <w:t xml:space="preserve">nternational </w:t>
      </w:r>
      <w:r>
        <w:rPr>
          <w:rFonts w:ascii="Baskerville" w:hAnsi="Baskerville"/>
          <w:lang w:val="en-US"/>
        </w:rPr>
        <w:t>Law (</w:t>
      </w:r>
      <w:r w:rsidRPr="00866EF4">
        <w:rPr>
          <w:rFonts w:ascii="Baskerville" w:hAnsi="Baskerville"/>
          <w:lang w:val="en-US"/>
        </w:rPr>
        <w:t>4</w:t>
      </w:r>
      <w:r>
        <w:rPr>
          <w:rFonts w:ascii="Baskerville" w:hAnsi="Baskerville"/>
          <w:lang w:val="en-US"/>
        </w:rPr>
        <w:t>th edn, Oxford University Press 1990</w:t>
      </w:r>
      <w:r w:rsidR="00971B39">
        <w:rPr>
          <w:rFonts w:ascii="Baskerville" w:hAnsi="Baskerville"/>
          <w:lang w:val="en-US"/>
        </w:rPr>
        <w:t>)</w:t>
      </w:r>
    </w:p>
    <w:p w14:paraId="224B73A6" w14:textId="77777777" w:rsidR="0092088D" w:rsidRDefault="0092088D" w:rsidP="0076466F">
      <w:pPr>
        <w:pStyle w:val="FootnoteText"/>
        <w:rPr>
          <w:rFonts w:ascii="Baskerville" w:hAnsi="Baskerville"/>
          <w:lang w:val="en-US"/>
        </w:rPr>
      </w:pPr>
    </w:p>
    <w:p w14:paraId="43A07382" w14:textId="210C29B5" w:rsidR="0092088D" w:rsidRPr="00BD6271" w:rsidRDefault="00BD6271" w:rsidP="0076466F">
      <w:pPr>
        <w:pStyle w:val="FootnoteText"/>
        <w:rPr>
          <w:rFonts w:ascii="Baskerville" w:hAnsi="Baskerville"/>
          <w:i/>
          <w:lang w:val="en-US"/>
        </w:rPr>
      </w:pPr>
      <w:r>
        <w:rPr>
          <w:rFonts w:ascii="Baskerville" w:hAnsi="Baskerville"/>
          <w:lang w:val="en-US"/>
        </w:rPr>
        <w:t>Danilenko</w:t>
      </w:r>
      <w:r w:rsidR="0092088D">
        <w:rPr>
          <w:rFonts w:ascii="Baskerville" w:hAnsi="Baskerville"/>
          <w:lang w:val="en-US"/>
        </w:rPr>
        <w:t xml:space="preserve"> </w:t>
      </w:r>
      <w:r>
        <w:rPr>
          <w:rFonts w:ascii="Baskerville" w:hAnsi="Baskerville"/>
          <w:lang w:val="en-US"/>
        </w:rPr>
        <w:t>G</w:t>
      </w:r>
      <w:r w:rsidR="00971B39">
        <w:rPr>
          <w:rFonts w:ascii="Baskerville" w:hAnsi="Baskerville"/>
          <w:lang w:val="en-US"/>
        </w:rPr>
        <w:t>.</w:t>
      </w:r>
      <w:r>
        <w:rPr>
          <w:rFonts w:ascii="Baskerville" w:hAnsi="Baskerville"/>
          <w:lang w:val="en-US"/>
        </w:rPr>
        <w:t>M</w:t>
      </w:r>
      <w:r w:rsidR="00971B39">
        <w:rPr>
          <w:rFonts w:ascii="Baskerville" w:hAnsi="Baskerville"/>
          <w:lang w:val="en-US"/>
        </w:rPr>
        <w:t>.</w:t>
      </w:r>
      <w:r>
        <w:rPr>
          <w:rFonts w:ascii="Baskerville" w:hAnsi="Baskerville"/>
          <w:lang w:val="en-US"/>
        </w:rPr>
        <w:t xml:space="preserve">, ‘The Theory of International Customary Law’ [1988] 31 </w:t>
      </w:r>
      <w:r w:rsidRPr="00BD6271">
        <w:rPr>
          <w:rFonts w:ascii="Baskerville" w:hAnsi="Baskerville"/>
          <w:i/>
          <w:lang w:val="en-US"/>
        </w:rPr>
        <w:t xml:space="preserve">German Yearbook of International Law </w:t>
      </w:r>
    </w:p>
    <w:p w14:paraId="771B9544" w14:textId="77777777" w:rsidR="0076466F" w:rsidRDefault="0076466F" w:rsidP="0076466F">
      <w:pPr>
        <w:pStyle w:val="FootnoteText"/>
        <w:rPr>
          <w:rFonts w:ascii="Baskerville" w:hAnsi="Baskerville"/>
          <w:b/>
          <w:lang w:val="en-US"/>
        </w:rPr>
      </w:pPr>
    </w:p>
    <w:p w14:paraId="777E5033" w14:textId="77777777" w:rsidR="0076466F" w:rsidRDefault="0076466F" w:rsidP="0076466F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Fitzmaurice G, ‘Some problems regarding the Formal Sources of International Law’</w:t>
      </w:r>
    </w:p>
    <w:p w14:paraId="43D7B28F" w14:textId="77777777" w:rsidR="0076466F" w:rsidRDefault="0076466F" w:rsidP="0076466F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[1958] Symbolae Verzijl 153</w:t>
      </w:r>
    </w:p>
    <w:p w14:paraId="44E9DF81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5B30439C" w14:textId="27793834" w:rsidR="0076466F" w:rsidRPr="00AC716A" w:rsidRDefault="0076466F" w:rsidP="0076466F">
      <w:pPr>
        <w:pStyle w:val="FootnoteText"/>
        <w:rPr>
          <w:rFonts w:ascii="Baskerville" w:hAnsi="Baskerville"/>
        </w:rPr>
      </w:pPr>
      <w:r w:rsidRPr="00C075C7">
        <w:rPr>
          <w:rFonts w:ascii="Baskerville" w:hAnsi="Baskerville"/>
        </w:rPr>
        <w:t>Goldsmith J</w:t>
      </w:r>
      <w:r w:rsidR="00971B39">
        <w:rPr>
          <w:rFonts w:ascii="Baskerville" w:hAnsi="Baskerville"/>
        </w:rPr>
        <w:t>.</w:t>
      </w:r>
      <w:r w:rsidRPr="00C075C7">
        <w:rPr>
          <w:rFonts w:ascii="Baskerville" w:hAnsi="Baskerville"/>
        </w:rPr>
        <w:t>L</w:t>
      </w:r>
      <w:r w:rsidR="00971B39">
        <w:rPr>
          <w:rFonts w:ascii="Baskerville" w:hAnsi="Baskerville"/>
        </w:rPr>
        <w:t>.</w:t>
      </w:r>
      <w:r w:rsidRPr="00C075C7">
        <w:rPr>
          <w:rFonts w:ascii="Baskerville" w:hAnsi="Baskerville"/>
        </w:rPr>
        <w:t xml:space="preserve"> and Posner E</w:t>
      </w:r>
      <w:r w:rsidR="00971B39">
        <w:rPr>
          <w:rFonts w:ascii="Baskerville" w:hAnsi="Baskerville"/>
        </w:rPr>
        <w:t>.</w:t>
      </w:r>
      <w:r w:rsidRPr="00C075C7">
        <w:rPr>
          <w:rFonts w:ascii="Baskerville" w:hAnsi="Baskerville"/>
        </w:rPr>
        <w:t>A</w:t>
      </w:r>
      <w:r w:rsidR="00971B39">
        <w:rPr>
          <w:rFonts w:ascii="Baskerville" w:hAnsi="Baskerville"/>
        </w:rPr>
        <w:t>.</w:t>
      </w:r>
      <w:r w:rsidRPr="00C075C7">
        <w:rPr>
          <w:rFonts w:ascii="Baskerville" w:hAnsi="Baskerville"/>
        </w:rPr>
        <w:t>, ‘A Theory of Customary International Law</w:t>
      </w:r>
      <w:r w:rsidRPr="00C075C7">
        <w:rPr>
          <w:rFonts w:ascii="Baskerville" w:hAnsi="Baskerville"/>
          <w:i/>
        </w:rPr>
        <w:t>’</w:t>
      </w:r>
      <w:r w:rsidRPr="00C075C7">
        <w:rPr>
          <w:rFonts w:ascii="Baskerville" w:hAnsi="Baskerville"/>
        </w:rPr>
        <w:t xml:space="preserve"> [1999] 66 (4) The University of Chicago Law Review</w:t>
      </w:r>
      <w:r w:rsidRPr="00C075C7">
        <w:rPr>
          <w:rFonts w:ascii="Baskerville" w:hAnsi="Baskerville"/>
          <w:i/>
        </w:rPr>
        <w:t xml:space="preserve"> </w:t>
      </w:r>
      <w:r w:rsidRPr="00C075C7">
        <w:rPr>
          <w:rFonts w:ascii="Baskerville" w:hAnsi="Baskerville"/>
        </w:rPr>
        <w:t>1113</w:t>
      </w:r>
    </w:p>
    <w:p w14:paraId="659E9927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10665313" w14:textId="421BB66E" w:rsidR="0076466F" w:rsidRPr="00B808A7" w:rsidRDefault="0076466F" w:rsidP="0076466F">
      <w:pPr>
        <w:rPr>
          <w:rFonts w:ascii="Baskerville" w:eastAsia="Times New Roman" w:hAnsi="Baskerville" w:cs="Times New Roman"/>
          <w:sz w:val="20"/>
          <w:szCs w:val="20"/>
        </w:rPr>
      </w:pPr>
      <w:r w:rsidRPr="00547FBD">
        <w:rPr>
          <w:rFonts w:ascii="Baskerville" w:eastAsia="Times New Roman" w:hAnsi="Baskerville" w:cs="Times New Roman"/>
          <w:bCs/>
        </w:rPr>
        <w:t>Jennings</w:t>
      </w:r>
      <w:r>
        <w:rPr>
          <w:rFonts w:ascii="Baskerville" w:eastAsia="Times New Roman" w:hAnsi="Baskerville" w:cs="Times New Roman"/>
          <w:bCs/>
        </w:rPr>
        <w:t xml:space="preserve"> R</w:t>
      </w:r>
      <w:r w:rsidR="00971B39">
        <w:rPr>
          <w:rFonts w:ascii="Baskerville" w:eastAsia="Times New Roman" w:hAnsi="Baskerville" w:cs="Times New Roman"/>
          <w:bCs/>
        </w:rPr>
        <w:t>.</w:t>
      </w:r>
      <w:r w:rsidR="0074124C">
        <w:rPr>
          <w:rFonts w:ascii="Baskerville" w:eastAsia="Times New Roman" w:hAnsi="Baskerville" w:cs="Times New Roman"/>
          <w:bCs/>
        </w:rPr>
        <w:t>Y</w:t>
      </w:r>
      <w:r w:rsidR="00971B39">
        <w:rPr>
          <w:rFonts w:ascii="Baskerville" w:eastAsia="Times New Roman" w:hAnsi="Baskerville" w:cs="Times New Roman"/>
          <w:bCs/>
        </w:rPr>
        <w:t>.</w:t>
      </w:r>
      <w:r w:rsidRPr="00547FBD">
        <w:rPr>
          <w:rFonts w:ascii="Baskerville" w:eastAsia="Times New Roman" w:hAnsi="Baskerville" w:cs="Times New Roman"/>
          <w:bCs/>
        </w:rPr>
        <w:t>, ‘The Judiciary, International and  National, and the Dev</w:t>
      </w:r>
      <w:r>
        <w:rPr>
          <w:rFonts w:ascii="Baskerville" w:eastAsia="Times New Roman" w:hAnsi="Baskerville" w:cs="Times New Roman"/>
          <w:bCs/>
        </w:rPr>
        <w:t xml:space="preserve">elopment of International Law’ [1996] 45 (1) </w:t>
      </w:r>
      <w:r w:rsidRPr="00547FBD">
        <w:rPr>
          <w:rFonts w:ascii="Baskerville" w:eastAsia="Times New Roman" w:hAnsi="Baskerville" w:cs="Times New Roman"/>
          <w:bCs/>
        </w:rPr>
        <w:t xml:space="preserve">ICLQ </w:t>
      </w:r>
      <w:r>
        <w:rPr>
          <w:rFonts w:ascii="Baskerville" w:eastAsia="Times New Roman" w:hAnsi="Baskerville" w:cs="Times New Roman"/>
          <w:bCs/>
        </w:rPr>
        <w:t>1</w:t>
      </w:r>
      <w:r w:rsidRPr="00547FBD">
        <w:rPr>
          <w:rFonts w:ascii="Baskerville" w:eastAsia="Times New Roman" w:hAnsi="Baskerville" w:cs="Times New Roman"/>
          <w:bCs/>
        </w:rPr>
        <w:t xml:space="preserve"> </w:t>
      </w:r>
    </w:p>
    <w:p w14:paraId="408DB494" w14:textId="77777777" w:rsidR="0076466F" w:rsidRPr="00AC716A" w:rsidRDefault="0076466F" w:rsidP="0076466F">
      <w:pPr>
        <w:pStyle w:val="FootnoteText"/>
        <w:rPr>
          <w:rFonts w:ascii="Baskerville" w:hAnsi="Baskerville"/>
        </w:rPr>
      </w:pPr>
    </w:p>
    <w:p w14:paraId="17555FD8" w14:textId="77C2036F" w:rsidR="0076466F" w:rsidRPr="00AC716A" w:rsidRDefault="0076466F" w:rsidP="0076466F">
      <w:pPr>
        <w:pStyle w:val="FootnoteText"/>
        <w:rPr>
          <w:rFonts w:ascii="Baskerville" w:hAnsi="Baskerville"/>
        </w:rPr>
      </w:pPr>
      <w:r w:rsidRPr="00AC716A">
        <w:rPr>
          <w:rFonts w:ascii="Baskerville" w:hAnsi="Baskerville"/>
          <w:lang w:val="en-US"/>
        </w:rPr>
        <w:t>Jennings</w:t>
      </w:r>
      <w:r>
        <w:rPr>
          <w:rFonts w:ascii="Baskerville" w:hAnsi="Baskerville"/>
          <w:lang w:val="en-US"/>
        </w:rPr>
        <w:t xml:space="preserve"> R</w:t>
      </w:r>
      <w:r w:rsidR="00971B39">
        <w:rPr>
          <w:rFonts w:ascii="Baskerville" w:hAnsi="Baskerville"/>
          <w:lang w:val="en-US"/>
        </w:rPr>
        <w:t>.</w:t>
      </w:r>
      <w:r>
        <w:rPr>
          <w:rFonts w:ascii="Baskerville" w:hAnsi="Baskerville"/>
          <w:lang w:val="en-US"/>
        </w:rPr>
        <w:t>Y</w:t>
      </w:r>
      <w:r w:rsidR="00971B39">
        <w:rPr>
          <w:rFonts w:ascii="Baskerville" w:hAnsi="Baskerville"/>
          <w:lang w:val="en-US"/>
        </w:rPr>
        <w:t>.</w:t>
      </w:r>
      <w:r w:rsidRPr="00AC716A">
        <w:rPr>
          <w:rFonts w:ascii="Baskerville" w:hAnsi="Baskerville"/>
          <w:lang w:val="en-US"/>
        </w:rPr>
        <w:t>, ‘What is International law and How Do We Tell It When We See It?’ [1985] 19 (3) The International Lawyer 1033</w:t>
      </w:r>
    </w:p>
    <w:p w14:paraId="414A9F49" w14:textId="77777777" w:rsidR="0076466F" w:rsidRPr="00AC716A" w:rsidRDefault="0076466F" w:rsidP="0076466F">
      <w:pPr>
        <w:pStyle w:val="FootnoteText"/>
        <w:rPr>
          <w:rFonts w:ascii="Baskerville" w:hAnsi="Baskerville"/>
        </w:rPr>
      </w:pPr>
    </w:p>
    <w:p w14:paraId="66CD87BD" w14:textId="5931DC2C" w:rsidR="0076466F" w:rsidRPr="00AC716A" w:rsidRDefault="0076466F" w:rsidP="0076466F">
      <w:pPr>
        <w:pStyle w:val="FootnoteText"/>
        <w:rPr>
          <w:rFonts w:ascii="Baskerville" w:hAnsi="Baskerville"/>
        </w:rPr>
      </w:pPr>
      <w:r w:rsidRPr="00AC716A">
        <w:rPr>
          <w:rFonts w:ascii="Baskerville" w:hAnsi="Baskerville"/>
        </w:rPr>
        <w:t>Menon</w:t>
      </w:r>
      <w:r>
        <w:rPr>
          <w:rFonts w:ascii="Baskerville" w:hAnsi="Baskerville"/>
        </w:rPr>
        <w:t xml:space="preserve"> P</w:t>
      </w:r>
      <w:r w:rsidR="00971B39">
        <w:rPr>
          <w:rFonts w:ascii="Baskerville" w:hAnsi="Baskerville"/>
        </w:rPr>
        <w:t>.</w:t>
      </w:r>
      <w:r>
        <w:rPr>
          <w:rFonts w:ascii="Baskerville" w:hAnsi="Baskerville"/>
        </w:rPr>
        <w:t>K</w:t>
      </w:r>
      <w:r w:rsidR="00971B39">
        <w:rPr>
          <w:rFonts w:ascii="Baskerville" w:hAnsi="Baskerville"/>
        </w:rPr>
        <w:t>.</w:t>
      </w:r>
      <w:r w:rsidRPr="00AC716A">
        <w:rPr>
          <w:rFonts w:ascii="Baskerville" w:hAnsi="Baskerville"/>
        </w:rPr>
        <w:t xml:space="preserve">, ‘An Enquiry into the Sources of Modern International Law’ [1986] 64 (3) </w:t>
      </w:r>
      <w:r w:rsidRPr="00AC716A">
        <w:rPr>
          <w:rFonts w:ascii="Baskerville" w:hAnsi="Baskerville"/>
          <w:iCs/>
        </w:rPr>
        <w:t>Revue de Droit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  <w:iCs/>
        </w:rPr>
        <w:t>International, de Sciences Diplomatiques et Politiques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</w:rPr>
        <w:t xml:space="preserve">181 </w:t>
      </w:r>
    </w:p>
    <w:p w14:paraId="75DD3DCA" w14:textId="77777777" w:rsidR="0076466F" w:rsidRPr="00AC716A" w:rsidRDefault="0076466F" w:rsidP="0076466F">
      <w:pPr>
        <w:pStyle w:val="FootnoteText"/>
        <w:rPr>
          <w:rFonts w:ascii="Baskerville" w:hAnsi="Baskerville"/>
        </w:rPr>
      </w:pPr>
    </w:p>
    <w:p w14:paraId="4398704F" w14:textId="500FD3C3" w:rsidR="0076466F" w:rsidRDefault="0076466F" w:rsidP="0076466F">
      <w:pPr>
        <w:pStyle w:val="FootnoteText"/>
        <w:rPr>
          <w:rFonts w:ascii="Baskerville" w:hAnsi="Baskerville"/>
        </w:rPr>
      </w:pPr>
      <w:r w:rsidRPr="00AC716A">
        <w:rPr>
          <w:rFonts w:ascii="Baskerville" w:hAnsi="Baskerville"/>
        </w:rPr>
        <w:t>Pathak</w:t>
      </w:r>
      <w:r>
        <w:rPr>
          <w:rFonts w:ascii="Baskerville" w:hAnsi="Baskerville"/>
        </w:rPr>
        <w:t xml:space="preserve"> R</w:t>
      </w:r>
      <w:r w:rsidR="00971B39">
        <w:rPr>
          <w:rFonts w:ascii="Baskerville" w:hAnsi="Baskerville"/>
        </w:rPr>
        <w:t>.</w:t>
      </w:r>
      <w:r>
        <w:rPr>
          <w:rFonts w:ascii="Baskerville" w:hAnsi="Baskerville"/>
        </w:rPr>
        <w:t>S</w:t>
      </w:r>
      <w:r w:rsidR="00971B39">
        <w:rPr>
          <w:rFonts w:ascii="Baskerville" w:hAnsi="Baskerville"/>
        </w:rPr>
        <w:t>.</w:t>
      </w:r>
      <w:r w:rsidRPr="00AC716A">
        <w:rPr>
          <w:rFonts w:ascii="Baskerville" w:hAnsi="Baskerville"/>
        </w:rPr>
        <w:t>, ‘The General Theory of the Sources of Contemporary International Law’ [1979]</w:t>
      </w:r>
      <w:r w:rsidR="0092088D">
        <w:rPr>
          <w:rFonts w:ascii="Baskerville" w:hAnsi="Baskerville"/>
        </w:rPr>
        <w:t xml:space="preserve"> </w:t>
      </w:r>
      <w:r w:rsidRPr="00AC716A">
        <w:rPr>
          <w:rFonts w:ascii="Baskerville" w:hAnsi="Baskerville"/>
        </w:rPr>
        <w:t xml:space="preserve">19 </w:t>
      </w:r>
      <w:r w:rsidRPr="00AC716A">
        <w:rPr>
          <w:rFonts w:ascii="Baskerville" w:hAnsi="Baskerville"/>
          <w:iCs/>
        </w:rPr>
        <w:t>Indian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  <w:iCs/>
        </w:rPr>
        <w:t>Journal of International Law</w:t>
      </w:r>
      <w:r w:rsidRPr="00AC716A">
        <w:rPr>
          <w:rFonts w:ascii="Baskerville" w:hAnsi="Baskerville"/>
          <w:i/>
          <w:iCs/>
        </w:rPr>
        <w:t xml:space="preserve"> </w:t>
      </w:r>
      <w:r w:rsidRPr="00AC716A">
        <w:rPr>
          <w:rFonts w:ascii="Baskerville" w:hAnsi="Baskerville"/>
        </w:rPr>
        <w:t>483</w:t>
      </w:r>
    </w:p>
    <w:p w14:paraId="222BD38E" w14:textId="77777777" w:rsidR="003425EA" w:rsidRDefault="003425EA" w:rsidP="0076466F">
      <w:pPr>
        <w:pStyle w:val="FootnoteText"/>
        <w:rPr>
          <w:rFonts w:ascii="Baskerville" w:hAnsi="Baskerville"/>
        </w:rPr>
      </w:pPr>
    </w:p>
    <w:p w14:paraId="73F0809D" w14:textId="498D5DB8" w:rsidR="003425EA" w:rsidRPr="003425EA" w:rsidRDefault="003425EA" w:rsidP="003425EA">
      <w:pPr>
        <w:pStyle w:val="FootnoteText"/>
        <w:rPr>
          <w:rFonts w:ascii="Baskerville" w:hAnsi="Baskerville"/>
          <w:i/>
          <w:lang w:val="en-US"/>
        </w:rPr>
      </w:pPr>
      <w:r w:rsidRPr="006966C8">
        <w:rPr>
          <w:rFonts w:ascii="Baskerville" w:hAnsi="Baskerville"/>
          <w:lang w:val="en-US"/>
        </w:rPr>
        <w:t>Waldock</w:t>
      </w:r>
      <w:r>
        <w:rPr>
          <w:rFonts w:ascii="Baskerville" w:hAnsi="Baskerville"/>
          <w:lang w:val="en-US"/>
        </w:rPr>
        <w:t xml:space="preserve"> H</w:t>
      </w:r>
      <w:r w:rsidRPr="006966C8">
        <w:rPr>
          <w:rFonts w:ascii="Baskerville" w:hAnsi="Baskerville"/>
          <w:lang w:val="en-US"/>
        </w:rPr>
        <w:t xml:space="preserve">, </w:t>
      </w:r>
      <w:r>
        <w:rPr>
          <w:rFonts w:ascii="Baskerville" w:hAnsi="Baskerville"/>
          <w:lang w:val="en-US"/>
        </w:rPr>
        <w:t>‘</w:t>
      </w:r>
      <w:r w:rsidRPr="006966C8">
        <w:rPr>
          <w:rFonts w:ascii="Baskerville" w:hAnsi="Baskerville"/>
          <w:lang w:val="en-US"/>
        </w:rPr>
        <w:t xml:space="preserve">General Course on Public International Law’ </w:t>
      </w:r>
      <w:r>
        <w:rPr>
          <w:rFonts w:ascii="Baskerville" w:hAnsi="Baskerville"/>
          <w:lang w:val="en-US"/>
        </w:rPr>
        <w:t>[1962] 106</w:t>
      </w:r>
      <w:r w:rsidRPr="006966C8">
        <w:rPr>
          <w:rFonts w:ascii="Baskerville" w:hAnsi="Baskerville"/>
          <w:lang w:val="en-US"/>
        </w:rPr>
        <w:t xml:space="preserve"> </w:t>
      </w:r>
      <w:r w:rsidRPr="003425EA">
        <w:rPr>
          <w:rFonts w:ascii="Baskerville" w:hAnsi="Baskerville"/>
          <w:i/>
          <w:lang w:val="en-US"/>
        </w:rPr>
        <w:t xml:space="preserve">Recueil des cours </w:t>
      </w:r>
      <w:r>
        <w:rPr>
          <w:rFonts w:ascii="Baskerville" w:hAnsi="Baskerville"/>
          <w:i/>
          <w:lang w:val="en-US"/>
        </w:rPr>
        <w:t>54</w:t>
      </w:r>
    </w:p>
    <w:p w14:paraId="4A195F57" w14:textId="77777777" w:rsidR="0076466F" w:rsidRPr="00AC716A" w:rsidRDefault="0076466F" w:rsidP="0076466F">
      <w:pPr>
        <w:pStyle w:val="FootnoteText"/>
        <w:rPr>
          <w:rFonts w:ascii="Baskerville" w:hAnsi="Baskerville"/>
          <w:b/>
          <w:lang w:val="en-US"/>
        </w:rPr>
      </w:pPr>
    </w:p>
    <w:p w14:paraId="4A6B61E0" w14:textId="77777777" w:rsidR="0076466F" w:rsidRPr="00B808A7" w:rsidRDefault="0076466F" w:rsidP="0076466F">
      <w:pPr>
        <w:pStyle w:val="FootnoteText"/>
        <w:rPr>
          <w:rFonts w:ascii="Baskerville" w:hAnsi="Baskerville"/>
          <w:b/>
        </w:rPr>
      </w:pPr>
      <w:r w:rsidRPr="00B808A7">
        <w:rPr>
          <w:rFonts w:ascii="Baskerville" w:hAnsi="Baskerville"/>
          <w:b/>
        </w:rPr>
        <w:t>Other secondary sources</w:t>
      </w:r>
    </w:p>
    <w:p w14:paraId="14969CFA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7110EB0C" w14:textId="77777777" w:rsidR="0076466F" w:rsidRDefault="0076466F" w:rsidP="0076466F">
      <w:pPr>
        <w:pStyle w:val="FootnoteText"/>
        <w:rPr>
          <w:rFonts w:ascii="Baskerville" w:hAnsi="Baskerville"/>
        </w:rPr>
      </w:pPr>
      <w:r>
        <w:rPr>
          <w:rFonts w:ascii="Baskerville" w:hAnsi="Baskerville"/>
        </w:rPr>
        <w:t>Frey B, ‘Prevention of human rights violations committed with small arms and light weapons’ (SUBCOM 2006) A HRC Sub 1 58 27 (Final report)</w:t>
      </w:r>
    </w:p>
    <w:p w14:paraId="31162F76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3B277E56" w14:textId="77777777" w:rsidR="0076466F" w:rsidRPr="000038A9" w:rsidRDefault="0076466F" w:rsidP="0076466F">
      <w:pPr>
        <w:pStyle w:val="FootnoteText"/>
        <w:rPr>
          <w:rFonts w:ascii="Baskerville" w:hAnsi="Baskerville"/>
          <w:sz w:val="20"/>
          <w:szCs w:val="20"/>
        </w:rPr>
      </w:pPr>
      <w:r w:rsidRPr="000038A9">
        <w:rPr>
          <w:rFonts w:ascii="Baskerville" w:hAnsi="Baskerville"/>
        </w:rPr>
        <w:t>United Nations</w:t>
      </w:r>
      <w:r>
        <w:rPr>
          <w:rFonts w:ascii="Baskerville" w:hAnsi="Baskerville"/>
          <w:sz w:val="20"/>
          <w:szCs w:val="20"/>
        </w:rPr>
        <w:t xml:space="preserve">, </w:t>
      </w:r>
      <w:r w:rsidRPr="00971B39">
        <w:rPr>
          <w:rFonts w:ascii="Baskerville" w:hAnsi="Baskerville"/>
          <w:i/>
        </w:rPr>
        <w:t>Frequently Asked Questions on International Law Aspects of Countering Terrorism</w:t>
      </w:r>
      <w:r w:rsidRPr="002228D7">
        <w:rPr>
          <w:rFonts w:ascii="Baskerville" w:hAnsi="Baskerville"/>
        </w:rPr>
        <w:t xml:space="preserve"> [2009] United</w:t>
      </w:r>
      <w:r>
        <w:rPr>
          <w:rFonts w:ascii="Baskerville" w:hAnsi="Baskerville"/>
        </w:rPr>
        <w:t xml:space="preserve"> </w:t>
      </w:r>
      <w:r w:rsidRPr="008E48F3">
        <w:rPr>
          <w:rFonts w:ascii="Baskerville" w:hAnsi="Baskerville"/>
        </w:rPr>
        <w:t>N</w:t>
      </w:r>
      <w:r>
        <w:rPr>
          <w:rFonts w:ascii="Baskerville" w:hAnsi="Baskerville"/>
        </w:rPr>
        <w:t xml:space="preserve">ations </w:t>
      </w:r>
      <w:r w:rsidRPr="008E48F3">
        <w:rPr>
          <w:rFonts w:ascii="Baskerville" w:hAnsi="Baskerville"/>
        </w:rPr>
        <w:t>O</w:t>
      </w:r>
      <w:r>
        <w:rPr>
          <w:rFonts w:ascii="Baskerville" w:hAnsi="Baskerville"/>
        </w:rPr>
        <w:t xml:space="preserve">ffice on </w:t>
      </w:r>
      <w:r w:rsidRPr="008E48F3">
        <w:rPr>
          <w:rFonts w:ascii="Baskerville" w:hAnsi="Baskerville"/>
        </w:rPr>
        <w:t>D</w:t>
      </w:r>
      <w:r>
        <w:rPr>
          <w:rFonts w:ascii="Baskerville" w:hAnsi="Baskerville"/>
        </w:rPr>
        <w:t xml:space="preserve">rugs and </w:t>
      </w:r>
      <w:r w:rsidRPr="008E48F3">
        <w:rPr>
          <w:rFonts w:ascii="Baskerville" w:hAnsi="Baskerville"/>
        </w:rPr>
        <w:t>C</w:t>
      </w:r>
      <w:r>
        <w:rPr>
          <w:rFonts w:ascii="Baskerville" w:hAnsi="Baskerville"/>
        </w:rPr>
        <w:t>rime</w:t>
      </w:r>
      <w:r w:rsidRPr="008E48F3">
        <w:rPr>
          <w:rFonts w:ascii="Baskerville" w:hAnsi="Baskerville"/>
        </w:rPr>
        <w:t xml:space="preserve"> </w:t>
      </w:r>
      <w:r w:rsidRPr="000038A9">
        <w:rPr>
          <w:rFonts w:ascii="Baskerville" w:hAnsi="Baskerville"/>
        </w:rPr>
        <w:t>3</w:t>
      </w:r>
    </w:p>
    <w:p w14:paraId="7526731E" w14:textId="77777777" w:rsidR="0076466F" w:rsidRPr="00F761DF" w:rsidRDefault="0076466F" w:rsidP="0076466F">
      <w:pPr>
        <w:rPr>
          <w:rFonts w:ascii="Baskerville" w:hAnsi="Baskerville"/>
          <w:b/>
        </w:rPr>
      </w:pPr>
    </w:p>
    <w:p w14:paraId="5F1B49D8" w14:textId="77777777" w:rsidR="0076466F" w:rsidRPr="00F761DF" w:rsidRDefault="0076466F" w:rsidP="0076466F">
      <w:pPr>
        <w:rPr>
          <w:rFonts w:ascii="Baskerville" w:hAnsi="Baskerville"/>
          <w:b/>
          <w:lang w:val="en-US"/>
        </w:rPr>
      </w:pPr>
      <w:r w:rsidRPr="00F761DF">
        <w:rPr>
          <w:rFonts w:ascii="Baskerville" w:hAnsi="Baskerville"/>
          <w:b/>
          <w:lang w:val="en-US"/>
        </w:rPr>
        <w:t>Websites and blogs</w:t>
      </w:r>
    </w:p>
    <w:p w14:paraId="34ECDEBA" w14:textId="77777777" w:rsidR="0076466F" w:rsidRDefault="0076466F" w:rsidP="0076466F">
      <w:pPr>
        <w:pStyle w:val="FootnoteText"/>
        <w:rPr>
          <w:rFonts w:ascii="Baskerville" w:hAnsi="Baskerville"/>
        </w:rPr>
      </w:pPr>
    </w:p>
    <w:p w14:paraId="7E2957B0" w14:textId="77777777" w:rsidR="0076466F" w:rsidRPr="00721BE5" w:rsidRDefault="0076466F" w:rsidP="0076466F">
      <w:pPr>
        <w:pStyle w:val="FootnoteText"/>
        <w:rPr>
          <w:rFonts w:ascii="Baskerville" w:hAnsi="Baskerville"/>
          <w:lang w:val="en-US"/>
        </w:rPr>
      </w:pPr>
      <w:r>
        <w:rPr>
          <w:rFonts w:ascii="Baskerville" w:hAnsi="Baskerville"/>
          <w:lang w:val="en-US"/>
        </w:rPr>
        <w:t xml:space="preserve">Sir </w:t>
      </w:r>
      <w:r w:rsidRPr="00721BE5">
        <w:rPr>
          <w:rFonts w:ascii="Baskerville" w:hAnsi="Baskerville"/>
          <w:lang w:val="en-US"/>
        </w:rPr>
        <w:t>Greenwood</w:t>
      </w:r>
      <w:r>
        <w:rPr>
          <w:rFonts w:ascii="Baskerville" w:hAnsi="Baskerville"/>
          <w:lang w:val="en-US"/>
        </w:rPr>
        <w:t xml:space="preserve"> C</w:t>
      </w:r>
      <w:r w:rsidRPr="00721BE5">
        <w:rPr>
          <w:rFonts w:ascii="Baskerville" w:hAnsi="Baskerville"/>
          <w:lang w:val="en-US"/>
        </w:rPr>
        <w:t>, ‘The Sources of International Law’ (</w:t>
      </w:r>
      <w:r w:rsidRPr="00721BE5">
        <w:rPr>
          <w:rFonts w:ascii="Baskerville" w:hAnsi="Baskerville"/>
          <w:i/>
          <w:lang w:val="en-US"/>
        </w:rPr>
        <w:t xml:space="preserve">UN Web TV, </w:t>
      </w:r>
      <w:r w:rsidRPr="00721BE5">
        <w:rPr>
          <w:rFonts w:ascii="Baskerville" w:hAnsi="Baskerville"/>
          <w:lang w:val="en-US"/>
        </w:rPr>
        <w:t>24 January 2008)&lt;</w:t>
      </w:r>
      <w:r w:rsidRPr="00721BE5">
        <w:t xml:space="preserve"> </w:t>
      </w:r>
      <w:r w:rsidRPr="00721BE5">
        <w:rPr>
          <w:rFonts w:ascii="Baskerville" w:hAnsi="Baskerville"/>
          <w:lang w:val="en-US"/>
        </w:rPr>
        <w:t>http://webtv.un.org/news-features/audiovisual-library-of-international-law-avl/watch/judge-greenwood-icj-on-the-sources-of-international-law/2622924798001&gt;accessed 14 January 2017</w:t>
      </w:r>
    </w:p>
    <w:p w14:paraId="1315FE24" w14:textId="77777777" w:rsidR="0076466F" w:rsidRPr="00721BE5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4DC360A7" w14:textId="77777777" w:rsidR="0076466F" w:rsidRPr="00721BE5" w:rsidRDefault="0076466F" w:rsidP="0076466F">
      <w:pPr>
        <w:pStyle w:val="FootnoteText"/>
        <w:rPr>
          <w:rFonts w:ascii="Baskerville" w:hAnsi="Baskerville"/>
          <w:lang w:val="en-US"/>
        </w:rPr>
      </w:pPr>
      <w:r w:rsidRPr="00721BE5">
        <w:rPr>
          <w:rFonts w:ascii="Baskerville" w:hAnsi="Baskerville"/>
          <w:lang w:val="en-US"/>
        </w:rPr>
        <w:t>Jayakumar</w:t>
      </w:r>
      <w:r>
        <w:rPr>
          <w:rFonts w:ascii="Baskerville" w:hAnsi="Baskerville"/>
          <w:lang w:val="en-US"/>
        </w:rPr>
        <w:t xml:space="preserve"> K</w:t>
      </w:r>
      <w:r w:rsidRPr="00721BE5">
        <w:rPr>
          <w:rFonts w:ascii="Baskerville" w:hAnsi="Baskerville"/>
          <w:lang w:val="en-US"/>
        </w:rPr>
        <w:t>, ‘Where Does Article 38 Stand Today?’ (</w:t>
      </w:r>
      <w:r w:rsidRPr="00721BE5">
        <w:rPr>
          <w:rFonts w:ascii="Baskerville" w:hAnsi="Baskerville"/>
          <w:i/>
          <w:lang w:val="en-US"/>
        </w:rPr>
        <w:t>E-International Relations</w:t>
      </w:r>
      <w:r w:rsidRPr="00721BE5">
        <w:rPr>
          <w:rFonts w:ascii="Baskerville" w:hAnsi="Baskerville"/>
          <w:lang w:val="en-US"/>
        </w:rPr>
        <w:t>, 12 October 2011</w:t>
      </w:r>
      <w:r w:rsidRPr="00721BE5">
        <w:rPr>
          <w:rFonts w:ascii="Baskerville" w:hAnsi="Baskerville"/>
          <w:i/>
          <w:lang w:val="en-US"/>
        </w:rPr>
        <w:t xml:space="preserve">) </w:t>
      </w:r>
      <w:r w:rsidRPr="00721BE5">
        <w:rPr>
          <w:rFonts w:ascii="Baskerville" w:hAnsi="Baskerville"/>
          <w:lang w:val="en-US"/>
        </w:rPr>
        <w:t>&lt;http://www.e-ir.info/2011/10/12/where-does-article-38-stand-today/&gt; accessed 7 January 2017</w:t>
      </w:r>
    </w:p>
    <w:p w14:paraId="5B5FBBA3" w14:textId="77777777" w:rsidR="0076466F" w:rsidRPr="00721BE5" w:rsidRDefault="0076466F" w:rsidP="0076466F">
      <w:pPr>
        <w:pStyle w:val="FootnoteText"/>
        <w:rPr>
          <w:rFonts w:ascii="Baskerville" w:hAnsi="Baskerville"/>
          <w:b/>
          <w:lang w:val="en-US"/>
        </w:rPr>
      </w:pPr>
    </w:p>
    <w:p w14:paraId="02AE354F" w14:textId="77777777" w:rsidR="0076466F" w:rsidRPr="00EE2244" w:rsidRDefault="0076466F" w:rsidP="0076466F">
      <w:pPr>
        <w:pStyle w:val="FootnoteText"/>
        <w:rPr>
          <w:rFonts w:ascii="Baskerville" w:hAnsi="Baskerville"/>
          <w:b/>
          <w:lang w:val="en-US"/>
        </w:rPr>
      </w:pPr>
    </w:p>
    <w:p w14:paraId="703FCA0C" w14:textId="77777777" w:rsidR="0076466F" w:rsidRPr="00F761DF" w:rsidRDefault="0076466F" w:rsidP="0076466F">
      <w:pPr>
        <w:pStyle w:val="FootnoteText"/>
        <w:rPr>
          <w:rFonts w:ascii="Baskerville" w:hAnsi="Baskerville"/>
          <w:lang w:val="en-US"/>
        </w:rPr>
      </w:pPr>
    </w:p>
    <w:p w14:paraId="5A3730F6" w14:textId="77777777" w:rsidR="0076466F" w:rsidRDefault="0076466F" w:rsidP="0076466F">
      <w:pPr>
        <w:pStyle w:val="FootnoteText"/>
        <w:rPr>
          <w:rFonts w:ascii="Baskerville" w:hAnsi="Baskerville"/>
          <w:b/>
        </w:rPr>
      </w:pPr>
    </w:p>
    <w:p w14:paraId="125E2EDA" w14:textId="77777777" w:rsidR="0076466F" w:rsidRPr="00F761DF" w:rsidRDefault="0076466F" w:rsidP="0076466F">
      <w:pPr>
        <w:rPr>
          <w:rFonts w:ascii="Baskerville" w:hAnsi="Baskerville"/>
          <w:b/>
        </w:rPr>
      </w:pPr>
    </w:p>
    <w:p w14:paraId="423820BC" w14:textId="77777777" w:rsidR="0076466F" w:rsidRPr="00F761DF" w:rsidRDefault="0076466F" w:rsidP="0076466F"/>
    <w:p w14:paraId="5E9EF4D0" w14:textId="77777777" w:rsidR="0076466F" w:rsidRDefault="0076466F" w:rsidP="00691223">
      <w:pPr>
        <w:rPr>
          <w:rFonts w:ascii="Baskerville" w:hAnsi="Baskerville"/>
          <w:b/>
        </w:rPr>
      </w:pPr>
    </w:p>
    <w:p w14:paraId="3184A074" w14:textId="77777777" w:rsidR="0076466F" w:rsidRDefault="0076466F" w:rsidP="00691223">
      <w:pPr>
        <w:rPr>
          <w:rFonts w:ascii="Baskerville" w:hAnsi="Baskerville"/>
          <w:b/>
        </w:rPr>
      </w:pPr>
    </w:p>
    <w:p w14:paraId="480C3D69" w14:textId="77777777" w:rsidR="0076466F" w:rsidRDefault="0076466F" w:rsidP="00691223">
      <w:pPr>
        <w:rPr>
          <w:rFonts w:ascii="Baskerville" w:hAnsi="Baskerville"/>
          <w:b/>
        </w:rPr>
      </w:pPr>
    </w:p>
    <w:p w14:paraId="189CB2A0" w14:textId="77777777" w:rsidR="0076466F" w:rsidRDefault="0076466F" w:rsidP="00691223">
      <w:pPr>
        <w:rPr>
          <w:rFonts w:ascii="Baskerville" w:hAnsi="Baskerville"/>
          <w:b/>
        </w:rPr>
      </w:pPr>
    </w:p>
    <w:p w14:paraId="4E7D508F" w14:textId="77777777" w:rsidR="0076466F" w:rsidRDefault="0076466F" w:rsidP="00691223">
      <w:pPr>
        <w:rPr>
          <w:rFonts w:ascii="Baskerville" w:hAnsi="Baskerville"/>
          <w:b/>
        </w:rPr>
      </w:pPr>
    </w:p>
    <w:p w14:paraId="38884CC6" w14:textId="77777777" w:rsidR="0076466F" w:rsidRDefault="0076466F" w:rsidP="00691223">
      <w:pPr>
        <w:rPr>
          <w:rFonts w:ascii="Baskerville" w:hAnsi="Baskerville"/>
          <w:b/>
        </w:rPr>
      </w:pPr>
    </w:p>
    <w:p w14:paraId="5FF62510" w14:textId="77777777" w:rsidR="0076466F" w:rsidRDefault="0076466F" w:rsidP="00691223">
      <w:pPr>
        <w:rPr>
          <w:rFonts w:ascii="Baskerville" w:hAnsi="Baskerville"/>
          <w:b/>
        </w:rPr>
      </w:pPr>
    </w:p>
    <w:p w14:paraId="00F8CE8D" w14:textId="77777777" w:rsidR="0076466F" w:rsidRDefault="0076466F" w:rsidP="00691223">
      <w:pPr>
        <w:rPr>
          <w:rFonts w:ascii="Baskerville" w:hAnsi="Baskerville"/>
          <w:b/>
        </w:rPr>
      </w:pPr>
    </w:p>
    <w:p w14:paraId="6418B4BD" w14:textId="77777777" w:rsidR="0076466F" w:rsidRDefault="0076466F" w:rsidP="00691223">
      <w:pPr>
        <w:rPr>
          <w:rFonts w:ascii="Baskerville" w:hAnsi="Baskerville"/>
          <w:b/>
        </w:rPr>
      </w:pPr>
    </w:p>
    <w:p w14:paraId="50C82547" w14:textId="77777777" w:rsidR="0096099F" w:rsidRDefault="0096099F" w:rsidP="00691223">
      <w:pPr>
        <w:rPr>
          <w:rFonts w:ascii="Baskerville" w:hAnsi="Baskerville"/>
        </w:rPr>
      </w:pPr>
    </w:p>
    <w:p w14:paraId="03CBCC5A" w14:textId="77777777" w:rsidR="00866EF4" w:rsidRDefault="00866EF4" w:rsidP="00691223">
      <w:pPr>
        <w:pStyle w:val="FootnoteText"/>
        <w:rPr>
          <w:rFonts w:ascii="Baskerville" w:hAnsi="Baskerville"/>
          <w:lang w:val="en-US"/>
        </w:rPr>
      </w:pPr>
    </w:p>
    <w:p w14:paraId="43A2485B" w14:textId="77777777" w:rsidR="007D3985" w:rsidRPr="00F761DF" w:rsidRDefault="007D3985" w:rsidP="00691223">
      <w:pPr>
        <w:pStyle w:val="FootnoteText"/>
        <w:rPr>
          <w:rFonts w:ascii="Baskerville" w:hAnsi="Baskerville"/>
          <w:lang w:val="en-US"/>
        </w:rPr>
      </w:pPr>
    </w:p>
    <w:p w14:paraId="4D18B84B" w14:textId="77777777" w:rsidR="005A1CB0" w:rsidRPr="00F761DF" w:rsidRDefault="005A1CB0"/>
    <w:sectPr w:rsidR="005A1CB0" w:rsidRPr="00F761DF" w:rsidSect="007930A8">
      <w:headerReference w:type="default" r:id="rId8"/>
      <w:footerReference w:type="even" r:id="rId9"/>
      <w:footerReference w:type="default" r:id="rId10"/>
      <w:pgSz w:w="11900" w:h="16840"/>
      <w:pgMar w:top="1276" w:right="1800" w:bottom="141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4789BD" w14:textId="77777777" w:rsidR="00967912" w:rsidRDefault="00967912" w:rsidP="003272A5">
      <w:r>
        <w:separator/>
      </w:r>
    </w:p>
  </w:endnote>
  <w:endnote w:type="continuationSeparator" w:id="0">
    <w:p w14:paraId="6DDAF6ED" w14:textId="77777777" w:rsidR="00967912" w:rsidRDefault="00967912" w:rsidP="003272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Baskerville">
    <w:panose1 w:val="02020502070401020303"/>
    <w:charset w:val="00"/>
    <w:family w:val="auto"/>
    <w:pitch w:val="variable"/>
    <w:sig w:usb0="80000067" w:usb1="00000000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CC16AE" w14:textId="77777777" w:rsidR="00967912" w:rsidRDefault="00967912" w:rsidP="007223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B69B832" w14:textId="77777777" w:rsidR="00967912" w:rsidRDefault="0096791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BC0F15" w14:textId="77777777" w:rsidR="00967912" w:rsidRPr="00660DB5" w:rsidRDefault="00967912" w:rsidP="00722344">
    <w:pPr>
      <w:pStyle w:val="Footer"/>
      <w:framePr w:wrap="around" w:vAnchor="text" w:hAnchor="margin" w:xAlign="center" w:y="1"/>
      <w:rPr>
        <w:rStyle w:val="PageNumber"/>
        <w:rFonts w:ascii="Baskerville" w:hAnsi="Baskerville"/>
      </w:rPr>
    </w:pPr>
    <w:r w:rsidRPr="00660DB5">
      <w:rPr>
        <w:rStyle w:val="PageNumber"/>
        <w:rFonts w:ascii="Baskerville" w:hAnsi="Baskerville"/>
      </w:rPr>
      <w:fldChar w:fldCharType="begin"/>
    </w:r>
    <w:r w:rsidRPr="00660DB5">
      <w:rPr>
        <w:rStyle w:val="PageNumber"/>
        <w:rFonts w:ascii="Baskerville" w:hAnsi="Baskerville"/>
      </w:rPr>
      <w:instrText xml:space="preserve">PAGE  </w:instrText>
    </w:r>
    <w:r w:rsidRPr="00660DB5">
      <w:rPr>
        <w:rStyle w:val="PageNumber"/>
        <w:rFonts w:ascii="Baskerville" w:hAnsi="Baskerville"/>
      </w:rPr>
      <w:fldChar w:fldCharType="separate"/>
    </w:r>
    <w:r w:rsidR="00971B39">
      <w:rPr>
        <w:rStyle w:val="PageNumber"/>
        <w:rFonts w:ascii="Baskerville" w:hAnsi="Baskerville"/>
        <w:noProof/>
      </w:rPr>
      <w:t>1</w:t>
    </w:r>
    <w:r w:rsidRPr="00660DB5">
      <w:rPr>
        <w:rStyle w:val="PageNumber"/>
        <w:rFonts w:ascii="Baskerville" w:hAnsi="Baskerville"/>
      </w:rPr>
      <w:fldChar w:fldCharType="end"/>
    </w:r>
  </w:p>
  <w:p w14:paraId="4B5E2B9D" w14:textId="77777777" w:rsidR="00967912" w:rsidRDefault="0096791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8E43B6" w14:textId="77777777" w:rsidR="00967912" w:rsidRDefault="00967912" w:rsidP="003272A5">
      <w:r>
        <w:separator/>
      </w:r>
    </w:p>
  </w:footnote>
  <w:footnote w:type="continuationSeparator" w:id="0">
    <w:p w14:paraId="6849D78F" w14:textId="77777777" w:rsidR="00967912" w:rsidRDefault="00967912" w:rsidP="003272A5">
      <w:r>
        <w:continuationSeparator/>
      </w:r>
    </w:p>
  </w:footnote>
  <w:footnote w:id="1">
    <w:p w14:paraId="744F6955" w14:textId="7281ED43" w:rsidR="00967912" w:rsidRPr="00FE46F5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24504">
        <w:rPr>
          <w:rStyle w:val="FootnoteReference"/>
          <w:rFonts w:ascii="Baskerville" w:hAnsi="Baskerville"/>
          <w:sz w:val="20"/>
          <w:szCs w:val="20"/>
        </w:rPr>
        <w:footnoteRef/>
      </w:r>
      <w:r w:rsidRPr="00724504">
        <w:rPr>
          <w:rFonts w:ascii="Baskerville" w:hAnsi="Baskerville"/>
          <w:sz w:val="20"/>
          <w:szCs w:val="20"/>
        </w:rPr>
        <w:t xml:space="preserve"> </w:t>
      </w:r>
      <w:r w:rsidRPr="00FE46F5">
        <w:rPr>
          <w:rFonts w:ascii="Baskerville" w:hAnsi="Baskerville"/>
          <w:sz w:val="20"/>
          <w:szCs w:val="20"/>
          <w:lang w:val="en-US"/>
        </w:rPr>
        <w:t>K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FE46F5">
        <w:rPr>
          <w:rFonts w:ascii="Baskerville" w:hAnsi="Baskerville"/>
          <w:sz w:val="20"/>
          <w:szCs w:val="20"/>
          <w:lang w:val="en-US"/>
        </w:rPr>
        <w:t xml:space="preserve"> J</w:t>
      </w:r>
      <w:r>
        <w:rPr>
          <w:rFonts w:ascii="Baskerville" w:hAnsi="Baskerville"/>
          <w:sz w:val="20"/>
          <w:szCs w:val="20"/>
          <w:lang w:val="en-US"/>
        </w:rPr>
        <w:t>ayakumar, ‘</w:t>
      </w:r>
      <w:r w:rsidRPr="00FE46F5">
        <w:rPr>
          <w:rFonts w:ascii="Baskerville" w:hAnsi="Baskerville"/>
          <w:sz w:val="20"/>
          <w:szCs w:val="20"/>
          <w:lang w:val="en-US"/>
        </w:rPr>
        <w:t>Where Does Article 38 Stand Today?</w:t>
      </w:r>
      <w:r>
        <w:rPr>
          <w:rFonts w:ascii="Baskerville" w:hAnsi="Baskerville"/>
          <w:sz w:val="20"/>
          <w:szCs w:val="20"/>
          <w:lang w:val="en-US"/>
        </w:rPr>
        <w:t>’</w:t>
      </w:r>
      <w:r w:rsidRPr="00FE46F5">
        <w:rPr>
          <w:rFonts w:ascii="Baskerville" w:hAnsi="Baskerville"/>
          <w:sz w:val="20"/>
          <w:szCs w:val="20"/>
          <w:lang w:val="en-US"/>
        </w:rPr>
        <w:t>,</w:t>
      </w:r>
      <w:r>
        <w:rPr>
          <w:rFonts w:ascii="Baskerville" w:hAnsi="Baskerville"/>
          <w:i/>
          <w:sz w:val="20"/>
          <w:szCs w:val="20"/>
          <w:lang w:val="en-US"/>
        </w:rPr>
        <w:t xml:space="preserve"> E-International Relations </w:t>
      </w:r>
      <w:r>
        <w:rPr>
          <w:rFonts w:ascii="Baskerville" w:hAnsi="Baskerville"/>
          <w:sz w:val="20"/>
          <w:szCs w:val="20"/>
          <w:lang w:val="en-US"/>
        </w:rPr>
        <w:t>(12/10/2011) &lt;</w:t>
      </w:r>
      <w:r w:rsidRPr="00FE46F5">
        <w:rPr>
          <w:rFonts w:ascii="Baskerville" w:hAnsi="Baskerville"/>
          <w:sz w:val="20"/>
          <w:szCs w:val="20"/>
          <w:lang w:val="en-US"/>
        </w:rPr>
        <w:t>http://www.e-ir.info/2011/10/12/where-does-article-38-stand-today/</w:t>
      </w:r>
      <w:r>
        <w:rPr>
          <w:rFonts w:ascii="Baskerville" w:hAnsi="Baskerville"/>
          <w:sz w:val="20"/>
          <w:szCs w:val="20"/>
          <w:lang w:val="en-US"/>
        </w:rPr>
        <w:t>&gt; Date accessed: 7</w:t>
      </w:r>
      <w:r w:rsidRPr="00FE46F5">
        <w:rPr>
          <w:rFonts w:ascii="Baskerville" w:hAnsi="Baskerville"/>
          <w:sz w:val="20"/>
          <w:szCs w:val="20"/>
          <w:vertAlign w:val="superscript"/>
          <w:lang w:val="en-US"/>
        </w:rPr>
        <w:t>th</w:t>
      </w:r>
      <w:r>
        <w:rPr>
          <w:rFonts w:ascii="Baskerville" w:hAnsi="Baskerville"/>
          <w:sz w:val="20"/>
          <w:szCs w:val="20"/>
          <w:lang w:val="en-US"/>
        </w:rPr>
        <w:t xml:space="preserve"> January 2017.</w:t>
      </w:r>
    </w:p>
  </w:footnote>
  <w:footnote w:id="2">
    <w:p w14:paraId="27CA401A" w14:textId="1748A1B6" w:rsidR="00967912" w:rsidRPr="00724504" w:rsidRDefault="00967912" w:rsidP="00724504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24504">
        <w:rPr>
          <w:rStyle w:val="FootnoteReference"/>
          <w:rFonts w:ascii="Baskerville" w:hAnsi="Baskerville"/>
          <w:sz w:val="20"/>
          <w:szCs w:val="20"/>
        </w:rPr>
        <w:footnoteRef/>
      </w:r>
      <w:r w:rsidRPr="0072450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Ibid. </w:t>
      </w:r>
    </w:p>
  </w:footnote>
  <w:footnote w:id="3">
    <w:p w14:paraId="0F4B33EC" w14:textId="11119384" w:rsidR="00967912" w:rsidRPr="00155D39" w:rsidRDefault="00967912" w:rsidP="00ED2EF7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1454E">
        <w:rPr>
          <w:rStyle w:val="FootnoteReference"/>
          <w:rFonts w:ascii="Baskerville" w:hAnsi="Baskerville"/>
          <w:sz w:val="20"/>
          <w:szCs w:val="20"/>
        </w:rPr>
        <w:footnoteRef/>
      </w:r>
      <w:r w:rsidRPr="0071454E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Judge </w:t>
      </w:r>
      <w:r w:rsidRPr="00ED2EF7">
        <w:rPr>
          <w:rFonts w:ascii="Baskerville" w:hAnsi="Baskerville"/>
          <w:sz w:val="20"/>
          <w:szCs w:val="20"/>
          <w:lang w:val="en-US"/>
        </w:rPr>
        <w:t>C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ED2EF7">
        <w:rPr>
          <w:rFonts w:ascii="Baskerville" w:hAnsi="Baskerville"/>
          <w:sz w:val="20"/>
          <w:szCs w:val="20"/>
          <w:lang w:val="en-US"/>
        </w:rPr>
        <w:t xml:space="preserve"> Greenwood</w:t>
      </w:r>
      <w:r>
        <w:rPr>
          <w:rFonts w:ascii="Baskerville" w:hAnsi="Baskerville"/>
          <w:sz w:val="20"/>
          <w:szCs w:val="20"/>
          <w:lang w:val="en-US"/>
        </w:rPr>
        <w:t xml:space="preserve"> (ICJ)</w:t>
      </w:r>
      <w:r w:rsidRPr="00ED2EF7">
        <w:rPr>
          <w:rFonts w:ascii="Baskerville" w:hAnsi="Baskerville"/>
          <w:sz w:val="20"/>
          <w:szCs w:val="20"/>
          <w:lang w:val="en-US"/>
        </w:rPr>
        <w:t>, ‘</w:t>
      </w:r>
      <w:r>
        <w:rPr>
          <w:rFonts w:ascii="Baskerville" w:hAnsi="Baskerville"/>
          <w:sz w:val="20"/>
          <w:szCs w:val="20"/>
          <w:lang w:val="en-US"/>
        </w:rPr>
        <w:t xml:space="preserve">The </w:t>
      </w:r>
      <w:r w:rsidRPr="00ED2EF7">
        <w:rPr>
          <w:rFonts w:ascii="Baskerville" w:hAnsi="Baskerville"/>
          <w:sz w:val="20"/>
          <w:szCs w:val="20"/>
          <w:lang w:val="en-US"/>
        </w:rPr>
        <w:t>Sources of International Law’</w:t>
      </w:r>
      <w:r>
        <w:rPr>
          <w:rFonts w:ascii="Baskerville" w:hAnsi="Baskerville"/>
          <w:sz w:val="20"/>
          <w:szCs w:val="20"/>
          <w:lang w:val="en-US"/>
        </w:rPr>
        <w:t xml:space="preserve">, </w:t>
      </w:r>
      <w:r>
        <w:rPr>
          <w:rFonts w:ascii="Baskerville" w:hAnsi="Baskerville"/>
          <w:i/>
          <w:sz w:val="20"/>
          <w:szCs w:val="20"/>
          <w:lang w:val="en-US"/>
        </w:rPr>
        <w:t xml:space="preserve">UN Web TV </w:t>
      </w:r>
      <w:r>
        <w:rPr>
          <w:rFonts w:ascii="Baskerville" w:hAnsi="Baskerville"/>
          <w:sz w:val="20"/>
          <w:szCs w:val="20"/>
          <w:lang w:val="en-US"/>
        </w:rPr>
        <w:t>(28/1/2008)</w:t>
      </w:r>
    </w:p>
    <w:p w14:paraId="46333752" w14:textId="57A54966" w:rsidR="00967912" w:rsidRPr="0071454E" w:rsidRDefault="00967912" w:rsidP="00ED2EF7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ED2EF7">
        <w:rPr>
          <w:rFonts w:ascii="Baskerville" w:hAnsi="Baskerville"/>
          <w:sz w:val="20"/>
          <w:szCs w:val="20"/>
          <w:lang w:val="en-US"/>
        </w:rPr>
        <w:t> &lt;</w:t>
      </w:r>
      <w:r w:rsidRPr="000A0BF0">
        <w:t xml:space="preserve"> </w:t>
      </w:r>
      <w:r w:rsidRPr="000A0BF0">
        <w:rPr>
          <w:rFonts w:ascii="Baskerville" w:hAnsi="Baskerville"/>
          <w:sz w:val="20"/>
          <w:szCs w:val="20"/>
          <w:lang w:val="en-US"/>
        </w:rPr>
        <w:t>http://webtv.un.org/news-features/audiovisual-library-of-international-law-avl/watch/judge-greenwood-icj-on-the-sources-of-international-law/2622924798001</w:t>
      </w:r>
      <w:r w:rsidRPr="00ED2EF7">
        <w:rPr>
          <w:rFonts w:ascii="Baskerville" w:hAnsi="Baskerville"/>
          <w:sz w:val="20"/>
          <w:szCs w:val="20"/>
          <w:lang w:val="en-US"/>
        </w:rPr>
        <w:t xml:space="preserve">&gt; </w:t>
      </w:r>
      <w:r>
        <w:rPr>
          <w:rFonts w:ascii="Baskerville" w:hAnsi="Baskerville"/>
          <w:sz w:val="20"/>
          <w:szCs w:val="20"/>
          <w:lang w:val="en-US"/>
        </w:rPr>
        <w:t xml:space="preserve">Date </w:t>
      </w:r>
      <w:r w:rsidRPr="00ED2EF7">
        <w:rPr>
          <w:rFonts w:ascii="Baskerville" w:hAnsi="Baskerville"/>
          <w:sz w:val="20"/>
          <w:szCs w:val="20"/>
          <w:lang w:val="en-US"/>
        </w:rPr>
        <w:t>accessed</w:t>
      </w:r>
      <w:r>
        <w:rPr>
          <w:rFonts w:ascii="Baskerville" w:hAnsi="Baskerville"/>
          <w:sz w:val="20"/>
          <w:szCs w:val="20"/>
          <w:lang w:val="en-US"/>
        </w:rPr>
        <w:t xml:space="preserve">: 14 </w:t>
      </w:r>
      <w:r w:rsidRPr="00ED2EF7">
        <w:rPr>
          <w:rFonts w:ascii="Baskerville" w:hAnsi="Baskerville"/>
          <w:sz w:val="20"/>
          <w:szCs w:val="20"/>
          <w:lang w:val="en-US"/>
        </w:rPr>
        <w:t>January 2016</w:t>
      </w:r>
      <w:r>
        <w:rPr>
          <w:rFonts w:ascii="Baskerville" w:hAnsi="Baskerville"/>
          <w:sz w:val="20"/>
          <w:szCs w:val="20"/>
          <w:lang w:val="en-US"/>
        </w:rPr>
        <w:t>.</w:t>
      </w:r>
    </w:p>
  </w:footnote>
  <w:footnote w:id="4">
    <w:p w14:paraId="3A6C9BA4" w14:textId="699A1C1B" w:rsidR="00967912" w:rsidRPr="00222554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222554">
        <w:rPr>
          <w:rStyle w:val="FootnoteReference"/>
          <w:rFonts w:ascii="Baskerville" w:hAnsi="Baskerville"/>
          <w:sz w:val="20"/>
          <w:szCs w:val="20"/>
        </w:rPr>
        <w:footnoteRef/>
      </w:r>
      <w:r w:rsidRPr="0022255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M. N. </w:t>
      </w:r>
      <w:r>
        <w:rPr>
          <w:rFonts w:ascii="Baskerville" w:hAnsi="Baskerville"/>
          <w:sz w:val="20"/>
          <w:szCs w:val="20"/>
          <w:lang w:val="en-US"/>
        </w:rPr>
        <w:t xml:space="preserve">Shaw, </w:t>
      </w:r>
      <w:r>
        <w:rPr>
          <w:rFonts w:ascii="Baskerville" w:hAnsi="Baskerville"/>
          <w:i/>
          <w:sz w:val="20"/>
          <w:szCs w:val="20"/>
          <w:lang w:val="en-US"/>
        </w:rPr>
        <w:t>International L</w:t>
      </w:r>
      <w:r w:rsidRPr="001573F3">
        <w:rPr>
          <w:rFonts w:ascii="Baskerville" w:hAnsi="Baskerville"/>
          <w:i/>
          <w:sz w:val="20"/>
          <w:szCs w:val="20"/>
          <w:lang w:val="en-US"/>
        </w:rPr>
        <w:t>aw</w:t>
      </w:r>
      <w:r>
        <w:rPr>
          <w:rFonts w:ascii="Baskerville" w:hAnsi="Baskerville"/>
          <w:sz w:val="20"/>
          <w:szCs w:val="20"/>
          <w:lang w:val="en-US"/>
        </w:rPr>
        <w:t xml:space="preserve"> (4th edn,</w:t>
      </w:r>
      <w:r w:rsidRPr="00222554">
        <w:rPr>
          <w:rFonts w:ascii="Baskerville" w:hAnsi="Baskerville"/>
          <w:sz w:val="20"/>
          <w:szCs w:val="20"/>
          <w:lang w:val="en-US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>CUP 1997), p 55; I. Brownlie</w:t>
      </w:r>
      <w:r w:rsidRPr="00BA222B">
        <w:rPr>
          <w:rFonts w:ascii="Baskerville" w:hAnsi="Baskerville"/>
          <w:sz w:val="20"/>
          <w:szCs w:val="20"/>
          <w:lang w:val="en-US"/>
        </w:rPr>
        <w:t xml:space="preserve">, </w:t>
      </w:r>
      <w:r w:rsidRPr="00BA222B">
        <w:rPr>
          <w:rFonts w:ascii="Baskerville" w:hAnsi="Baskerville"/>
          <w:i/>
          <w:sz w:val="20"/>
          <w:szCs w:val="20"/>
          <w:lang w:val="en-US"/>
        </w:rPr>
        <w:t>Principles of Public International Law</w:t>
      </w:r>
      <w:r w:rsidRPr="00BA222B">
        <w:rPr>
          <w:rFonts w:ascii="Baskerville" w:hAnsi="Baskerville"/>
          <w:sz w:val="20"/>
          <w:szCs w:val="20"/>
          <w:lang w:val="en-US"/>
        </w:rPr>
        <w:t xml:space="preserve"> (4th edn, </w:t>
      </w:r>
      <w:r>
        <w:rPr>
          <w:rFonts w:ascii="Baskerville" w:hAnsi="Baskerville"/>
          <w:sz w:val="20"/>
          <w:szCs w:val="20"/>
          <w:lang w:val="en-US"/>
        </w:rPr>
        <w:t>OUP</w:t>
      </w:r>
      <w:r w:rsidRPr="00BA222B">
        <w:rPr>
          <w:rFonts w:ascii="Baskerville" w:hAnsi="Baskerville"/>
          <w:sz w:val="20"/>
          <w:szCs w:val="20"/>
          <w:lang w:val="en-US"/>
        </w:rPr>
        <w:t xml:space="preserve"> 1990)</w:t>
      </w:r>
      <w:r>
        <w:rPr>
          <w:rFonts w:ascii="Baskerville" w:hAnsi="Baskerville"/>
          <w:sz w:val="20"/>
          <w:szCs w:val="20"/>
          <w:lang w:val="en-US"/>
        </w:rPr>
        <w:t>, p 3.</w:t>
      </w:r>
    </w:p>
  </w:footnote>
  <w:footnote w:id="5">
    <w:p w14:paraId="258B19EA" w14:textId="53EA9B49" w:rsidR="00967912" w:rsidRPr="008B6281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8B6281">
        <w:rPr>
          <w:rStyle w:val="FootnoteReference"/>
          <w:rFonts w:ascii="Baskerville" w:hAnsi="Baskerville"/>
          <w:sz w:val="20"/>
          <w:szCs w:val="20"/>
        </w:rPr>
        <w:footnoteRef/>
      </w:r>
      <w:r w:rsidRPr="008B6281">
        <w:rPr>
          <w:rFonts w:ascii="Baskerville" w:hAnsi="Baskerville"/>
          <w:sz w:val="20"/>
          <w:szCs w:val="20"/>
        </w:rPr>
        <w:t xml:space="preserve"> </w:t>
      </w:r>
      <w:r w:rsidRPr="008B6281">
        <w:rPr>
          <w:rFonts w:ascii="Baskerville" w:hAnsi="Baskerville"/>
          <w:sz w:val="20"/>
          <w:szCs w:val="20"/>
          <w:lang w:val="en-US"/>
        </w:rPr>
        <w:t>Statute of the Inter</w:t>
      </w:r>
      <w:r>
        <w:rPr>
          <w:rFonts w:ascii="Baskerville" w:hAnsi="Baskerville"/>
          <w:sz w:val="20"/>
          <w:szCs w:val="20"/>
          <w:lang w:val="en-US"/>
        </w:rPr>
        <w:t>national Court of Justice [ICJ],</w:t>
      </w:r>
      <w:r w:rsidRPr="008B6281">
        <w:rPr>
          <w:rFonts w:ascii="Baskerville" w:hAnsi="Baskerville"/>
          <w:sz w:val="20"/>
          <w:szCs w:val="20"/>
          <w:lang w:val="en-US"/>
        </w:rPr>
        <w:t xml:space="preserve"> Art. 38.  </w:t>
      </w:r>
    </w:p>
  </w:footnote>
  <w:footnote w:id="6">
    <w:p w14:paraId="0A335355" w14:textId="77777777" w:rsidR="00967912" w:rsidRPr="00453223" w:rsidRDefault="00967912" w:rsidP="00480238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53223">
        <w:rPr>
          <w:rStyle w:val="FootnoteReference"/>
          <w:rFonts w:ascii="Baskerville" w:hAnsi="Baskerville"/>
          <w:sz w:val="20"/>
          <w:szCs w:val="20"/>
        </w:rPr>
        <w:footnoteRef/>
      </w:r>
      <w:r w:rsidRPr="00453223">
        <w:rPr>
          <w:rFonts w:ascii="Baskerville" w:hAnsi="Baskerville"/>
          <w:sz w:val="20"/>
          <w:szCs w:val="20"/>
        </w:rPr>
        <w:t xml:space="preserve"> 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M. Mendelson, ‘The International Court of Justice and the Sources of International Law’ in V. Lowe &amp; M. Fitzmaurice (eds.), </w:t>
      </w:r>
      <w:r w:rsidRPr="00453223">
        <w:rPr>
          <w:rFonts w:ascii="Baskerville" w:hAnsi="Baskerville"/>
          <w:i/>
          <w:iCs/>
          <w:sz w:val="20"/>
          <w:szCs w:val="20"/>
          <w:lang w:val="en-US"/>
        </w:rPr>
        <w:t>Fifty Years of the International Court of Justice</w:t>
      </w:r>
      <w:r w:rsidRPr="00453223">
        <w:rPr>
          <w:rFonts w:ascii="Baskerville" w:hAnsi="Baskerville"/>
          <w:sz w:val="20"/>
          <w:szCs w:val="20"/>
          <w:lang w:val="en-US"/>
        </w:rPr>
        <w:t>, 1996, 63-89.</w:t>
      </w:r>
    </w:p>
  </w:footnote>
  <w:footnote w:id="7">
    <w:p w14:paraId="6E1095EE" w14:textId="77777777" w:rsidR="00967912" w:rsidRPr="00453223" w:rsidRDefault="00967912" w:rsidP="00480238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53223">
        <w:rPr>
          <w:rStyle w:val="FootnoteReference"/>
          <w:rFonts w:ascii="Baskerville" w:hAnsi="Baskerville"/>
          <w:sz w:val="20"/>
          <w:szCs w:val="20"/>
        </w:rPr>
        <w:footnoteRef/>
      </w:r>
      <w:r w:rsidRPr="00453223">
        <w:rPr>
          <w:rFonts w:ascii="Baskerville" w:hAnsi="Baskerville"/>
          <w:sz w:val="20"/>
          <w:szCs w:val="20"/>
        </w:rPr>
        <w:t xml:space="preserve"> </w:t>
      </w:r>
      <w:r w:rsidRPr="00453223">
        <w:rPr>
          <w:rFonts w:ascii="Baskerville" w:hAnsi="Baskerville"/>
          <w:sz w:val="20"/>
          <w:szCs w:val="20"/>
          <w:lang w:val="en-US"/>
        </w:rPr>
        <w:t>C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 De Visscher</w:t>
      </w:r>
      <w:r>
        <w:rPr>
          <w:rFonts w:ascii="Baskerville" w:hAnsi="Baskerville"/>
          <w:sz w:val="20"/>
          <w:szCs w:val="20"/>
          <w:lang w:val="en-US"/>
        </w:rPr>
        <w:t>,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 </w:t>
      </w:r>
      <w:r w:rsidRPr="00453223">
        <w:rPr>
          <w:rFonts w:ascii="Baskerville" w:hAnsi="Baskerville"/>
          <w:i/>
          <w:iCs/>
          <w:sz w:val="20"/>
          <w:szCs w:val="20"/>
          <w:lang w:val="en-US"/>
        </w:rPr>
        <w:t xml:space="preserve">De l’equite dans le reglement arbitral ou judicaire des litiges de droit international public, </w:t>
      </w:r>
      <w:r w:rsidRPr="00453223">
        <w:rPr>
          <w:rFonts w:ascii="Baskerville" w:hAnsi="Baskerville"/>
          <w:sz w:val="20"/>
          <w:szCs w:val="20"/>
          <w:lang w:val="en-US"/>
        </w:rPr>
        <w:t>Paris 1972, pp</w:t>
      </w:r>
      <w:r>
        <w:rPr>
          <w:rFonts w:ascii="Baskerville" w:hAnsi="Baskerville"/>
          <w:sz w:val="20"/>
          <w:szCs w:val="20"/>
          <w:lang w:val="en-US"/>
        </w:rPr>
        <w:t>.</w:t>
      </w:r>
      <w:r w:rsidRPr="00453223">
        <w:rPr>
          <w:rFonts w:ascii="Baskerville" w:hAnsi="Baskerville"/>
          <w:sz w:val="20"/>
          <w:szCs w:val="20"/>
          <w:lang w:val="en-US"/>
        </w:rPr>
        <w:t xml:space="preserve"> 17-26.</w:t>
      </w:r>
    </w:p>
  </w:footnote>
  <w:footnote w:id="8">
    <w:p w14:paraId="67E7316C" w14:textId="77777777" w:rsidR="00967912" w:rsidRPr="003E3299" w:rsidRDefault="00967912" w:rsidP="002210F0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3E3299">
        <w:rPr>
          <w:rStyle w:val="FootnoteReference"/>
          <w:rFonts w:ascii="Baskerville" w:hAnsi="Baskerville"/>
          <w:sz w:val="20"/>
          <w:szCs w:val="20"/>
        </w:rPr>
        <w:footnoteRef/>
      </w:r>
      <w:r w:rsidRPr="003E3299">
        <w:rPr>
          <w:rFonts w:ascii="Baskerville" w:hAnsi="Baskerville"/>
          <w:sz w:val="20"/>
          <w:szCs w:val="20"/>
        </w:rPr>
        <w:t xml:space="preserve"> </w:t>
      </w:r>
      <w:r w:rsidRPr="00DB6103">
        <w:rPr>
          <w:rFonts w:ascii="Baskerville" w:hAnsi="Baskerville"/>
          <w:sz w:val="20"/>
          <w:szCs w:val="20"/>
          <w:lang w:val="en-US"/>
        </w:rPr>
        <w:t xml:space="preserve">B. Thompson, </w:t>
      </w:r>
      <w:r w:rsidRPr="00DB6103">
        <w:rPr>
          <w:rFonts w:ascii="Baskerville" w:hAnsi="Baskerville"/>
          <w:i/>
          <w:iCs/>
          <w:sz w:val="20"/>
          <w:szCs w:val="20"/>
          <w:lang w:val="en-US"/>
        </w:rPr>
        <w:t>Universal Jurisdiction: The Sierra Leone Profile</w:t>
      </w:r>
      <w:r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(TMC Asser Press 2015)</w:t>
      </w:r>
      <w:r>
        <w:rPr>
          <w:rFonts w:ascii="Baskerville" w:hAnsi="Baskerville"/>
          <w:sz w:val="20"/>
          <w:szCs w:val="20"/>
        </w:rPr>
        <w:t xml:space="preserve">, p 10. </w:t>
      </w:r>
    </w:p>
  </w:footnote>
  <w:footnote w:id="9">
    <w:p w14:paraId="7938FC67" w14:textId="77777777" w:rsidR="00967912" w:rsidRPr="00054BF9" w:rsidRDefault="00967912" w:rsidP="0049746B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054BF9">
        <w:rPr>
          <w:rStyle w:val="FootnoteReference"/>
          <w:rFonts w:ascii="Baskerville" w:hAnsi="Baskerville"/>
          <w:sz w:val="20"/>
          <w:szCs w:val="20"/>
        </w:rPr>
        <w:footnoteRef/>
      </w:r>
      <w:r w:rsidRPr="00054BF9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R. Kolb, </w:t>
      </w:r>
      <w:r>
        <w:rPr>
          <w:rFonts w:ascii="Baskerville" w:hAnsi="Baskerville"/>
          <w:i/>
          <w:sz w:val="20"/>
          <w:szCs w:val="20"/>
        </w:rPr>
        <w:t xml:space="preserve">The International Court of Justice </w:t>
      </w:r>
      <w:r>
        <w:rPr>
          <w:rFonts w:ascii="Baskerville" w:hAnsi="Baskerville"/>
          <w:sz w:val="20"/>
          <w:szCs w:val="20"/>
        </w:rPr>
        <w:t>(Oxford: Hart Publishing Ltd. 2013), p 341.</w:t>
      </w:r>
    </w:p>
  </w:footnote>
  <w:footnote w:id="10">
    <w:p w14:paraId="1A37E153" w14:textId="70D22605" w:rsidR="00967912" w:rsidRPr="00C915D8" w:rsidRDefault="00967912" w:rsidP="0049746B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140493">
        <w:rPr>
          <w:rStyle w:val="FootnoteReference"/>
          <w:rFonts w:ascii="Baskerville" w:hAnsi="Baskerville"/>
          <w:sz w:val="20"/>
          <w:szCs w:val="20"/>
        </w:rPr>
        <w:footnoteRef/>
      </w:r>
      <w:r w:rsidRPr="00140493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C. W. Jenks, </w:t>
      </w:r>
      <w:r>
        <w:rPr>
          <w:rFonts w:ascii="Baskerville" w:hAnsi="Baskerville"/>
          <w:i/>
          <w:sz w:val="20"/>
          <w:szCs w:val="20"/>
        </w:rPr>
        <w:t xml:space="preserve">The Prospects of International Adjudication </w:t>
      </w:r>
      <w:r>
        <w:rPr>
          <w:rFonts w:ascii="Baskerville" w:hAnsi="Baskerville"/>
          <w:sz w:val="20"/>
          <w:szCs w:val="20"/>
        </w:rPr>
        <w:t xml:space="preserve">(London/New York: </w:t>
      </w:r>
      <w:r w:rsidRPr="001748E7">
        <w:rPr>
          <w:rFonts w:ascii="Baskerville" w:hAnsi="Baskerville"/>
          <w:sz w:val="20"/>
          <w:szCs w:val="20"/>
        </w:rPr>
        <w:t xml:space="preserve">Stevens &amp; Sons Ltd. and Oceana Publications </w:t>
      </w:r>
      <w:r>
        <w:rPr>
          <w:rFonts w:ascii="Baskerville" w:hAnsi="Baskerville"/>
          <w:sz w:val="20"/>
          <w:szCs w:val="20"/>
        </w:rPr>
        <w:t>1964), at 605.</w:t>
      </w:r>
    </w:p>
  </w:footnote>
  <w:footnote w:id="11">
    <w:p w14:paraId="05BF8F87" w14:textId="4FD5319A" w:rsidR="00967912" w:rsidRPr="00E64D70" w:rsidRDefault="00967912" w:rsidP="009325AD">
      <w:pPr>
        <w:pStyle w:val="FootnoteText"/>
        <w:rPr>
          <w:rFonts w:ascii="Baskerville" w:hAnsi="Baskerville"/>
          <w:sz w:val="20"/>
          <w:szCs w:val="20"/>
        </w:rPr>
      </w:pPr>
      <w:r w:rsidRPr="00C51BD4">
        <w:rPr>
          <w:rStyle w:val="FootnoteReference"/>
          <w:rFonts w:ascii="Baskerville" w:hAnsi="Baskerville"/>
          <w:sz w:val="20"/>
          <w:szCs w:val="20"/>
        </w:rPr>
        <w:footnoteRef/>
      </w:r>
      <w:r w:rsidRPr="00C51BD4">
        <w:rPr>
          <w:rFonts w:ascii="Baskerville" w:hAnsi="Baskerville"/>
          <w:sz w:val="20"/>
          <w:szCs w:val="20"/>
        </w:rPr>
        <w:t xml:space="preserve"> Pathak calls it the ‘</w:t>
      </w:r>
      <w:r w:rsidRPr="00C51BD4">
        <w:rPr>
          <w:rFonts w:ascii="Baskerville" w:hAnsi="Baskerville"/>
          <w:iCs/>
          <w:sz w:val="20"/>
          <w:szCs w:val="20"/>
        </w:rPr>
        <w:t>repository</w:t>
      </w:r>
      <w:r w:rsidRPr="00C51BD4">
        <w:rPr>
          <w:rFonts w:ascii="Baskerville" w:hAnsi="Baskerville"/>
          <w:i/>
          <w:iCs/>
          <w:sz w:val="20"/>
          <w:szCs w:val="20"/>
        </w:rPr>
        <w:t xml:space="preserve"> </w:t>
      </w:r>
      <w:r w:rsidRPr="00C51BD4">
        <w:rPr>
          <w:rFonts w:ascii="Baskerville" w:hAnsi="Baskerville"/>
          <w:sz w:val="20"/>
          <w:szCs w:val="20"/>
        </w:rPr>
        <w:t>of those sources’.</w:t>
      </w:r>
      <w:r w:rsidRPr="00AB53E4">
        <w:rPr>
          <w:rFonts w:ascii="Baskerville" w:hAnsi="Baskerville"/>
          <w:sz w:val="20"/>
          <w:szCs w:val="20"/>
        </w:rPr>
        <w:t xml:space="preserve"> </w:t>
      </w:r>
      <w:r w:rsidRPr="00D84555">
        <w:rPr>
          <w:rFonts w:ascii="Baskerville" w:hAnsi="Baskerville"/>
          <w:sz w:val="20"/>
          <w:szCs w:val="20"/>
        </w:rPr>
        <w:t>R. S.</w:t>
      </w:r>
      <w:r w:rsidRPr="0095031D">
        <w:rPr>
          <w:rFonts w:ascii="Baskerville" w:hAnsi="Baskerville"/>
          <w:color w:val="FF0000"/>
          <w:sz w:val="20"/>
          <w:szCs w:val="20"/>
        </w:rPr>
        <w:t xml:space="preserve"> </w:t>
      </w:r>
      <w:r w:rsidRPr="00AB53E4">
        <w:rPr>
          <w:rFonts w:ascii="Baskerville" w:hAnsi="Baskerville"/>
          <w:sz w:val="20"/>
          <w:szCs w:val="20"/>
        </w:rPr>
        <w:t>Pathak</w:t>
      </w:r>
      <w:r>
        <w:rPr>
          <w:rFonts w:ascii="Baskerville" w:hAnsi="Baskerville"/>
          <w:sz w:val="20"/>
          <w:szCs w:val="20"/>
        </w:rPr>
        <w:t xml:space="preserve">, </w:t>
      </w:r>
      <w:r w:rsidRPr="00E64D70">
        <w:rPr>
          <w:rFonts w:ascii="Baskerville" w:hAnsi="Baskerville"/>
          <w:sz w:val="20"/>
          <w:szCs w:val="20"/>
        </w:rPr>
        <w:t xml:space="preserve">‘The General Theory of the Sources of Contemporary International Law’, 19 </w:t>
      </w:r>
      <w:r w:rsidRPr="00E64D70">
        <w:rPr>
          <w:rFonts w:ascii="Baskerville" w:hAnsi="Baskerville"/>
          <w:i/>
          <w:iCs/>
          <w:sz w:val="20"/>
          <w:szCs w:val="20"/>
        </w:rPr>
        <w:t xml:space="preserve">Indian Journal of International Law </w:t>
      </w:r>
      <w:r w:rsidRPr="00E64D70">
        <w:rPr>
          <w:rFonts w:ascii="Baskerville" w:hAnsi="Baskerville"/>
          <w:sz w:val="20"/>
          <w:szCs w:val="20"/>
        </w:rPr>
        <w:t xml:space="preserve">(1979) 483, at 484. </w:t>
      </w:r>
    </w:p>
    <w:p w14:paraId="20F1EA70" w14:textId="0AEDC4F1" w:rsidR="00967912" w:rsidRPr="00AB53E4" w:rsidRDefault="00967912" w:rsidP="009325AD">
      <w:pPr>
        <w:pStyle w:val="FootnoteText"/>
        <w:rPr>
          <w:rFonts w:ascii="Baskerville" w:hAnsi="Baskerville"/>
          <w:sz w:val="20"/>
          <w:szCs w:val="20"/>
        </w:rPr>
      </w:pPr>
      <w:r>
        <w:rPr>
          <w:rFonts w:ascii="Baskerville" w:hAnsi="Baskerville"/>
          <w:sz w:val="20"/>
          <w:szCs w:val="20"/>
        </w:rPr>
        <w:t xml:space="preserve"> (Emphasis added) ‘… </w:t>
      </w:r>
      <w:r w:rsidRPr="00AB53E4">
        <w:rPr>
          <w:rFonts w:ascii="Baskerville" w:hAnsi="Baskerville"/>
          <w:sz w:val="20"/>
          <w:szCs w:val="20"/>
        </w:rPr>
        <w:t xml:space="preserve">is at present incorporated into treaty law by Art. 38’, </w:t>
      </w:r>
      <w:r>
        <w:rPr>
          <w:rFonts w:ascii="Baskerville" w:hAnsi="Baskerville"/>
          <w:sz w:val="20"/>
          <w:szCs w:val="20"/>
        </w:rPr>
        <w:t xml:space="preserve">G. M. </w:t>
      </w:r>
      <w:r w:rsidRPr="00AB53E4">
        <w:rPr>
          <w:rFonts w:ascii="Baskerville" w:hAnsi="Baskerville"/>
          <w:sz w:val="20"/>
          <w:szCs w:val="20"/>
        </w:rPr>
        <w:t>Danilenko</w:t>
      </w:r>
      <w:r>
        <w:rPr>
          <w:rFonts w:ascii="Baskerville" w:hAnsi="Baskerville"/>
          <w:sz w:val="20"/>
          <w:szCs w:val="20"/>
        </w:rPr>
        <w:t xml:space="preserve">, </w:t>
      </w:r>
      <w:r w:rsidRPr="00AB53E4">
        <w:rPr>
          <w:rFonts w:ascii="Baskerville" w:hAnsi="Baskerville"/>
          <w:sz w:val="20"/>
          <w:szCs w:val="20"/>
        </w:rPr>
        <w:t xml:space="preserve">‘The Theory of International Customary Law’, 31 </w:t>
      </w:r>
      <w:r w:rsidRPr="00AB53E4">
        <w:rPr>
          <w:rFonts w:ascii="Baskerville" w:hAnsi="Baskerville"/>
          <w:i/>
          <w:iCs/>
          <w:sz w:val="20"/>
          <w:szCs w:val="20"/>
        </w:rPr>
        <w:t xml:space="preserve">German Yearbook of International Law </w:t>
      </w:r>
      <w:r>
        <w:rPr>
          <w:rFonts w:ascii="Baskerville" w:hAnsi="Baskerville"/>
          <w:sz w:val="20"/>
          <w:szCs w:val="20"/>
        </w:rPr>
        <w:t>(1988) 9</w:t>
      </w:r>
      <w:r w:rsidRPr="00AB53E4">
        <w:rPr>
          <w:rFonts w:ascii="Baskerville" w:hAnsi="Baskerville"/>
          <w:sz w:val="20"/>
          <w:szCs w:val="20"/>
        </w:rPr>
        <w:t xml:space="preserve">, at 17. </w:t>
      </w:r>
    </w:p>
  </w:footnote>
  <w:footnote w:id="12">
    <w:p w14:paraId="3BD8E5E4" w14:textId="47F07750" w:rsidR="00967912" w:rsidRPr="00AB53E4" w:rsidRDefault="00967912" w:rsidP="009325AD">
      <w:pPr>
        <w:pStyle w:val="FootnoteText"/>
        <w:rPr>
          <w:rFonts w:ascii="Baskerville" w:hAnsi="Baskerville"/>
          <w:sz w:val="20"/>
          <w:szCs w:val="20"/>
        </w:rPr>
      </w:pPr>
      <w:r w:rsidRPr="006B072E">
        <w:rPr>
          <w:rStyle w:val="FootnoteReference"/>
          <w:rFonts w:ascii="Baskerville" w:hAnsi="Baskerville"/>
          <w:sz w:val="20"/>
          <w:szCs w:val="20"/>
        </w:rPr>
        <w:footnoteRef/>
      </w:r>
      <w:r w:rsidRPr="006B072E">
        <w:rPr>
          <w:rFonts w:ascii="Baskerville" w:hAnsi="Baskerville"/>
          <w:sz w:val="20"/>
          <w:szCs w:val="20"/>
        </w:rPr>
        <w:t xml:space="preserve"> ‘Nowhere it is laid down that the list in Article 38 is exhaustive, hence it is possible to have other sources of law...’</w:t>
      </w:r>
      <w:r w:rsidRPr="00AB53E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P. K. </w:t>
      </w:r>
      <w:r w:rsidRPr="00AB53E4">
        <w:rPr>
          <w:rFonts w:ascii="Baskerville" w:hAnsi="Baskerville"/>
          <w:sz w:val="20"/>
          <w:szCs w:val="20"/>
        </w:rPr>
        <w:t xml:space="preserve">Menon, ‘An Enquiry into the Sources of Modern International Law’, 64 </w:t>
      </w:r>
      <w:r w:rsidRPr="00AB53E4">
        <w:rPr>
          <w:rFonts w:ascii="Baskerville" w:hAnsi="Baskerville"/>
          <w:i/>
          <w:iCs/>
          <w:sz w:val="20"/>
          <w:szCs w:val="20"/>
        </w:rPr>
        <w:t xml:space="preserve">Revue de Droit International, de Sciences Diplomatiques et Politiques </w:t>
      </w:r>
      <w:r w:rsidRPr="00AB53E4">
        <w:rPr>
          <w:rFonts w:ascii="Baskerville" w:hAnsi="Baskerville"/>
          <w:sz w:val="20"/>
          <w:szCs w:val="20"/>
        </w:rPr>
        <w:t>(</w:t>
      </w:r>
      <w:r w:rsidRPr="00CB5667">
        <w:rPr>
          <w:rFonts w:ascii="Baskerville" w:hAnsi="Baskerville"/>
          <w:sz w:val="20"/>
          <w:szCs w:val="20"/>
        </w:rPr>
        <w:t>1</w:t>
      </w:r>
      <w:r w:rsidRPr="00AB53E4">
        <w:rPr>
          <w:rFonts w:ascii="Baskerville" w:hAnsi="Baskerville"/>
          <w:sz w:val="20"/>
          <w:szCs w:val="20"/>
        </w:rPr>
        <w:t xml:space="preserve">986) 181, at 182. </w:t>
      </w:r>
    </w:p>
  </w:footnote>
  <w:footnote w:id="13">
    <w:p w14:paraId="0AF839A4" w14:textId="14F6BCDD" w:rsidR="00967912" w:rsidRPr="00DB6103" w:rsidRDefault="00967912" w:rsidP="009325AD">
      <w:pPr>
        <w:pStyle w:val="FootnoteText"/>
        <w:rPr>
          <w:rFonts w:ascii="Baskerville" w:hAnsi="Baskerville"/>
          <w:sz w:val="20"/>
          <w:szCs w:val="20"/>
        </w:rPr>
      </w:pPr>
      <w:r w:rsidRPr="00AB53E4">
        <w:rPr>
          <w:rStyle w:val="FootnoteReference"/>
          <w:rFonts w:ascii="Baskerville" w:hAnsi="Baskerville"/>
          <w:sz w:val="20"/>
          <w:szCs w:val="20"/>
        </w:rPr>
        <w:footnoteRef/>
      </w:r>
      <w:r w:rsidRPr="00AB53E4">
        <w:rPr>
          <w:rFonts w:ascii="Baskerville" w:hAnsi="Baskerville"/>
          <w:sz w:val="20"/>
          <w:szCs w:val="20"/>
        </w:rPr>
        <w:t xml:space="preserve"> A. Ross, </w:t>
      </w:r>
      <w:r w:rsidRPr="00AB53E4">
        <w:rPr>
          <w:rFonts w:ascii="Baskerville" w:hAnsi="Baskerville"/>
          <w:i/>
          <w:iCs/>
          <w:sz w:val="20"/>
          <w:szCs w:val="20"/>
        </w:rPr>
        <w:t xml:space="preserve">A Textbook of International Law </w:t>
      </w:r>
      <w:r w:rsidRPr="00AB53E4">
        <w:rPr>
          <w:rFonts w:ascii="Baskerville" w:hAnsi="Baskerville"/>
          <w:sz w:val="20"/>
          <w:szCs w:val="20"/>
        </w:rPr>
        <w:t>(</w:t>
      </w:r>
      <w:r w:rsidRPr="004A5D0E">
        <w:rPr>
          <w:rFonts w:ascii="Baskerville" w:hAnsi="Baskerville"/>
          <w:sz w:val="20"/>
          <w:szCs w:val="20"/>
          <w:lang w:val="en-US"/>
        </w:rPr>
        <w:t>London: Longmans, Green &amp; Co.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AB53E4">
        <w:rPr>
          <w:rFonts w:ascii="Baskerville" w:hAnsi="Baskerville"/>
          <w:sz w:val="20"/>
          <w:szCs w:val="20"/>
        </w:rPr>
        <w:t xml:space="preserve">1947), at 83; cited in </w:t>
      </w:r>
      <w:r>
        <w:rPr>
          <w:rFonts w:ascii="Baskerville" w:hAnsi="Baskerville"/>
          <w:sz w:val="20"/>
          <w:szCs w:val="20"/>
        </w:rPr>
        <w:t>G.</w:t>
      </w:r>
      <w:r w:rsidRPr="003E6E4B">
        <w:rPr>
          <w:rFonts w:ascii="Baskerville" w:hAnsi="Baskerville"/>
          <w:sz w:val="20"/>
          <w:szCs w:val="20"/>
        </w:rPr>
        <w:t xml:space="preserve"> Fitzmaurice, ‘Some Problems regarding the Formal Sources of International Law’, in F. M. van Asbeck </w:t>
      </w:r>
      <w:r w:rsidRPr="003E6E4B">
        <w:rPr>
          <w:rFonts w:ascii="Baskerville" w:hAnsi="Baskerville"/>
          <w:i/>
          <w:iCs/>
          <w:sz w:val="20"/>
          <w:szCs w:val="20"/>
        </w:rPr>
        <w:t xml:space="preserve">et al. </w:t>
      </w:r>
      <w:r w:rsidRPr="003E6E4B">
        <w:rPr>
          <w:rFonts w:ascii="Baskerville" w:hAnsi="Baskerville"/>
          <w:sz w:val="20"/>
          <w:szCs w:val="20"/>
        </w:rPr>
        <w:t>(eds</w:t>
      </w:r>
      <w:r>
        <w:rPr>
          <w:rFonts w:ascii="Baskerville" w:hAnsi="Baskerville"/>
          <w:sz w:val="20"/>
          <w:szCs w:val="20"/>
        </w:rPr>
        <w:t>.</w:t>
      </w:r>
      <w:r w:rsidRPr="003E6E4B">
        <w:rPr>
          <w:rFonts w:ascii="Baskerville" w:hAnsi="Baskerville"/>
          <w:sz w:val="20"/>
          <w:szCs w:val="20"/>
        </w:rPr>
        <w:t xml:space="preserve">), </w:t>
      </w:r>
      <w:r w:rsidRPr="003E6E4B">
        <w:rPr>
          <w:rFonts w:ascii="Baskerville" w:hAnsi="Baskerville"/>
          <w:i/>
          <w:iCs/>
          <w:sz w:val="20"/>
          <w:szCs w:val="20"/>
        </w:rPr>
        <w:t xml:space="preserve">Symbolae Verzijl. Présentées au Prof. J. H. W. Verzijl á l’occasion de son LXX-ième anniversaire </w:t>
      </w:r>
      <w:r w:rsidRPr="007E2564">
        <w:rPr>
          <w:rFonts w:ascii="Baskerville" w:hAnsi="Baskerville"/>
          <w:sz w:val="20"/>
          <w:szCs w:val="20"/>
        </w:rPr>
        <w:t>(</w:t>
      </w:r>
      <w:r w:rsidRPr="00C55B91">
        <w:rPr>
          <w:rFonts w:ascii="Baskerville" w:hAnsi="Baskerville"/>
          <w:sz w:val="20"/>
          <w:szCs w:val="20"/>
        </w:rPr>
        <w:t>The Hague: Nijhoff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7E2564">
        <w:rPr>
          <w:rFonts w:ascii="Baskerville" w:hAnsi="Baskerville"/>
          <w:sz w:val="20"/>
          <w:szCs w:val="20"/>
        </w:rPr>
        <w:t>1958) 153, at 173.</w:t>
      </w:r>
    </w:p>
  </w:footnote>
  <w:footnote w:id="14">
    <w:p w14:paraId="306E5583" w14:textId="438251C8" w:rsidR="00967912" w:rsidRPr="00786CCE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786CCE">
        <w:rPr>
          <w:rStyle w:val="FootnoteReference"/>
          <w:rFonts w:ascii="Baskerville" w:hAnsi="Baskerville"/>
          <w:sz w:val="20"/>
          <w:szCs w:val="20"/>
        </w:rPr>
        <w:footnoteRef/>
      </w:r>
      <w:r w:rsidRPr="00786CCE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Ibid.</w:t>
      </w:r>
    </w:p>
  </w:footnote>
  <w:footnote w:id="15">
    <w:p w14:paraId="03DA8CCB" w14:textId="578AD1DC" w:rsidR="00967912" w:rsidRPr="00313705" w:rsidRDefault="00967912">
      <w:pPr>
        <w:pStyle w:val="FootnoteText"/>
        <w:rPr>
          <w:rFonts w:ascii="Baskerville" w:hAnsi="Baskerville"/>
          <w:sz w:val="20"/>
          <w:szCs w:val="20"/>
        </w:rPr>
      </w:pPr>
      <w:r w:rsidRPr="008454A7">
        <w:rPr>
          <w:rStyle w:val="FootnoteReference"/>
          <w:rFonts w:ascii="Baskerville" w:hAnsi="Baskerville"/>
          <w:sz w:val="20"/>
          <w:szCs w:val="20"/>
        </w:rPr>
        <w:footnoteRef/>
      </w:r>
      <w:r w:rsidRPr="008454A7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J. L. Goldsmith &amp; E.</w:t>
      </w:r>
      <w:r w:rsidRPr="00313705">
        <w:rPr>
          <w:rFonts w:ascii="Baskerville" w:hAnsi="Baskerville"/>
          <w:sz w:val="20"/>
          <w:szCs w:val="20"/>
        </w:rPr>
        <w:t xml:space="preserve"> A. Posner</w:t>
      </w:r>
      <w:r>
        <w:rPr>
          <w:rFonts w:ascii="Baskerville" w:hAnsi="Baskerville"/>
          <w:sz w:val="20"/>
          <w:szCs w:val="20"/>
        </w:rPr>
        <w:t xml:space="preserve">, </w:t>
      </w:r>
      <w:r w:rsidRPr="00313705">
        <w:rPr>
          <w:rFonts w:ascii="Baskerville" w:hAnsi="Baskerville"/>
          <w:i/>
          <w:sz w:val="20"/>
          <w:szCs w:val="20"/>
        </w:rPr>
        <w:t>A Theory of Customary International Law</w:t>
      </w:r>
      <w:r>
        <w:rPr>
          <w:rFonts w:ascii="Baskerville" w:hAnsi="Baskerville"/>
          <w:i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(University of Chicago Law Review 1999), p 5.</w:t>
      </w:r>
    </w:p>
  </w:footnote>
  <w:footnote w:id="16">
    <w:p w14:paraId="3A84D54B" w14:textId="1E2447C3" w:rsidR="00967912" w:rsidRPr="00B04869" w:rsidRDefault="00967912" w:rsidP="004073FB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B04869">
        <w:rPr>
          <w:rStyle w:val="FootnoteReference"/>
          <w:rFonts w:ascii="Baskerville" w:hAnsi="Baskerville"/>
          <w:sz w:val="20"/>
          <w:szCs w:val="20"/>
        </w:rPr>
        <w:footnoteRef/>
      </w:r>
      <w:r w:rsidRPr="00B04869">
        <w:rPr>
          <w:rFonts w:ascii="Baskerville" w:hAnsi="Baskerville"/>
          <w:sz w:val="20"/>
          <w:szCs w:val="20"/>
        </w:rPr>
        <w:t xml:space="preserve"> Shaw (n 4), p 12.</w:t>
      </w:r>
    </w:p>
  </w:footnote>
  <w:footnote w:id="17">
    <w:p w14:paraId="5C2E0FAA" w14:textId="39B79D06" w:rsidR="00967912" w:rsidRPr="00862F15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862F15">
        <w:rPr>
          <w:rStyle w:val="FootnoteReference"/>
          <w:rFonts w:ascii="Baskerville" w:hAnsi="Baskerville"/>
          <w:sz w:val="20"/>
          <w:szCs w:val="20"/>
        </w:rPr>
        <w:footnoteRef/>
      </w:r>
      <w:r w:rsidRPr="00862F15">
        <w:rPr>
          <w:rFonts w:ascii="Baskerville" w:hAnsi="Baskerville"/>
          <w:sz w:val="20"/>
          <w:szCs w:val="20"/>
        </w:rPr>
        <w:t xml:space="preserve"> </w:t>
      </w:r>
      <w:r w:rsidRPr="00862F15">
        <w:rPr>
          <w:rFonts w:ascii="Baskerville" w:hAnsi="Baskerville"/>
          <w:i/>
          <w:iCs/>
          <w:sz w:val="20"/>
          <w:szCs w:val="20"/>
          <w:lang w:val="en-US"/>
        </w:rPr>
        <w:t xml:space="preserve">Serdar Mohammad </w:t>
      </w:r>
      <w:r w:rsidRPr="00862F15">
        <w:rPr>
          <w:rFonts w:ascii="Baskerville" w:hAnsi="Baskerville"/>
          <w:iCs/>
          <w:sz w:val="20"/>
          <w:szCs w:val="20"/>
          <w:lang w:val="en-US"/>
        </w:rPr>
        <w:t>v</w:t>
      </w:r>
      <w:r w:rsidRPr="00862F15">
        <w:rPr>
          <w:rFonts w:ascii="Baskerville" w:hAnsi="Baskerville"/>
          <w:i/>
          <w:iCs/>
          <w:sz w:val="20"/>
          <w:szCs w:val="20"/>
          <w:lang w:val="en-US"/>
        </w:rPr>
        <w:t xml:space="preserve"> Secretary of State for Defence</w:t>
      </w:r>
      <w:r w:rsidRPr="00862F15">
        <w:rPr>
          <w:rFonts w:ascii="Baskerville" w:hAnsi="Baskerville"/>
          <w:sz w:val="20"/>
          <w:szCs w:val="20"/>
          <w:lang w:val="en-US"/>
        </w:rPr>
        <w:t xml:space="preserve"> [2015] EWCA Civ 843</w:t>
      </w:r>
      <w:r>
        <w:rPr>
          <w:rFonts w:ascii="Baskerville" w:hAnsi="Baskerville"/>
          <w:sz w:val="20"/>
          <w:szCs w:val="20"/>
          <w:lang w:val="en-US"/>
        </w:rPr>
        <w:t>.</w:t>
      </w:r>
    </w:p>
  </w:footnote>
  <w:footnote w:id="18">
    <w:p w14:paraId="696C1380" w14:textId="0F1C4756" w:rsidR="00967912" w:rsidRPr="00306BBF" w:rsidRDefault="00967912">
      <w:pPr>
        <w:pStyle w:val="FootnoteText"/>
        <w:rPr>
          <w:rFonts w:ascii="Baskerville" w:hAnsi="Baskerville"/>
          <w:sz w:val="20"/>
          <w:szCs w:val="20"/>
        </w:rPr>
      </w:pPr>
      <w:r w:rsidRPr="00306BBF">
        <w:rPr>
          <w:rStyle w:val="FootnoteReference"/>
          <w:rFonts w:ascii="Baskerville" w:hAnsi="Baskerville"/>
          <w:sz w:val="20"/>
          <w:szCs w:val="20"/>
        </w:rPr>
        <w:footnoteRef/>
      </w:r>
      <w:r w:rsidRPr="00306BBF">
        <w:rPr>
          <w:rFonts w:ascii="Baskerville" w:hAnsi="Baskerville"/>
          <w:sz w:val="20"/>
          <w:szCs w:val="20"/>
        </w:rPr>
        <w:t xml:space="preserve"> </w:t>
      </w:r>
      <w:r w:rsidRPr="00306BBF">
        <w:rPr>
          <w:rFonts w:ascii="Baskerville" w:hAnsi="Baskerville"/>
          <w:i/>
          <w:iCs/>
          <w:sz w:val="20"/>
          <w:szCs w:val="20"/>
        </w:rPr>
        <w:t xml:space="preserve">North Sea Continental Shelf </w:t>
      </w:r>
      <w:r w:rsidRPr="00306BBF">
        <w:rPr>
          <w:rFonts w:ascii="Baskerville" w:hAnsi="Baskerville"/>
          <w:i/>
          <w:sz w:val="20"/>
          <w:szCs w:val="20"/>
        </w:rPr>
        <w:t xml:space="preserve">cases </w:t>
      </w:r>
      <w:r w:rsidRPr="00306BBF">
        <w:rPr>
          <w:rFonts w:ascii="Baskerville" w:hAnsi="Baskerville"/>
          <w:sz w:val="20"/>
          <w:szCs w:val="20"/>
        </w:rPr>
        <w:t>(1969) ICJ Rep 3</w:t>
      </w:r>
      <w:r>
        <w:rPr>
          <w:rFonts w:ascii="Baskerville" w:hAnsi="Baskerville"/>
          <w:sz w:val="20"/>
          <w:szCs w:val="20"/>
        </w:rPr>
        <w:t>, at 74.</w:t>
      </w:r>
    </w:p>
  </w:footnote>
  <w:footnote w:id="19">
    <w:p w14:paraId="30EACD07" w14:textId="7CB1607D" w:rsidR="00967912" w:rsidRPr="003A3347" w:rsidRDefault="00967912">
      <w:pPr>
        <w:pStyle w:val="FootnoteText"/>
        <w:rPr>
          <w:rFonts w:ascii="Baskerville" w:hAnsi="Baskerville"/>
          <w:sz w:val="20"/>
          <w:szCs w:val="20"/>
        </w:rPr>
      </w:pPr>
      <w:r w:rsidRPr="00263038">
        <w:rPr>
          <w:rStyle w:val="FootnoteReference"/>
          <w:rFonts w:ascii="Baskerville" w:hAnsi="Baskerville"/>
          <w:sz w:val="20"/>
          <w:szCs w:val="20"/>
        </w:rPr>
        <w:footnoteRef/>
      </w:r>
      <w:r w:rsidRPr="00263038">
        <w:rPr>
          <w:rFonts w:ascii="Baskerville" w:hAnsi="Baskerville"/>
          <w:sz w:val="20"/>
          <w:szCs w:val="20"/>
        </w:rPr>
        <w:t xml:space="preserve"> </w:t>
      </w:r>
      <w:r w:rsidRPr="003A3347">
        <w:rPr>
          <w:rFonts w:ascii="Baskerville" w:hAnsi="Baskerville"/>
          <w:sz w:val="20"/>
          <w:szCs w:val="20"/>
        </w:rPr>
        <w:t xml:space="preserve">A. Verdross and B. Simma, </w:t>
      </w:r>
      <w:r w:rsidRPr="003A3347">
        <w:rPr>
          <w:rFonts w:ascii="Baskerville" w:hAnsi="Baskerville"/>
          <w:i/>
          <w:iCs/>
          <w:sz w:val="20"/>
          <w:szCs w:val="20"/>
        </w:rPr>
        <w:t xml:space="preserve">Universelles Völkerrecht </w:t>
      </w:r>
      <w:r w:rsidRPr="003A3347">
        <w:rPr>
          <w:rFonts w:ascii="Baskerville" w:hAnsi="Baskerville"/>
          <w:sz w:val="20"/>
          <w:szCs w:val="20"/>
        </w:rPr>
        <w:t>(3rd ed.,</w:t>
      </w:r>
      <w:r>
        <w:rPr>
          <w:rFonts w:ascii="Baskerville" w:hAnsi="Baskerville"/>
          <w:sz w:val="20"/>
          <w:szCs w:val="20"/>
        </w:rPr>
        <w:t xml:space="preserve"> </w:t>
      </w:r>
      <w:r w:rsidRPr="003A3347">
        <w:rPr>
          <w:rFonts w:ascii="Baskerville" w:hAnsi="Baskerville"/>
          <w:sz w:val="20"/>
          <w:szCs w:val="20"/>
        </w:rPr>
        <w:t>1984), at 321–412; R. Y. Jennings and A. Watts (eds</w:t>
      </w:r>
      <w:r>
        <w:rPr>
          <w:rFonts w:ascii="Baskerville" w:hAnsi="Baskerville"/>
          <w:sz w:val="20"/>
          <w:szCs w:val="20"/>
        </w:rPr>
        <w:t>.</w:t>
      </w:r>
      <w:r w:rsidRPr="003A3347">
        <w:rPr>
          <w:rFonts w:ascii="Baskerville" w:hAnsi="Baskerville"/>
          <w:sz w:val="20"/>
          <w:szCs w:val="20"/>
        </w:rPr>
        <w:t xml:space="preserve">), </w:t>
      </w:r>
      <w:r w:rsidRPr="003A3347">
        <w:rPr>
          <w:rFonts w:ascii="Baskerville" w:hAnsi="Baskerville"/>
          <w:i/>
          <w:iCs/>
          <w:sz w:val="20"/>
          <w:szCs w:val="20"/>
        </w:rPr>
        <w:t xml:space="preserve">Oppenheim’s International Law </w:t>
      </w:r>
      <w:r w:rsidRPr="003A3347">
        <w:rPr>
          <w:rFonts w:ascii="Baskerville" w:hAnsi="Baskerville"/>
          <w:sz w:val="20"/>
          <w:szCs w:val="20"/>
        </w:rPr>
        <w:t xml:space="preserve">Vol. 1 (9th ed., </w:t>
      </w:r>
      <w:r w:rsidRPr="00394939">
        <w:rPr>
          <w:rFonts w:ascii="Baskerville" w:hAnsi="Baskerville"/>
          <w:sz w:val="20"/>
          <w:szCs w:val="20"/>
        </w:rPr>
        <w:t>Longman Harlow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3A3347">
        <w:rPr>
          <w:rFonts w:ascii="Baskerville" w:hAnsi="Baskerville"/>
          <w:sz w:val="20"/>
          <w:szCs w:val="20"/>
        </w:rPr>
        <w:t>1992), at 24; Pathak</w:t>
      </w:r>
      <w:r>
        <w:rPr>
          <w:rFonts w:ascii="Baskerville" w:hAnsi="Baskerville"/>
          <w:sz w:val="20"/>
          <w:szCs w:val="20"/>
        </w:rPr>
        <w:t xml:space="preserve"> (n 11).</w:t>
      </w:r>
    </w:p>
  </w:footnote>
  <w:footnote w:id="20">
    <w:p w14:paraId="0C64FA8F" w14:textId="5A2DC9AF" w:rsidR="00967912" w:rsidRPr="003E6E4B" w:rsidRDefault="00967912" w:rsidP="00BA35FC">
      <w:pPr>
        <w:pStyle w:val="FootnoteText"/>
        <w:rPr>
          <w:rFonts w:ascii="Baskerville" w:hAnsi="Baskerville"/>
          <w:sz w:val="20"/>
          <w:szCs w:val="20"/>
        </w:rPr>
      </w:pPr>
      <w:r w:rsidRPr="003E6E4B">
        <w:rPr>
          <w:rStyle w:val="FootnoteReference"/>
          <w:rFonts w:ascii="Baskerville" w:hAnsi="Baskerville"/>
          <w:sz w:val="20"/>
          <w:szCs w:val="20"/>
        </w:rPr>
        <w:footnoteRef/>
      </w:r>
      <w:r w:rsidRPr="003E6E4B">
        <w:rPr>
          <w:rFonts w:ascii="Baskerville" w:hAnsi="Baskerville"/>
          <w:sz w:val="20"/>
          <w:szCs w:val="20"/>
        </w:rPr>
        <w:t xml:space="preserve"> B. Chigara, </w:t>
      </w:r>
      <w:r w:rsidRPr="003E6E4B">
        <w:rPr>
          <w:rFonts w:ascii="Baskerville" w:hAnsi="Baskerville"/>
          <w:i/>
          <w:iCs/>
          <w:sz w:val="20"/>
          <w:szCs w:val="20"/>
        </w:rPr>
        <w:t xml:space="preserve">Legitimacy Deficit in Custom: A Deconstructionist Critique </w:t>
      </w:r>
      <w:r w:rsidRPr="003E6E4B">
        <w:rPr>
          <w:rFonts w:ascii="Baskerville" w:hAnsi="Baskerville"/>
          <w:sz w:val="20"/>
          <w:szCs w:val="20"/>
        </w:rPr>
        <w:t>(</w:t>
      </w:r>
      <w:r w:rsidRPr="00F818FE">
        <w:rPr>
          <w:rFonts w:ascii="Baskerville" w:hAnsi="Baskerville"/>
          <w:sz w:val="20"/>
          <w:szCs w:val="20"/>
        </w:rPr>
        <w:t>Aldershot: Ashgate Publishing</w:t>
      </w:r>
      <w:r>
        <w:rPr>
          <w:rFonts w:ascii="Baskerville" w:hAnsi="Baskerville"/>
          <w:color w:val="FF0000"/>
          <w:sz w:val="20"/>
          <w:szCs w:val="20"/>
        </w:rPr>
        <w:t xml:space="preserve"> </w:t>
      </w:r>
      <w:r w:rsidRPr="003E6E4B">
        <w:rPr>
          <w:rFonts w:ascii="Baskerville" w:hAnsi="Baskerville"/>
          <w:sz w:val="20"/>
          <w:szCs w:val="20"/>
        </w:rPr>
        <w:t>2001), at xvii-xviii</w:t>
      </w:r>
      <w:r>
        <w:rPr>
          <w:rFonts w:ascii="Baskerville" w:hAnsi="Baskerville"/>
          <w:sz w:val="20"/>
          <w:szCs w:val="20"/>
        </w:rPr>
        <w:t>;</w:t>
      </w:r>
      <w:r w:rsidRPr="0095031D">
        <w:rPr>
          <w:rFonts w:ascii="Baskerville" w:hAnsi="Baskerville"/>
          <w:color w:val="FF0000"/>
          <w:sz w:val="20"/>
          <w:szCs w:val="20"/>
        </w:rPr>
        <w:t xml:space="preserve"> </w:t>
      </w:r>
      <w:r w:rsidRPr="003E6E4B">
        <w:rPr>
          <w:rFonts w:ascii="Baskerville" w:hAnsi="Baskerville"/>
          <w:sz w:val="20"/>
          <w:szCs w:val="20"/>
        </w:rPr>
        <w:t>Fitzmaurice</w:t>
      </w:r>
      <w:r>
        <w:rPr>
          <w:rFonts w:ascii="Baskerville" w:hAnsi="Baskerville"/>
          <w:sz w:val="20"/>
          <w:szCs w:val="20"/>
        </w:rPr>
        <w:t xml:space="preserve"> (n 13)</w:t>
      </w:r>
      <w:r w:rsidRPr="007E2564">
        <w:rPr>
          <w:rFonts w:ascii="Baskerville" w:hAnsi="Baskerville"/>
          <w:sz w:val="20"/>
          <w:szCs w:val="20"/>
        </w:rPr>
        <w:t>, at 173.</w:t>
      </w:r>
      <w:r w:rsidRPr="003E6E4B">
        <w:rPr>
          <w:rFonts w:ascii="Baskerville" w:hAnsi="Baskerville"/>
          <w:sz w:val="20"/>
          <w:szCs w:val="20"/>
        </w:rPr>
        <w:t xml:space="preserve"> </w:t>
      </w:r>
    </w:p>
  </w:footnote>
  <w:footnote w:id="21">
    <w:p w14:paraId="6349AF04" w14:textId="77777777" w:rsidR="00967912" w:rsidRPr="003E6E4B" w:rsidRDefault="00967912" w:rsidP="00125662">
      <w:pPr>
        <w:pStyle w:val="FootnoteText"/>
        <w:rPr>
          <w:rFonts w:ascii="Baskerville" w:hAnsi="Baskerville"/>
          <w:sz w:val="20"/>
          <w:szCs w:val="20"/>
        </w:rPr>
      </w:pPr>
      <w:r w:rsidRPr="00B33365">
        <w:rPr>
          <w:rStyle w:val="FootnoteReference"/>
          <w:rFonts w:ascii="Baskerville" w:hAnsi="Baskerville"/>
          <w:sz w:val="20"/>
          <w:szCs w:val="20"/>
        </w:rPr>
        <w:footnoteRef/>
      </w:r>
      <w:r w:rsidRPr="00B33365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M. </w:t>
      </w:r>
      <w:r w:rsidRPr="00B33365">
        <w:rPr>
          <w:rFonts w:ascii="Baskerville" w:hAnsi="Baskerville"/>
          <w:sz w:val="20"/>
          <w:szCs w:val="20"/>
        </w:rPr>
        <w:t>Bos, ‘The Hierarchy among the Recognized Manifestations (“Sources”) of International Law’, 25</w:t>
      </w:r>
      <w:r>
        <w:rPr>
          <w:rFonts w:ascii="Baskerville" w:hAnsi="Baskerville"/>
          <w:sz w:val="20"/>
          <w:szCs w:val="20"/>
        </w:rPr>
        <w:t xml:space="preserve"> </w:t>
      </w:r>
      <w:r w:rsidRPr="00B33365">
        <w:rPr>
          <w:rFonts w:ascii="Baskerville" w:hAnsi="Baskerville"/>
          <w:i/>
          <w:iCs/>
          <w:sz w:val="20"/>
          <w:szCs w:val="20"/>
        </w:rPr>
        <w:t xml:space="preserve">Netherlands International Law Review </w:t>
      </w:r>
      <w:r w:rsidRPr="00B33365">
        <w:rPr>
          <w:rFonts w:ascii="Baskerville" w:hAnsi="Baskerville"/>
          <w:sz w:val="20"/>
          <w:szCs w:val="20"/>
        </w:rPr>
        <w:t xml:space="preserve">(1978) 334, at 334. </w:t>
      </w:r>
    </w:p>
  </w:footnote>
  <w:footnote w:id="22">
    <w:p w14:paraId="30D75BB9" w14:textId="209E0A83" w:rsidR="00967912" w:rsidRPr="00D468A0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D468A0">
        <w:rPr>
          <w:rStyle w:val="FootnoteReference"/>
          <w:rFonts w:ascii="Baskerville" w:hAnsi="Baskerville"/>
          <w:sz w:val="20"/>
          <w:szCs w:val="20"/>
        </w:rPr>
        <w:footnoteRef/>
      </w:r>
      <w:r w:rsidRPr="00D468A0">
        <w:rPr>
          <w:rFonts w:ascii="Baskerville" w:hAnsi="Baskerville"/>
          <w:sz w:val="20"/>
          <w:szCs w:val="20"/>
        </w:rPr>
        <w:t xml:space="preserve"> </w:t>
      </w:r>
      <w:r w:rsidRPr="00D468A0">
        <w:rPr>
          <w:rFonts w:ascii="Baskerville" w:hAnsi="Baskerville"/>
          <w:sz w:val="20"/>
          <w:szCs w:val="20"/>
          <w:lang w:val="en-US"/>
        </w:rPr>
        <w:t xml:space="preserve">Charter of the United Nations, [1945] ATS 1/59 Stat.1031; TS 993; 3 Bevans 1153, </w:t>
      </w:r>
      <w:r>
        <w:rPr>
          <w:rFonts w:ascii="Baskerville" w:hAnsi="Baskerville"/>
          <w:sz w:val="20"/>
          <w:szCs w:val="20"/>
          <w:lang w:val="en-US"/>
        </w:rPr>
        <w:t>Art.</w:t>
      </w:r>
      <w:r w:rsidRPr="00D468A0">
        <w:rPr>
          <w:rFonts w:ascii="Baskerville" w:hAnsi="Baskerville"/>
          <w:sz w:val="20"/>
          <w:szCs w:val="20"/>
          <w:lang w:val="en-US"/>
        </w:rPr>
        <w:t xml:space="preserve"> 92.</w:t>
      </w:r>
    </w:p>
  </w:footnote>
  <w:footnote w:id="23">
    <w:p w14:paraId="015E1C7E" w14:textId="77777777" w:rsidR="00967912" w:rsidRPr="00D06EFF" w:rsidRDefault="00967912" w:rsidP="00CA6CE1">
      <w:pPr>
        <w:pStyle w:val="FootnoteText"/>
        <w:rPr>
          <w:rFonts w:ascii="Baskerville" w:hAnsi="Baskerville"/>
          <w:color w:val="FF0000"/>
          <w:sz w:val="20"/>
          <w:szCs w:val="20"/>
          <w:lang w:val="en-US"/>
        </w:rPr>
      </w:pPr>
      <w:r w:rsidRPr="00B04869">
        <w:rPr>
          <w:rStyle w:val="FootnoteReference"/>
          <w:rFonts w:ascii="Baskerville" w:hAnsi="Baskerville"/>
          <w:sz w:val="20"/>
          <w:szCs w:val="20"/>
        </w:rPr>
        <w:footnoteRef/>
      </w:r>
      <w:r w:rsidRPr="00B04869">
        <w:rPr>
          <w:rFonts w:ascii="Baskerville" w:hAnsi="Baskerville"/>
          <w:sz w:val="20"/>
          <w:szCs w:val="20"/>
        </w:rPr>
        <w:t xml:space="preserve"> </w:t>
      </w:r>
      <w:r w:rsidRPr="00B04869">
        <w:rPr>
          <w:rFonts w:ascii="Baskerville" w:hAnsi="Baskerville"/>
          <w:sz w:val="20"/>
          <w:szCs w:val="20"/>
          <w:lang w:val="en-US"/>
        </w:rPr>
        <w:t>Jayakumar (n 1).</w:t>
      </w:r>
      <w:r w:rsidRPr="00D06EFF">
        <w:rPr>
          <w:rFonts w:ascii="Baskerville" w:hAnsi="Baskerville"/>
          <w:color w:val="FF0000"/>
          <w:sz w:val="20"/>
          <w:szCs w:val="20"/>
          <w:lang w:val="en-US"/>
        </w:rPr>
        <w:t xml:space="preserve"> </w:t>
      </w:r>
    </w:p>
  </w:footnote>
  <w:footnote w:id="24">
    <w:p w14:paraId="4D162A55" w14:textId="023CDFBD" w:rsidR="00967912" w:rsidRPr="00563183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563183">
        <w:rPr>
          <w:rStyle w:val="FootnoteReference"/>
          <w:rFonts w:ascii="Baskerville" w:hAnsi="Baskerville"/>
          <w:sz w:val="20"/>
          <w:szCs w:val="20"/>
        </w:rPr>
        <w:footnoteRef/>
      </w:r>
      <w:r w:rsidRPr="00563183">
        <w:rPr>
          <w:rFonts w:ascii="Baskerville" w:hAnsi="Baskerville"/>
          <w:sz w:val="20"/>
          <w:szCs w:val="20"/>
        </w:rPr>
        <w:t xml:space="preserve"> H. </w:t>
      </w:r>
      <w:r w:rsidRPr="00563183">
        <w:rPr>
          <w:rFonts w:ascii="Baskerville" w:hAnsi="Baskerville"/>
          <w:sz w:val="20"/>
          <w:szCs w:val="20"/>
          <w:lang w:val="en-US"/>
        </w:rPr>
        <w:t xml:space="preserve">Waldock, ‘General Course on Public International Law’, </w:t>
      </w:r>
      <w:r w:rsidRPr="00563183">
        <w:rPr>
          <w:rFonts w:ascii="Baskerville" w:hAnsi="Baskerville"/>
          <w:i/>
          <w:sz w:val="20"/>
          <w:szCs w:val="20"/>
          <w:lang w:val="en-US"/>
        </w:rPr>
        <w:t>Recueil des cours</w:t>
      </w:r>
      <w:r w:rsidRPr="00563183">
        <w:rPr>
          <w:rFonts w:ascii="Baskerville" w:hAnsi="Baskerville"/>
          <w:sz w:val="20"/>
          <w:szCs w:val="20"/>
          <w:lang w:val="en-US"/>
        </w:rPr>
        <w:t>, CVI (1962), 54.</w:t>
      </w:r>
    </w:p>
  </w:footnote>
  <w:footnote w:id="25">
    <w:p w14:paraId="00775E60" w14:textId="77777777" w:rsidR="00967912" w:rsidRPr="004B5B9F" w:rsidRDefault="00967912" w:rsidP="00BE1D40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</w:t>
      </w:r>
      <w:r w:rsidRPr="004B5B9F">
        <w:rPr>
          <w:rFonts w:ascii="Baskerville" w:hAnsi="Baskerville"/>
          <w:sz w:val="20"/>
          <w:szCs w:val="20"/>
          <w:lang w:val="en-US"/>
        </w:rPr>
        <w:t xml:space="preserve">Jayakumar (n 1). </w:t>
      </w:r>
    </w:p>
  </w:footnote>
  <w:footnote w:id="26">
    <w:p w14:paraId="6E6F582F" w14:textId="6F0B04F4" w:rsidR="00967912" w:rsidRPr="004B5B9F" w:rsidRDefault="00967912" w:rsidP="000059A9">
      <w:pPr>
        <w:pStyle w:val="FootnoteText"/>
        <w:ind w:hanging="11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See G. Werle, </w:t>
      </w:r>
      <w:r w:rsidRPr="004B5B9F">
        <w:rPr>
          <w:rFonts w:ascii="Baskerville" w:hAnsi="Baskerville"/>
          <w:i/>
          <w:sz w:val="20"/>
          <w:szCs w:val="20"/>
        </w:rPr>
        <w:t>Principles of International Criminal Law</w:t>
      </w:r>
      <w:r w:rsidRPr="004B5B9F">
        <w:rPr>
          <w:rFonts w:ascii="Baskerville" w:hAnsi="Baskerville"/>
          <w:sz w:val="20"/>
          <w:szCs w:val="20"/>
        </w:rPr>
        <w:t xml:space="preserve"> (2</w:t>
      </w:r>
      <w:r w:rsidRPr="004B5B9F">
        <w:rPr>
          <w:rFonts w:ascii="Baskerville" w:hAnsi="Baskerville"/>
          <w:sz w:val="20"/>
          <w:szCs w:val="20"/>
          <w:vertAlign w:val="superscript"/>
        </w:rPr>
        <w:t>nd</w:t>
      </w:r>
      <w:r w:rsidRPr="004B5B9F">
        <w:rPr>
          <w:rFonts w:ascii="Baskerville" w:hAnsi="Baskerville"/>
          <w:sz w:val="20"/>
          <w:szCs w:val="20"/>
        </w:rPr>
        <w:t xml:space="preserve"> edn, The Hague: TMC Asser Press 2009)</w:t>
      </w:r>
      <w:r w:rsidRPr="004B5B9F">
        <w:rPr>
          <w:rFonts w:ascii="Baskerville" w:hAnsi="Baskerville"/>
          <w:i/>
          <w:sz w:val="20"/>
          <w:szCs w:val="20"/>
        </w:rPr>
        <w:t xml:space="preserve">, </w:t>
      </w:r>
      <w:r w:rsidRPr="004B5B9F">
        <w:rPr>
          <w:rFonts w:ascii="Baskerville" w:hAnsi="Baskerville"/>
          <w:sz w:val="20"/>
          <w:szCs w:val="20"/>
        </w:rPr>
        <w:t xml:space="preserve">p 200 [para. 541]. </w:t>
      </w:r>
    </w:p>
  </w:footnote>
  <w:footnote w:id="27">
    <w:p w14:paraId="2D887F3B" w14:textId="73759700" w:rsidR="00967912" w:rsidRPr="004B5B9F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‘Prevention of human rights violations committed with small arms and light weapons’: Final report submitted by Barbara Frey, Special Rapporteur in accordance with Sub-Commission resolution 2002/25, UN Doc. A/HRC/Sub.1/58/27 (2006), para. 21.</w:t>
      </w:r>
    </w:p>
  </w:footnote>
  <w:footnote w:id="28">
    <w:p w14:paraId="40EFEE0D" w14:textId="77777777" w:rsidR="00967912" w:rsidRPr="00D06EFF" w:rsidRDefault="00967912" w:rsidP="00491523">
      <w:pPr>
        <w:pStyle w:val="FootnoteText"/>
        <w:rPr>
          <w:rFonts w:ascii="Baskerville" w:hAnsi="Baskerville"/>
          <w:color w:val="FF0000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</w:t>
      </w:r>
      <w:r w:rsidRPr="004B5B9F">
        <w:rPr>
          <w:rFonts w:ascii="Baskerville" w:hAnsi="Baskerville"/>
          <w:sz w:val="20"/>
          <w:szCs w:val="20"/>
          <w:lang w:val="en-US"/>
        </w:rPr>
        <w:t>Jayakumar (n 1).</w:t>
      </w:r>
      <w:r w:rsidRPr="00D06EFF">
        <w:rPr>
          <w:rFonts w:ascii="Baskerville" w:hAnsi="Baskerville"/>
          <w:color w:val="FF0000"/>
          <w:sz w:val="20"/>
          <w:szCs w:val="20"/>
          <w:lang w:val="en-US"/>
        </w:rPr>
        <w:t xml:space="preserve"> </w:t>
      </w:r>
    </w:p>
  </w:footnote>
  <w:footnote w:id="29">
    <w:p w14:paraId="316770B1" w14:textId="1D8E84FD" w:rsidR="00967912" w:rsidRPr="00FC566D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FC566D">
        <w:rPr>
          <w:rStyle w:val="FootnoteReference"/>
          <w:rFonts w:ascii="Baskerville" w:hAnsi="Baskerville"/>
          <w:sz w:val="20"/>
          <w:szCs w:val="20"/>
        </w:rPr>
        <w:footnoteRef/>
      </w:r>
      <w:r w:rsidRPr="00FC566D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Ibid.</w:t>
      </w:r>
    </w:p>
  </w:footnote>
  <w:footnote w:id="30">
    <w:p w14:paraId="4EF38610" w14:textId="6519C01F" w:rsidR="00967912" w:rsidRPr="00B60E4C" w:rsidRDefault="00967912">
      <w:pPr>
        <w:pStyle w:val="FootnoteText"/>
        <w:rPr>
          <w:rFonts w:ascii="Baskerville" w:hAnsi="Baskerville"/>
          <w:bCs/>
          <w:i/>
          <w:sz w:val="20"/>
          <w:szCs w:val="20"/>
        </w:rPr>
      </w:pPr>
      <w:r w:rsidRPr="004B4F77">
        <w:rPr>
          <w:rStyle w:val="FootnoteReference"/>
          <w:rFonts w:ascii="Baskerville" w:hAnsi="Baskerville"/>
          <w:sz w:val="20"/>
          <w:szCs w:val="20"/>
        </w:rPr>
        <w:footnoteRef/>
      </w:r>
      <w:r w:rsidRPr="004B4F77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M. Fitzmaurice &amp; A. Quast, 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Law of </w:t>
      </w:r>
      <w:r>
        <w:rPr>
          <w:rFonts w:ascii="Baskerville" w:hAnsi="Baskerville"/>
          <w:bCs/>
          <w:i/>
          <w:sz w:val="20"/>
          <w:szCs w:val="20"/>
        </w:rPr>
        <w:t>T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reaties </w:t>
      </w:r>
      <w:r>
        <w:rPr>
          <w:rFonts w:ascii="Baskerville" w:hAnsi="Baskerville"/>
          <w:i/>
          <w:sz w:val="20"/>
          <w:szCs w:val="20"/>
        </w:rPr>
        <w:t xml:space="preserve">- 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Section A: Introduction to the </w:t>
      </w:r>
      <w:r>
        <w:rPr>
          <w:rFonts w:ascii="Baskerville" w:hAnsi="Baskerville"/>
          <w:bCs/>
          <w:i/>
          <w:sz w:val="20"/>
          <w:szCs w:val="20"/>
        </w:rPr>
        <w:t>L</w:t>
      </w:r>
      <w:r w:rsidRPr="004B4F77">
        <w:rPr>
          <w:rFonts w:ascii="Baskerville" w:hAnsi="Baskerville"/>
          <w:bCs/>
          <w:i/>
          <w:sz w:val="20"/>
          <w:szCs w:val="20"/>
        </w:rPr>
        <w:t xml:space="preserve">aw of </w:t>
      </w:r>
      <w:r>
        <w:rPr>
          <w:rFonts w:ascii="Baskerville" w:hAnsi="Baskerville"/>
          <w:bCs/>
          <w:i/>
          <w:sz w:val="20"/>
          <w:szCs w:val="20"/>
        </w:rPr>
        <w:t>T</w:t>
      </w:r>
      <w:r w:rsidRPr="004B4F77">
        <w:rPr>
          <w:rFonts w:ascii="Baskerville" w:hAnsi="Baskerville"/>
          <w:bCs/>
          <w:i/>
          <w:sz w:val="20"/>
          <w:szCs w:val="20"/>
        </w:rPr>
        <w:t>reaties</w:t>
      </w:r>
      <w:r>
        <w:rPr>
          <w:rFonts w:ascii="Baskerville" w:hAnsi="Baskerville"/>
          <w:bCs/>
          <w:i/>
          <w:sz w:val="20"/>
          <w:szCs w:val="20"/>
        </w:rPr>
        <w:t xml:space="preserve"> </w:t>
      </w:r>
      <w:r w:rsidRPr="00B60E4C">
        <w:rPr>
          <w:rFonts w:ascii="Baskerville" w:hAnsi="Baskerville"/>
          <w:bCs/>
          <w:sz w:val="20"/>
          <w:szCs w:val="20"/>
        </w:rPr>
        <w:t>(University of London Press</w:t>
      </w:r>
      <w:r>
        <w:rPr>
          <w:rFonts w:ascii="Baskerville" w:hAnsi="Baskerville"/>
          <w:bCs/>
          <w:sz w:val="20"/>
          <w:szCs w:val="20"/>
        </w:rPr>
        <w:t xml:space="preserve"> 2007</w:t>
      </w:r>
      <w:r w:rsidRPr="00B60E4C">
        <w:rPr>
          <w:rFonts w:ascii="Baskerville" w:hAnsi="Baskerville"/>
          <w:bCs/>
          <w:sz w:val="20"/>
          <w:szCs w:val="20"/>
        </w:rPr>
        <w:t>)</w:t>
      </w:r>
      <w:r w:rsidRPr="00B60E4C">
        <w:rPr>
          <w:rFonts w:ascii="Baskerville" w:hAnsi="Baskerville"/>
          <w:sz w:val="20"/>
          <w:szCs w:val="20"/>
        </w:rPr>
        <w:t xml:space="preserve">, p 10. </w:t>
      </w:r>
    </w:p>
  </w:footnote>
  <w:footnote w:id="31">
    <w:p w14:paraId="20573757" w14:textId="126D9165" w:rsidR="00967912" w:rsidRPr="002B58DC" w:rsidRDefault="00967912">
      <w:pPr>
        <w:pStyle w:val="FootnoteText"/>
        <w:rPr>
          <w:rFonts w:ascii="Baskerville" w:hAnsi="Baskerville"/>
          <w:sz w:val="20"/>
          <w:szCs w:val="20"/>
        </w:rPr>
      </w:pPr>
      <w:r w:rsidRPr="00A7436B">
        <w:rPr>
          <w:rStyle w:val="FootnoteReference"/>
          <w:rFonts w:ascii="Baskerville" w:hAnsi="Baskerville"/>
          <w:sz w:val="20"/>
          <w:szCs w:val="20"/>
        </w:rPr>
        <w:footnoteRef/>
      </w:r>
      <w:r w:rsidRPr="00A7436B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United Nations, </w:t>
      </w:r>
      <w:r w:rsidRPr="002B58DC">
        <w:rPr>
          <w:rFonts w:ascii="Baskerville" w:hAnsi="Baskerville"/>
          <w:i/>
          <w:sz w:val="20"/>
          <w:szCs w:val="20"/>
        </w:rPr>
        <w:t>Frequently Asked Questions on International Law Aspects of Countering Terrorism</w:t>
      </w:r>
      <w:r>
        <w:rPr>
          <w:rFonts w:ascii="Baskerville" w:hAnsi="Baskerville"/>
          <w:sz w:val="20"/>
          <w:szCs w:val="20"/>
        </w:rPr>
        <w:t xml:space="preserve"> (Vienna: </w:t>
      </w:r>
      <w:r w:rsidRPr="002B58DC">
        <w:rPr>
          <w:rFonts w:ascii="Baskerville" w:hAnsi="Baskerville"/>
          <w:sz w:val="20"/>
          <w:szCs w:val="20"/>
        </w:rPr>
        <w:t>UNODC</w:t>
      </w:r>
      <w:r>
        <w:rPr>
          <w:rFonts w:ascii="Baskerville" w:hAnsi="Baskerville"/>
          <w:sz w:val="20"/>
          <w:szCs w:val="20"/>
        </w:rPr>
        <w:t xml:space="preserve"> 2009), p 3.</w:t>
      </w:r>
    </w:p>
  </w:footnote>
  <w:footnote w:id="32">
    <w:p w14:paraId="35F64330" w14:textId="71B31C07" w:rsidR="00967912" w:rsidRPr="001C44EC" w:rsidRDefault="00967912">
      <w:pPr>
        <w:pStyle w:val="FootnoteText"/>
        <w:rPr>
          <w:rFonts w:ascii="Baskerville" w:hAnsi="Baskerville"/>
          <w:i/>
          <w:iCs/>
          <w:sz w:val="20"/>
          <w:szCs w:val="20"/>
          <w:lang w:val="en-US"/>
        </w:rPr>
      </w:pPr>
      <w:r w:rsidRPr="0019193E">
        <w:rPr>
          <w:rStyle w:val="FootnoteReference"/>
          <w:rFonts w:ascii="Baskerville" w:hAnsi="Baskerville"/>
          <w:sz w:val="20"/>
          <w:szCs w:val="20"/>
        </w:rPr>
        <w:footnoteRef/>
      </w:r>
      <w:r w:rsidRPr="0019193E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A. Z. Borda, ‘</w:t>
      </w:r>
      <w:r w:rsidRPr="007A797C">
        <w:rPr>
          <w:rFonts w:ascii="Baskerville" w:hAnsi="Baskerville"/>
          <w:iCs/>
          <w:sz w:val="20"/>
          <w:szCs w:val="20"/>
          <w:lang w:val="en-US"/>
        </w:rPr>
        <w:t>A Formal Approach to Article 38(1)(d) of the ICJ Statute from the Perspective of the International Criminal Courts and Tribunals</w:t>
      </w:r>
      <w:r>
        <w:rPr>
          <w:rFonts w:ascii="Baskerville" w:hAnsi="Baskerville"/>
          <w:iCs/>
          <w:sz w:val="20"/>
          <w:szCs w:val="20"/>
          <w:lang w:val="en-US"/>
        </w:rPr>
        <w:t>’,</w:t>
      </w:r>
      <w:r w:rsidRPr="0019193E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 w:rsidRPr="007A0B9A">
        <w:rPr>
          <w:rFonts w:ascii="Baskerville" w:hAnsi="Baskerville"/>
          <w:i/>
          <w:iCs/>
          <w:sz w:val="20"/>
          <w:szCs w:val="20"/>
          <w:lang w:val="en-US"/>
        </w:rPr>
        <w:t>EJIL</w:t>
      </w:r>
      <w:r w:rsidRPr="0019193E">
        <w:rPr>
          <w:rFonts w:ascii="Baskerville" w:hAnsi="Baskerville"/>
          <w:iCs/>
          <w:sz w:val="20"/>
          <w:szCs w:val="20"/>
          <w:lang w:val="en-US"/>
        </w:rPr>
        <w:t xml:space="preserve"> 24</w:t>
      </w:r>
      <w:r w:rsidRPr="0019193E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(OUP 2013), p 650.</w:t>
      </w:r>
    </w:p>
  </w:footnote>
  <w:footnote w:id="33">
    <w:p w14:paraId="66A360E3" w14:textId="6C5DA4BC" w:rsidR="00967912" w:rsidRPr="00153F7F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1C44EC">
        <w:rPr>
          <w:rStyle w:val="FootnoteReference"/>
          <w:rFonts w:ascii="Baskerville" w:hAnsi="Baskerville"/>
          <w:sz w:val="20"/>
          <w:szCs w:val="20"/>
        </w:rPr>
        <w:footnoteRef/>
      </w:r>
      <w:r w:rsidRPr="001C44EC">
        <w:rPr>
          <w:rFonts w:ascii="Baskerville" w:hAnsi="Baskerville"/>
          <w:sz w:val="20"/>
          <w:szCs w:val="20"/>
        </w:rPr>
        <w:t xml:space="preserve"> </w:t>
      </w:r>
      <w:r w:rsidRPr="001C44EC">
        <w:rPr>
          <w:rFonts w:ascii="Baskerville" w:hAnsi="Baskerville"/>
          <w:sz w:val="20"/>
          <w:szCs w:val="20"/>
          <w:lang w:val="en-US"/>
        </w:rPr>
        <w:t xml:space="preserve">G.J.H. Van Hoof, </w:t>
      </w:r>
      <w:r w:rsidRPr="001C44EC">
        <w:rPr>
          <w:rFonts w:ascii="Baskerville" w:hAnsi="Baskerville"/>
          <w:i/>
          <w:iCs/>
          <w:sz w:val="20"/>
          <w:szCs w:val="20"/>
          <w:lang w:val="en-US"/>
        </w:rPr>
        <w:t xml:space="preserve">Rethinking the Sources of International Law </w:t>
      </w:r>
      <w:r w:rsidRPr="001C44EC">
        <w:rPr>
          <w:rFonts w:ascii="Baskerville" w:hAnsi="Baskerville"/>
          <w:sz w:val="20"/>
          <w:szCs w:val="20"/>
          <w:lang w:val="en-US"/>
        </w:rPr>
        <w:t>(</w:t>
      </w:r>
      <w:r w:rsidRPr="00D76D00">
        <w:rPr>
          <w:rFonts w:ascii="Baskerville" w:hAnsi="Baskerville"/>
          <w:bCs/>
          <w:sz w:val="20"/>
          <w:szCs w:val="20"/>
          <w:lang w:val="en-US"/>
        </w:rPr>
        <w:t>London: Kluwer Law and Taxation Publishers</w:t>
      </w:r>
      <w:r>
        <w:rPr>
          <w:rFonts w:ascii="Baskerville" w:hAnsi="Baskerville"/>
          <w:sz w:val="20"/>
          <w:szCs w:val="20"/>
          <w:lang w:val="en-US"/>
        </w:rPr>
        <w:t xml:space="preserve"> </w:t>
      </w:r>
      <w:r w:rsidRPr="001C44EC">
        <w:rPr>
          <w:rFonts w:ascii="Baskerville" w:hAnsi="Baskerville"/>
          <w:sz w:val="20"/>
          <w:szCs w:val="20"/>
          <w:lang w:val="en-US"/>
        </w:rPr>
        <w:t>1983), at 170.  </w:t>
      </w:r>
    </w:p>
  </w:footnote>
  <w:footnote w:id="34">
    <w:p w14:paraId="4A6757E5" w14:textId="6769DB1D" w:rsidR="00967912" w:rsidRPr="00266610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266610">
        <w:rPr>
          <w:rStyle w:val="FootnoteReference"/>
          <w:rFonts w:ascii="Baskerville" w:hAnsi="Baskerville"/>
          <w:sz w:val="20"/>
          <w:szCs w:val="20"/>
        </w:rPr>
        <w:footnoteRef/>
      </w:r>
      <w:r w:rsidRPr="00266610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R. </w:t>
      </w:r>
      <w:r w:rsidRPr="00266610">
        <w:rPr>
          <w:rFonts w:ascii="Baskerville" w:hAnsi="Baskerville"/>
          <w:sz w:val="20"/>
          <w:szCs w:val="20"/>
          <w:lang w:val="en-US"/>
        </w:rPr>
        <w:t xml:space="preserve">Jennings, </w:t>
      </w:r>
      <w:r>
        <w:rPr>
          <w:rFonts w:ascii="Baskerville" w:hAnsi="Baskerville"/>
          <w:sz w:val="20"/>
          <w:szCs w:val="20"/>
          <w:lang w:val="en-US"/>
        </w:rPr>
        <w:t>‘</w:t>
      </w:r>
      <w:r w:rsidRPr="00266610">
        <w:rPr>
          <w:rFonts w:ascii="Baskerville" w:hAnsi="Baskerville"/>
          <w:sz w:val="20"/>
          <w:szCs w:val="20"/>
          <w:lang w:val="en-US"/>
        </w:rPr>
        <w:t>The Judiciary, International and  </w:t>
      </w:r>
      <w:r w:rsidRPr="00266610">
        <w:rPr>
          <w:rFonts w:ascii="Baskerville" w:hAnsi="Baskerville"/>
          <w:iCs/>
          <w:sz w:val="20"/>
          <w:szCs w:val="20"/>
          <w:lang w:val="en-US"/>
        </w:rPr>
        <w:t>National, and the Dev</w:t>
      </w:r>
      <w:r>
        <w:rPr>
          <w:rFonts w:ascii="Baskerville" w:hAnsi="Baskerville"/>
          <w:iCs/>
          <w:sz w:val="20"/>
          <w:szCs w:val="20"/>
          <w:lang w:val="en-US"/>
        </w:rPr>
        <w:t xml:space="preserve">elopment of International Law’, </w:t>
      </w:r>
      <w:r w:rsidRPr="003E69AA">
        <w:rPr>
          <w:rFonts w:ascii="Baskerville" w:hAnsi="Baskerville"/>
          <w:iCs/>
          <w:sz w:val="20"/>
          <w:szCs w:val="20"/>
          <w:lang w:val="en-US"/>
        </w:rPr>
        <w:t>ICLQ</w:t>
      </w:r>
      <w:r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45</w:t>
      </w:r>
      <w:r w:rsidRPr="00266610">
        <w:rPr>
          <w:rFonts w:ascii="Baskerville" w:hAnsi="Baskerville"/>
          <w:i/>
          <w:iCs/>
          <w:sz w:val="20"/>
          <w:szCs w:val="20"/>
          <w:lang w:val="en-US"/>
        </w:rPr>
        <w:t xml:space="preserve"> </w:t>
      </w:r>
      <w:r>
        <w:rPr>
          <w:rFonts w:ascii="Baskerville" w:hAnsi="Baskerville"/>
          <w:iCs/>
          <w:sz w:val="20"/>
          <w:szCs w:val="20"/>
          <w:lang w:val="en-US"/>
        </w:rPr>
        <w:t>(1996) 1</w:t>
      </w:r>
      <w:r w:rsidRPr="00266610">
        <w:rPr>
          <w:rFonts w:ascii="Baskerville" w:hAnsi="Baskerville"/>
          <w:sz w:val="20"/>
          <w:szCs w:val="20"/>
          <w:lang w:val="en-US"/>
        </w:rPr>
        <w:t>, at 6.  </w:t>
      </w:r>
    </w:p>
  </w:footnote>
  <w:footnote w:id="35">
    <w:p w14:paraId="79D40DF7" w14:textId="5F85A3A6" w:rsidR="00967912" w:rsidRPr="000D113D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0D113D">
        <w:rPr>
          <w:rStyle w:val="FootnoteReference"/>
          <w:rFonts w:ascii="Baskerville" w:hAnsi="Baskerville"/>
          <w:sz w:val="20"/>
          <w:szCs w:val="20"/>
        </w:rPr>
        <w:footnoteRef/>
      </w:r>
      <w:r w:rsidRPr="000D113D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 xml:space="preserve">G. </w:t>
      </w:r>
      <w:r w:rsidRPr="000D113D">
        <w:rPr>
          <w:rFonts w:ascii="Baskerville" w:hAnsi="Baskerville"/>
          <w:sz w:val="20"/>
          <w:szCs w:val="20"/>
          <w:lang w:val="en-US"/>
        </w:rPr>
        <w:t xml:space="preserve">Fitzmaurice, ‘Some Problems Regarding the Formal Sources of International Law’,  in M. Koskenniemi, </w:t>
      </w:r>
      <w:r w:rsidRPr="000D113D">
        <w:rPr>
          <w:rFonts w:ascii="Baskerville" w:hAnsi="Baskerville"/>
          <w:i/>
          <w:iCs/>
          <w:sz w:val="20"/>
          <w:szCs w:val="20"/>
          <w:lang w:val="en-US"/>
        </w:rPr>
        <w:t xml:space="preserve">Sources of International Law </w:t>
      </w:r>
      <w:r w:rsidRPr="000D113D">
        <w:rPr>
          <w:rFonts w:ascii="Baskerville" w:hAnsi="Baskerville"/>
          <w:sz w:val="20"/>
          <w:szCs w:val="20"/>
          <w:lang w:val="en-US"/>
        </w:rPr>
        <w:t>(</w:t>
      </w:r>
      <w:r w:rsidRPr="0095031D">
        <w:rPr>
          <w:rFonts w:ascii="Baskerville" w:hAnsi="Baskerville"/>
          <w:sz w:val="20"/>
          <w:szCs w:val="20"/>
          <w:lang w:val="en-US"/>
        </w:rPr>
        <w:t>Routledge</w:t>
      </w:r>
      <w:r>
        <w:rPr>
          <w:rFonts w:ascii="Baskerville" w:hAnsi="Baskerville"/>
          <w:sz w:val="20"/>
          <w:szCs w:val="20"/>
          <w:lang w:val="en-US"/>
        </w:rPr>
        <w:t xml:space="preserve"> </w:t>
      </w:r>
      <w:r w:rsidRPr="000D113D">
        <w:rPr>
          <w:rFonts w:ascii="Baskerville" w:hAnsi="Baskerville"/>
          <w:sz w:val="20"/>
          <w:szCs w:val="20"/>
          <w:lang w:val="en-US"/>
        </w:rPr>
        <w:t>2000)</w:t>
      </w:r>
      <w:r>
        <w:rPr>
          <w:rFonts w:ascii="Baskerville" w:hAnsi="Baskerville"/>
          <w:sz w:val="20"/>
          <w:szCs w:val="20"/>
          <w:lang w:val="en-US"/>
        </w:rPr>
        <w:t>, at 168.</w:t>
      </w:r>
      <w:r w:rsidRPr="000D113D">
        <w:rPr>
          <w:rFonts w:ascii="Baskerville" w:hAnsi="Baskerville"/>
          <w:sz w:val="20"/>
          <w:szCs w:val="20"/>
          <w:lang w:val="en-US"/>
        </w:rPr>
        <w:t xml:space="preserve">  </w:t>
      </w:r>
    </w:p>
  </w:footnote>
  <w:footnote w:id="36">
    <w:p w14:paraId="43788154" w14:textId="4C55B70F" w:rsidR="00967912" w:rsidRPr="008D5391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8D5391">
        <w:rPr>
          <w:rStyle w:val="FootnoteReference"/>
          <w:rFonts w:ascii="Baskerville" w:hAnsi="Baskerville"/>
          <w:sz w:val="20"/>
          <w:szCs w:val="20"/>
        </w:rPr>
        <w:footnoteRef/>
      </w:r>
      <w:r w:rsidRPr="008D5391">
        <w:rPr>
          <w:rFonts w:ascii="Baskerville" w:hAnsi="Baskerville"/>
          <w:sz w:val="20"/>
          <w:szCs w:val="20"/>
        </w:rPr>
        <w:t xml:space="preserve"> Vienna Convention on the Law of Treaties, Part III, Section 3: Interpretation of Treaties.</w:t>
      </w:r>
    </w:p>
  </w:footnote>
  <w:footnote w:id="37">
    <w:p w14:paraId="2819EBF5" w14:textId="2AC878C5" w:rsidR="00967912" w:rsidRPr="00E31666" w:rsidRDefault="00967912" w:rsidP="00A21A4C">
      <w:pPr>
        <w:pStyle w:val="FootnoteText"/>
        <w:rPr>
          <w:rFonts w:ascii="Baskerville" w:hAnsi="Baskerville"/>
          <w:i/>
          <w:sz w:val="20"/>
          <w:szCs w:val="20"/>
        </w:rPr>
      </w:pPr>
      <w:r w:rsidRPr="00A02C80">
        <w:rPr>
          <w:rStyle w:val="FootnoteReference"/>
          <w:rFonts w:ascii="Baskerville" w:hAnsi="Baskerville"/>
          <w:sz w:val="20"/>
          <w:szCs w:val="20"/>
        </w:rPr>
        <w:footnoteRef/>
      </w:r>
      <w:r w:rsidRPr="00A02C80">
        <w:rPr>
          <w:rFonts w:ascii="Baskerville" w:hAnsi="Baskerville"/>
          <w:sz w:val="20"/>
          <w:szCs w:val="20"/>
        </w:rPr>
        <w:t xml:space="preserve"> H. G. Schermers &amp; N. M. Blokker, </w:t>
      </w:r>
      <w:r w:rsidRPr="00A02C80">
        <w:rPr>
          <w:rFonts w:ascii="Baskerville" w:hAnsi="Baskerville"/>
          <w:i/>
          <w:sz w:val="20"/>
          <w:szCs w:val="20"/>
        </w:rPr>
        <w:t>International Institutional Law: unity within</w:t>
      </w:r>
      <w:r>
        <w:rPr>
          <w:rFonts w:ascii="Baskerville" w:hAnsi="Baskerville"/>
          <w:i/>
          <w:sz w:val="20"/>
          <w:szCs w:val="20"/>
        </w:rPr>
        <w:t xml:space="preserve"> </w:t>
      </w:r>
      <w:r w:rsidRPr="00A02C80">
        <w:rPr>
          <w:rFonts w:ascii="Baskerville" w:hAnsi="Baskerville"/>
          <w:i/>
          <w:sz w:val="20"/>
          <w:szCs w:val="20"/>
        </w:rPr>
        <w:t>diversity</w:t>
      </w:r>
      <w:r w:rsidRPr="00A02C80">
        <w:rPr>
          <w:rFonts w:ascii="Baskerville" w:hAnsi="Baskerville"/>
          <w:sz w:val="20"/>
          <w:szCs w:val="20"/>
        </w:rPr>
        <w:t>, (5th rev. edn, Leiden: Martinus Nijhoff Publishers 2011).</w:t>
      </w:r>
    </w:p>
  </w:footnote>
  <w:footnote w:id="38">
    <w:p w14:paraId="5F1E25AA" w14:textId="3E50BBAB" w:rsidR="00967912" w:rsidRPr="003858D8" w:rsidRDefault="00967912">
      <w:pPr>
        <w:pStyle w:val="FootnoteText"/>
        <w:rPr>
          <w:rFonts w:ascii="Baskerville" w:hAnsi="Baskerville"/>
          <w:bCs/>
          <w:i/>
          <w:iCs/>
          <w:sz w:val="20"/>
          <w:szCs w:val="20"/>
        </w:rPr>
      </w:pPr>
      <w:r w:rsidRPr="00CC3832">
        <w:rPr>
          <w:rStyle w:val="FootnoteReference"/>
          <w:rFonts w:ascii="Baskerville" w:hAnsi="Baskerville"/>
          <w:sz w:val="20"/>
          <w:szCs w:val="20"/>
        </w:rPr>
        <w:footnoteRef/>
      </w:r>
      <w:r w:rsidRPr="00CC3832">
        <w:rPr>
          <w:rFonts w:ascii="Baskerville" w:hAnsi="Baskerville"/>
          <w:sz w:val="20"/>
          <w:szCs w:val="20"/>
        </w:rPr>
        <w:t xml:space="preserve"> </w:t>
      </w:r>
      <w:r w:rsidRPr="00B536B6">
        <w:rPr>
          <w:rFonts w:ascii="Baskerville" w:hAnsi="Baskerville"/>
          <w:bCs/>
          <w:i/>
          <w:iCs/>
          <w:sz w:val="20"/>
          <w:szCs w:val="20"/>
          <w:lang w:val="en-US"/>
        </w:rPr>
        <w:t xml:space="preserve">Nicaragua </w:t>
      </w:r>
      <w:r w:rsidRPr="00610A76">
        <w:rPr>
          <w:rFonts w:ascii="Baskerville" w:hAnsi="Baskerville"/>
          <w:bCs/>
          <w:iCs/>
          <w:sz w:val="20"/>
          <w:szCs w:val="20"/>
          <w:lang w:val="en-US"/>
        </w:rPr>
        <w:t>v</w:t>
      </w:r>
      <w:r w:rsidRPr="00B536B6">
        <w:rPr>
          <w:rFonts w:ascii="Baskerville" w:hAnsi="Baskerville"/>
          <w:bCs/>
          <w:i/>
          <w:iCs/>
          <w:sz w:val="20"/>
          <w:szCs w:val="20"/>
          <w:lang w:val="en-US"/>
        </w:rPr>
        <w:t xml:space="preserve"> United States</w:t>
      </w:r>
      <w:r>
        <w:rPr>
          <w:rFonts w:ascii="Baskerville" w:hAnsi="Baskerville"/>
          <w:bCs/>
          <w:i/>
          <w:iCs/>
          <w:sz w:val="20"/>
          <w:szCs w:val="20"/>
          <w:lang w:val="en-US"/>
        </w:rPr>
        <w:t xml:space="preserve"> of America</w:t>
      </w:r>
      <w:r w:rsidRPr="00B536B6">
        <w:rPr>
          <w:rFonts w:ascii="Baskerville" w:hAnsi="Baskerville"/>
          <w:bCs/>
          <w:i/>
          <w:iCs/>
          <w:sz w:val="20"/>
          <w:szCs w:val="20"/>
        </w:rPr>
        <w:t xml:space="preserve"> </w:t>
      </w:r>
      <w:r w:rsidRPr="00B536B6">
        <w:rPr>
          <w:rFonts w:ascii="Baskerville" w:hAnsi="Baskerville"/>
          <w:bCs/>
          <w:iCs/>
          <w:sz w:val="20"/>
          <w:szCs w:val="20"/>
        </w:rPr>
        <w:t>(1986) ICJ Rep 14</w:t>
      </w:r>
      <w:r>
        <w:rPr>
          <w:rFonts w:ascii="Baskerville" w:hAnsi="Baskerville"/>
          <w:bCs/>
          <w:iCs/>
          <w:sz w:val="20"/>
          <w:szCs w:val="20"/>
        </w:rPr>
        <w:t>.</w:t>
      </w:r>
    </w:p>
  </w:footnote>
  <w:footnote w:id="39">
    <w:p w14:paraId="1C6685E2" w14:textId="1A812CAC" w:rsidR="00967912" w:rsidRPr="00A93D3D" w:rsidRDefault="00967912" w:rsidP="009023F4">
      <w:pPr>
        <w:pStyle w:val="FootnoteText"/>
        <w:rPr>
          <w:rFonts w:ascii="Baskerville" w:hAnsi="Baskerville"/>
          <w:sz w:val="20"/>
          <w:szCs w:val="20"/>
        </w:rPr>
      </w:pPr>
      <w:r w:rsidRPr="009023F4">
        <w:rPr>
          <w:rStyle w:val="FootnoteReference"/>
          <w:rFonts w:ascii="Baskerville" w:hAnsi="Baskerville"/>
          <w:sz w:val="20"/>
          <w:szCs w:val="20"/>
        </w:rPr>
        <w:footnoteRef/>
      </w:r>
      <w:r w:rsidRPr="009023F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  <w:lang w:val="en-US"/>
        </w:rPr>
        <w:t xml:space="preserve">R. Jennings, ‘What is International law and How Do We Tell It When We See It?’, </w:t>
      </w:r>
      <w:r>
        <w:rPr>
          <w:rFonts w:ascii="Baskerville" w:hAnsi="Baskerville"/>
          <w:i/>
          <w:sz w:val="20"/>
          <w:szCs w:val="20"/>
          <w:lang w:val="en-US"/>
        </w:rPr>
        <w:t>The International Lawyer</w:t>
      </w:r>
      <w:r>
        <w:rPr>
          <w:rFonts w:ascii="Baskerville" w:hAnsi="Baskerville"/>
          <w:sz w:val="20"/>
          <w:szCs w:val="20"/>
          <w:lang w:val="en-US"/>
        </w:rPr>
        <w:t xml:space="preserve"> [1985] 1033; </w:t>
      </w:r>
      <w:r>
        <w:rPr>
          <w:rFonts w:ascii="Baskerville" w:hAnsi="Baskerville"/>
          <w:sz w:val="20"/>
          <w:szCs w:val="20"/>
        </w:rPr>
        <w:t>J. d’Aspremont</w:t>
      </w:r>
      <w:r w:rsidRPr="009023F4">
        <w:rPr>
          <w:rFonts w:ascii="Baskerville" w:hAnsi="Baskerville"/>
          <w:sz w:val="20"/>
          <w:szCs w:val="20"/>
        </w:rPr>
        <w:t xml:space="preserve">, </w:t>
      </w:r>
      <w:r>
        <w:rPr>
          <w:rFonts w:ascii="Baskerville" w:hAnsi="Baskerville"/>
          <w:sz w:val="20"/>
          <w:szCs w:val="20"/>
        </w:rPr>
        <w:t>‘</w:t>
      </w:r>
      <w:r w:rsidRPr="009023F4">
        <w:rPr>
          <w:rFonts w:ascii="Baskerville" w:hAnsi="Baskerville"/>
          <w:sz w:val="20"/>
          <w:szCs w:val="20"/>
        </w:rPr>
        <w:t>The Configuration of Formal Ascertainment of International Law:</w:t>
      </w:r>
      <w:r>
        <w:rPr>
          <w:rFonts w:ascii="Baskerville" w:hAnsi="Baskerville"/>
          <w:sz w:val="20"/>
          <w:szCs w:val="20"/>
        </w:rPr>
        <w:t xml:space="preserve"> </w:t>
      </w:r>
      <w:r w:rsidRPr="009023F4">
        <w:rPr>
          <w:rFonts w:ascii="Baskerville" w:hAnsi="Baskerville"/>
          <w:sz w:val="20"/>
          <w:szCs w:val="20"/>
        </w:rPr>
        <w:t>The Source Thesis</w:t>
      </w:r>
      <w:r>
        <w:rPr>
          <w:rFonts w:ascii="Baskerville" w:hAnsi="Baskerville"/>
          <w:sz w:val="20"/>
          <w:szCs w:val="20"/>
        </w:rPr>
        <w:t>’ in</w:t>
      </w:r>
      <w:r w:rsidRPr="009023F4">
        <w:rPr>
          <w:rFonts w:ascii="Baskerville" w:hAnsi="Baskerville"/>
          <w:sz w:val="20"/>
          <w:szCs w:val="20"/>
        </w:rPr>
        <w:t xml:space="preserve"> </w:t>
      </w:r>
      <w:r w:rsidRPr="009023F4">
        <w:rPr>
          <w:rFonts w:ascii="Baskerville" w:hAnsi="Baskerville"/>
          <w:i/>
          <w:sz w:val="20"/>
          <w:szCs w:val="20"/>
        </w:rPr>
        <w:t xml:space="preserve">Formalism and the </w:t>
      </w:r>
      <w:r>
        <w:rPr>
          <w:rFonts w:ascii="Baskerville" w:hAnsi="Baskerville"/>
          <w:i/>
          <w:sz w:val="20"/>
          <w:szCs w:val="20"/>
        </w:rPr>
        <w:t>S</w:t>
      </w:r>
      <w:r w:rsidRPr="009023F4">
        <w:rPr>
          <w:rFonts w:ascii="Baskerville" w:hAnsi="Baskerville"/>
          <w:i/>
          <w:sz w:val="20"/>
          <w:szCs w:val="20"/>
        </w:rPr>
        <w:t xml:space="preserve">ources of International </w:t>
      </w:r>
      <w:r>
        <w:rPr>
          <w:rFonts w:ascii="Baskerville" w:hAnsi="Baskerville"/>
          <w:i/>
          <w:sz w:val="20"/>
          <w:szCs w:val="20"/>
        </w:rPr>
        <w:t>L</w:t>
      </w:r>
      <w:r w:rsidRPr="009023F4">
        <w:rPr>
          <w:rFonts w:ascii="Baskerville" w:hAnsi="Baskerville"/>
          <w:i/>
          <w:sz w:val="20"/>
          <w:szCs w:val="20"/>
        </w:rPr>
        <w:t>aw</w:t>
      </w:r>
      <w:r>
        <w:rPr>
          <w:rFonts w:ascii="Baskerville" w:hAnsi="Baskerville"/>
          <w:sz w:val="20"/>
          <w:szCs w:val="20"/>
        </w:rPr>
        <w:t xml:space="preserve"> (</w:t>
      </w:r>
      <w:r w:rsidRPr="009023F4">
        <w:rPr>
          <w:rFonts w:ascii="Baskerville" w:hAnsi="Baskerville"/>
          <w:sz w:val="20"/>
          <w:szCs w:val="20"/>
        </w:rPr>
        <w:t>New York</w:t>
      </w:r>
      <w:r>
        <w:rPr>
          <w:rFonts w:ascii="Baskerville" w:hAnsi="Baskerville"/>
          <w:sz w:val="20"/>
          <w:szCs w:val="20"/>
        </w:rPr>
        <w:t>:</w:t>
      </w:r>
      <w:r w:rsidRPr="009023F4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sz w:val="20"/>
          <w:szCs w:val="20"/>
        </w:rPr>
        <w:t>OUP</w:t>
      </w:r>
      <w:r w:rsidRPr="009023F4">
        <w:rPr>
          <w:rFonts w:ascii="Baskerville" w:hAnsi="Baskerville"/>
          <w:sz w:val="20"/>
          <w:szCs w:val="20"/>
        </w:rPr>
        <w:t xml:space="preserve"> 2011</w:t>
      </w:r>
      <w:r>
        <w:rPr>
          <w:rFonts w:ascii="Baskerville" w:hAnsi="Baskerville"/>
          <w:sz w:val="20"/>
          <w:szCs w:val="20"/>
        </w:rPr>
        <w:t>), p 5</w:t>
      </w:r>
      <w:r w:rsidRPr="009023F4">
        <w:rPr>
          <w:rFonts w:ascii="Baskerville" w:hAnsi="Baskerville"/>
          <w:sz w:val="20"/>
          <w:szCs w:val="20"/>
        </w:rPr>
        <w:t>.</w:t>
      </w:r>
    </w:p>
  </w:footnote>
  <w:footnote w:id="40">
    <w:p w14:paraId="72316887" w14:textId="0AA3C282" w:rsidR="00967912" w:rsidRPr="00F94839" w:rsidRDefault="00967912" w:rsidP="00F94839">
      <w:pPr>
        <w:pStyle w:val="FootnoteText"/>
        <w:rPr>
          <w:rFonts w:ascii="Baskerville" w:hAnsi="Baskerville"/>
          <w:iCs/>
          <w:sz w:val="20"/>
          <w:szCs w:val="20"/>
        </w:rPr>
      </w:pPr>
      <w:r w:rsidRPr="00F94839">
        <w:rPr>
          <w:rStyle w:val="FootnoteReference"/>
          <w:rFonts w:ascii="Baskerville" w:hAnsi="Baskerville"/>
          <w:sz w:val="20"/>
          <w:szCs w:val="20"/>
        </w:rPr>
        <w:footnoteRef/>
      </w:r>
      <w:r w:rsidRPr="00F94839">
        <w:rPr>
          <w:rFonts w:ascii="Baskerville" w:hAnsi="Baskerville"/>
          <w:sz w:val="20"/>
          <w:szCs w:val="20"/>
        </w:rPr>
        <w:t xml:space="preserve"> </w:t>
      </w:r>
      <w:r>
        <w:rPr>
          <w:rFonts w:ascii="Baskerville" w:hAnsi="Baskerville"/>
          <w:iCs/>
          <w:sz w:val="20"/>
          <w:szCs w:val="20"/>
        </w:rPr>
        <w:t>Often preferred by States that wish avoid binding obligations, s</w:t>
      </w:r>
      <w:r w:rsidRPr="00F94839">
        <w:rPr>
          <w:rFonts w:ascii="Baskerville" w:hAnsi="Baskerville"/>
          <w:iCs/>
          <w:sz w:val="20"/>
          <w:szCs w:val="20"/>
        </w:rPr>
        <w:t xml:space="preserve">oft law instruments are non-binding </w:t>
      </w:r>
      <w:r>
        <w:rPr>
          <w:rFonts w:ascii="Baskerville" w:hAnsi="Baskerville"/>
          <w:iCs/>
          <w:sz w:val="20"/>
          <w:szCs w:val="20"/>
        </w:rPr>
        <w:t xml:space="preserve">(although they </w:t>
      </w:r>
      <w:r w:rsidRPr="003B4C57">
        <w:rPr>
          <w:rFonts w:ascii="Baskerville" w:hAnsi="Baskerville"/>
          <w:iCs/>
          <w:sz w:val="20"/>
          <w:szCs w:val="20"/>
        </w:rPr>
        <w:t>may acquire binding force over time through international customary law</w:t>
      </w:r>
      <w:r>
        <w:rPr>
          <w:rFonts w:ascii="Baskerville" w:hAnsi="Baskerville"/>
          <w:iCs/>
          <w:sz w:val="20"/>
          <w:szCs w:val="20"/>
        </w:rPr>
        <w:t>)</w:t>
      </w:r>
      <w:r w:rsidRPr="003B4C57">
        <w:rPr>
          <w:rFonts w:ascii="Baskerville" w:hAnsi="Baskerville"/>
          <w:iCs/>
          <w:sz w:val="20"/>
          <w:szCs w:val="20"/>
        </w:rPr>
        <w:t xml:space="preserve"> </w:t>
      </w:r>
      <w:r w:rsidRPr="00F94839">
        <w:rPr>
          <w:rFonts w:ascii="Baskerville" w:hAnsi="Baskerville"/>
          <w:iCs/>
          <w:sz w:val="20"/>
          <w:szCs w:val="20"/>
        </w:rPr>
        <w:t xml:space="preserve">and </w:t>
      </w:r>
      <w:r>
        <w:rPr>
          <w:rFonts w:ascii="Baskerville" w:hAnsi="Baskerville"/>
          <w:iCs/>
          <w:sz w:val="20"/>
          <w:szCs w:val="20"/>
        </w:rPr>
        <w:t>their</w:t>
      </w:r>
      <w:r w:rsidRPr="00F94839">
        <w:rPr>
          <w:rFonts w:ascii="Baskerville" w:hAnsi="Baskerville"/>
          <w:iCs/>
          <w:sz w:val="20"/>
          <w:szCs w:val="20"/>
        </w:rPr>
        <w:t xml:space="preserve"> legal character </w:t>
      </w:r>
      <w:r>
        <w:rPr>
          <w:rFonts w:ascii="Baskerville" w:hAnsi="Baskerville"/>
          <w:iCs/>
          <w:sz w:val="20"/>
          <w:szCs w:val="20"/>
        </w:rPr>
        <w:t>is subject to debate</w:t>
      </w:r>
      <w:r w:rsidRPr="00F94839">
        <w:rPr>
          <w:rFonts w:ascii="Baskerville" w:hAnsi="Baskerville"/>
          <w:iCs/>
          <w:sz w:val="20"/>
          <w:szCs w:val="20"/>
        </w:rPr>
        <w:t xml:space="preserve">. Soft law provisions are often incorporated in treaties such as the 1992 UN Framework Convention on Climate Change. Examples of soft law </w:t>
      </w:r>
      <w:r>
        <w:rPr>
          <w:rFonts w:ascii="Baskerville" w:hAnsi="Baskerville"/>
          <w:iCs/>
          <w:sz w:val="20"/>
          <w:szCs w:val="20"/>
        </w:rPr>
        <w:t>include</w:t>
      </w:r>
      <w:r w:rsidRPr="00F94839">
        <w:rPr>
          <w:rFonts w:ascii="Baskerville" w:hAnsi="Baskerville"/>
          <w:iCs/>
          <w:sz w:val="20"/>
          <w:szCs w:val="20"/>
        </w:rPr>
        <w:t xml:space="preserve"> various non-binding declarations</w:t>
      </w:r>
      <w:r>
        <w:rPr>
          <w:rFonts w:ascii="Baskerville" w:hAnsi="Baskerville"/>
          <w:iCs/>
          <w:sz w:val="20"/>
          <w:szCs w:val="20"/>
        </w:rPr>
        <w:t>,</w:t>
      </w:r>
      <w:r w:rsidRPr="00F94839">
        <w:rPr>
          <w:rFonts w:ascii="Baskerville" w:hAnsi="Baskerville"/>
          <w:iCs/>
          <w:sz w:val="20"/>
          <w:szCs w:val="20"/>
        </w:rPr>
        <w:t xml:space="preserve"> such as the: </w:t>
      </w:r>
    </w:p>
    <w:p w14:paraId="6C83EB44" w14:textId="77777777" w:rsidR="00967912" w:rsidRPr="00F94839" w:rsidRDefault="00967912" w:rsidP="00F94839">
      <w:pPr>
        <w:pStyle w:val="FootnoteText"/>
        <w:numPr>
          <w:ilvl w:val="0"/>
          <w:numId w:val="41"/>
        </w:numPr>
        <w:rPr>
          <w:rFonts w:ascii="Baskerville" w:hAnsi="Baskerville"/>
          <w:iCs/>
          <w:sz w:val="20"/>
          <w:szCs w:val="20"/>
        </w:rPr>
      </w:pPr>
      <w:r w:rsidRPr="00F94839">
        <w:rPr>
          <w:rFonts w:ascii="Baskerville" w:hAnsi="Baskerville"/>
          <w:iCs/>
          <w:sz w:val="20"/>
          <w:szCs w:val="20"/>
        </w:rPr>
        <w:t xml:space="preserve"> 1972 Stockholm Declaration on Human Environment </w:t>
      </w:r>
    </w:p>
    <w:p w14:paraId="5B529C09" w14:textId="2BCC3C5B" w:rsidR="00967912" w:rsidRPr="00F94839" w:rsidRDefault="00967912" w:rsidP="00F94839">
      <w:pPr>
        <w:pStyle w:val="FootnoteText"/>
        <w:numPr>
          <w:ilvl w:val="0"/>
          <w:numId w:val="41"/>
        </w:numPr>
        <w:rPr>
          <w:rFonts w:ascii="Baskerville" w:hAnsi="Baskerville"/>
          <w:iCs/>
          <w:sz w:val="20"/>
          <w:szCs w:val="20"/>
        </w:rPr>
      </w:pPr>
      <w:r w:rsidRPr="00F94839">
        <w:rPr>
          <w:rFonts w:ascii="Baskerville" w:hAnsi="Baskerville"/>
          <w:iCs/>
          <w:sz w:val="20"/>
          <w:szCs w:val="20"/>
        </w:rPr>
        <w:t xml:space="preserve"> 1992 Rio Declaration on Development and Environment. </w:t>
      </w:r>
    </w:p>
  </w:footnote>
  <w:footnote w:id="41">
    <w:p w14:paraId="4668F22B" w14:textId="0D2A38CB" w:rsidR="00967912" w:rsidRPr="004B5B9F" w:rsidRDefault="00967912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4B5B9F">
        <w:rPr>
          <w:rStyle w:val="FootnoteReference"/>
          <w:rFonts w:ascii="Baskerville" w:hAnsi="Baskerville"/>
          <w:sz w:val="20"/>
          <w:szCs w:val="20"/>
        </w:rPr>
        <w:footnoteRef/>
      </w:r>
      <w:r w:rsidRPr="004B5B9F">
        <w:rPr>
          <w:rFonts w:ascii="Baskerville" w:hAnsi="Baskerville"/>
          <w:sz w:val="20"/>
          <w:szCs w:val="20"/>
        </w:rPr>
        <w:t xml:space="preserve"> See Professor Oppenheim’s statement in Jennings and Watts (n 1</w:t>
      </w:r>
      <w:r>
        <w:rPr>
          <w:rFonts w:ascii="Baskerville" w:hAnsi="Baskerville"/>
          <w:sz w:val="20"/>
          <w:szCs w:val="20"/>
        </w:rPr>
        <w:t>9</w:t>
      </w:r>
      <w:r w:rsidRPr="004B5B9F">
        <w:rPr>
          <w:rFonts w:ascii="Baskerville" w:hAnsi="Baskerville"/>
          <w:sz w:val="20"/>
          <w:szCs w:val="20"/>
        </w:rPr>
        <w:t>), at 45.</w:t>
      </w:r>
    </w:p>
  </w:footnote>
  <w:footnote w:id="42">
    <w:p w14:paraId="1179D170" w14:textId="508E7CA7" w:rsidR="00967912" w:rsidRPr="00915B6C" w:rsidRDefault="00967912" w:rsidP="00970D34">
      <w:pPr>
        <w:pStyle w:val="FootnoteText"/>
        <w:rPr>
          <w:rFonts w:ascii="Baskerville" w:hAnsi="Baskerville"/>
          <w:sz w:val="20"/>
          <w:szCs w:val="20"/>
          <w:lang w:val="en-US"/>
        </w:rPr>
      </w:pPr>
      <w:r w:rsidRPr="00915B6C">
        <w:rPr>
          <w:rStyle w:val="FootnoteReference"/>
          <w:rFonts w:ascii="Baskerville" w:hAnsi="Baskerville"/>
          <w:sz w:val="20"/>
          <w:szCs w:val="20"/>
        </w:rPr>
        <w:footnoteRef/>
      </w:r>
      <w:r w:rsidRPr="00915B6C">
        <w:rPr>
          <w:rFonts w:ascii="Baskerville" w:hAnsi="Baskerville"/>
          <w:sz w:val="20"/>
          <w:szCs w:val="20"/>
        </w:rPr>
        <w:t xml:space="preserve"> </w:t>
      </w:r>
      <w:r w:rsidRPr="00915B6C">
        <w:rPr>
          <w:rFonts w:ascii="Baskerville" w:hAnsi="Baskerville"/>
          <w:sz w:val="20"/>
          <w:szCs w:val="20"/>
          <w:lang w:val="en-US"/>
        </w:rPr>
        <w:t xml:space="preserve">Jayakumar (n 1). 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0AD60E" w14:textId="7A2C4369" w:rsidR="00967912" w:rsidRPr="003272A5" w:rsidRDefault="00967912">
    <w:pPr>
      <w:pStyle w:val="Header"/>
      <w:rPr>
        <w:rFonts w:ascii="Baskerville" w:hAnsi="Baskerville"/>
      </w:rPr>
    </w:pPr>
    <w:r>
      <w:rPr>
        <w:rFonts w:ascii="Baskerville" w:hAnsi="Baskerville"/>
      </w:rPr>
      <w:t>Christopher Olsen                                                                                            4/1/2017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E2685F2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19B3AE1"/>
    <w:multiLevelType w:val="multilevel"/>
    <w:tmpl w:val="20DE67BA"/>
    <w:lvl w:ilvl="0">
      <w:start w:val="9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DE5540"/>
    <w:multiLevelType w:val="multilevel"/>
    <w:tmpl w:val="813C78C2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426CBE"/>
    <w:multiLevelType w:val="hybridMultilevel"/>
    <w:tmpl w:val="2C58BB0C"/>
    <w:lvl w:ilvl="0" w:tplc="3E3288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6CE06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3AC3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669C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8422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4601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329C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EC60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DEEF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0973402D"/>
    <w:multiLevelType w:val="hybridMultilevel"/>
    <w:tmpl w:val="A33EF6AC"/>
    <w:lvl w:ilvl="0" w:tplc="B62C6A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D4F3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7A10A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581D1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0871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04682F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32A90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66F9A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3A465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0E982272"/>
    <w:multiLevelType w:val="multilevel"/>
    <w:tmpl w:val="68C0F628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EE6A42"/>
    <w:multiLevelType w:val="hybridMultilevel"/>
    <w:tmpl w:val="48A41964"/>
    <w:lvl w:ilvl="0" w:tplc="7598DB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FCF22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E4DE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3269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2E6B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A5C7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A89A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9E6B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7487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27F4DE3"/>
    <w:multiLevelType w:val="multilevel"/>
    <w:tmpl w:val="9A88C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2D238B3"/>
    <w:multiLevelType w:val="hybridMultilevel"/>
    <w:tmpl w:val="B9322126"/>
    <w:lvl w:ilvl="0" w:tplc="144CF1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ECD69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B2294A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8606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F6046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5D04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2030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B874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F0E9E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3887F85"/>
    <w:multiLevelType w:val="hybridMultilevel"/>
    <w:tmpl w:val="ADF2A14E"/>
    <w:lvl w:ilvl="0" w:tplc="D0724B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960F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CA79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5A98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040F5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8EE1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0E35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F8AC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EEB2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18761D59"/>
    <w:multiLevelType w:val="hybridMultilevel"/>
    <w:tmpl w:val="24D2E644"/>
    <w:lvl w:ilvl="0" w:tplc="5186D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9C55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68AA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FA0B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4C2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97490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E880E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9004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64AB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19806D17"/>
    <w:multiLevelType w:val="hybridMultilevel"/>
    <w:tmpl w:val="C50ABA16"/>
    <w:lvl w:ilvl="0" w:tplc="64B867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0C9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60AC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126C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BCE2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C48B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C67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8C4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9E76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1C424B29"/>
    <w:multiLevelType w:val="multilevel"/>
    <w:tmpl w:val="76C60B4A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CAF1B9F"/>
    <w:multiLevelType w:val="hybridMultilevel"/>
    <w:tmpl w:val="B2A04EFA"/>
    <w:lvl w:ilvl="0" w:tplc="57A6E5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0C6741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A2EE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2DECD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42F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D832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8A3A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EDC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BAEF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1D881971"/>
    <w:multiLevelType w:val="hybridMultilevel"/>
    <w:tmpl w:val="676AA97C"/>
    <w:lvl w:ilvl="0" w:tplc="6A7EB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22E52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1AAEA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78F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A6715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F3E67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76B1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0C8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1E81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1E043703"/>
    <w:multiLevelType w:val="multilevel"/>
    <w:tmpl w:val="435A3F20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1F6A6B41"/>
    <w:multiLevelType w:val="hybridMultilevel"/>
    <w:tmpl w:val="B72228DE"/>
    <w:lvl w:ilvl="0" w:tplc="1D20AC6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A2853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BCA52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FED50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1C6F4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CA0BC4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BE754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E0917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80A50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2093568F"/>
    <w:multiLevelType w:val="hybridMultilevel"/>
    <w:tmpl w:val="DB306DB8"/>
    <w:lvl w:ilvl="0" w:tplc="8FD41F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86703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7E18D6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9AD0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70D5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A603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BB633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B037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AE98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227A614F"/>
    <w:multiLevelType w:val="hybridMultilevel"/>
    <w:tmpl w:val="C3D68A88"/>
    <w:lvl w:ilvl="0" w:tplc="199CC5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D808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38C3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AC19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2879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B040C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A1898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E636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1E60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24BF66D3"/>
    <w:multiLevelType w:val="hybridMultilevel"/>
    <w:tmpl w:val="D1C623E2"/>
    <w:lvl w:ilvl="0" w:tplc="0E3EA5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14D7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AE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A2EA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E9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DCA4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AE77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1449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5C56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25E85F54"/>
    <w:multiLevelType w:val="hybridMultilevel"/>
    <w:tmpl w:val="CFD22134"/>
    <w:lvl w:ilvl="0" w:tplc="2020B7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A040B30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D288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DBA07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AE16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5456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A488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38A1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6E97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2AA365A7"/>
    <w:multiLevelType w:val="multilevel"/>
    <w:tmpl w:val="F70086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DA41A27"/>
    <w:multiLevelType w:val="hybridMultilevel"/>
    <w:tmpl w:val="090A23C2"/>
    <w:lvl w:ilvl="0" w:tplc="45BCA0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4DC6D6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8C43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7A5F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6C1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50F7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B047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2F6C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747F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>
    <w:nsid w:val="2EB91A97"/>
    <w:multiLevelType w:val="hybridMultilevel"/>
    <w:tmpl w:val="B6462CEE"/>
    <w:lvl w:ilvl="0" w:tplc="203AA7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" w:hAnsi="Times" w:hint="default"/>
      </w:rPr>
    </w:lvl>
    <w:lvl w:ilvl="1" w:tplc="7C2AB3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" w:hAnsi="Times" w:hint="default"/>
      </w:rPr>
    </w:lvl>
    <w:lvl w:ilvl="2" w:tplc="F044D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" w:hAnsi="Times" w:hint="default"/>
      </w:rPr>
    </w:lvl>
    <w:lvl w:ilvl="3" w:tplc="498E38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" w:hAnsi="Times" w:hint="default"/>
      </w:rPr>
    </w:lvl>
    <w:lvl w:ilvl="4" w:tplc="FF8C26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" w:hAnsi="Times" w:hint="default"/>
      </w:rPr>
    </w:lvl>
    <w:lvl w:ilvl="5" w:tplc="A40E1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" w:hAnsi="Times" w:hint="default"/>
      </w:rPr>
    </w:lvl>
    <w:lvl w:ilvl="6" w:tplc="003A19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" w:hAnsi="Times" w:hint="default"/>
      </w:rPr>
    </w:lvl>
    <w:lvl w:ilvl="7" w:tplc="E60634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" w:hAnsi="Times" w:hint="default"/>
      </w:rPr>
    </w:lvl>
    <w:lvl w:ilvl="8" w:tplc="6256EC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" w:hAnsi="Times" w:hint="default"/>
      </w:rPr>
    </w:lvl>
  </w:abstractNum>
  <w:abstractNum w:abstractNumId="24">
    <w:nsid w:val="2F800D6A"/>
    <w:multiLevelType w:val="hybridMultilevel"/>
    <w:tmpl w:val="8E12F354"/>
    <w:lvl w:ilvl="0" w:tplc="5F887F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4A7E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58E4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4A6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70E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A08D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49C90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5C02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CCE0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>
    <w:nsid w:val="30EB6460"/>
    <w:multiLevelType w:val="multilevel"/>
    <w:tmpl w:val="11E6F0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2A052C9"/>
    <w:multiLevelType w:val="multilevel"/>
    <w:tmpl w:val="625E09AA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2EB1B42"/>
    <w:multiLevelType w:val="hybridMultilevel"/>
    <w:tmpl w:val="CAE2B3C0"/>
    <w:lvl w:ilvl="0" w:tplc="74F41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E38D1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5C73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264E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82E1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BAF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54D1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B42A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182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3D2F69D7"/>
    <w:multiLevelType w:val="hybridMultilevel"/>
    <w:tmpl w:val="5CC09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28B17C0"/>
    <w:multiLevelType w:val="multilevel"/>
    <w:tmpl w:val="BC2C66A0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41E6A72"/>
    <w:multiLevelType w:val="multilevel"/>
    <w:tmpl w:val="CBD2D026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BB06023"/>
    <w:multiLevelType w:val="hybridMultilevel"/>
    <w:tmpl w:val="B4883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C2C666F"/>
    <w:multiLevelType w:val="hybridMultilevel"/>
    <w:tmpl w:val="DF16F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975E0D"/>
    <w:multiLevelType w:val="hybridMultilevel"/>
    <w:tmpl w:val="D6761E0A"/>
    <w:lvl w:ilvl="0" w:tplc="D652BF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1AA5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F6F5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0EE1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B400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9A0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A9407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709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0C7F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>
    <w:nsid w:val="61373A52"/>
    <w:multiLevelType w:val="multilevel"/>
    <w:tmpl w:val="11EE416A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63543A"/>
    <w:multiLevelType w:val="hybridMultilevel"/>
    <w:tmpl w:val="F0AA6E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A36D24"/>
    <w:multiLevelType w:val="hybridMultilevel"/>
    <w:tmpl w:val="BE289A5E"/>
    <w:lvl w:ilvl="0" w:tplc="72EE77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A2F32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ECDD9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32BF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0861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EA093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A29B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DC89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AE21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>
    <w:nsid w:val="68572551"/>
    <w:multiLevelType w:val="hybridMultilevel"/>
    <w:tmpl w:val="B868E9F4"/>
    <w:lvl w:ilvl="0" w:tplc="D6620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CC4E68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98B39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5007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906EC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4C16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D2ED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5485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64C9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>
    <w:nsid w:val="6CC166CF"/>
    <w:multiLevelType w:val="hybridMultilevel"/>
    <w:tmpl w:val="CE843152"/>
    <w:lvl w:ilvl="0" w:tplc="66E83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B65B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3E30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2046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35005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84A7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C47D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3E44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86094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>
    <w:nsid w:val="7BD90046"/>
    <w:multiLevelType w:val="hybridMultilevel"/>
    <w:tmpl w:val="6D4097F8"/>
    <w:lvl w:ilvl="0" w:tplc="8734487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63C0202C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79BCA25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72411B4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94B66F62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88721BDE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280046E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6810A89A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93F6BF0E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>
    <w:nsid w:val="7D2832AA"/>
    <w:multiLevelType w:val="hybridMultilevel"/>
    <w:tmpl w:val="AFFAAF74"/>
    <w:lvl w:ilvl="0" w:tplc="7EB67F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EA8505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3908D8E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0AA8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7C10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24A5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E85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8883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C632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1">
    <w:nsid w:val="7E293548"/>
    <w:multiLevelType w:val="hybridMultilevel"/>
    <w:tmpl w:val="6C603764"/>
    <w:lvl w:ilvl="0" w:tplc="6ECC0396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</w:lvl>
    <w:lvl w:ilvl="1" w:tplc="0C9860C8" w:tentative="1">
      <w:start w:val="1"/>
      <w:numFmt w:val="lowerLetter"/>
      <w:lvlText w:val="(%2)"/>
      <w:lvlJc w:val="left"/>
      <w:pPr>
        <w:tabs>
          <w:tab w:val="num" w:pos="1440"/>
        </w:tabs>
        <w:ind w:left="1440" w:hanging="360"/>
      </w:pPr>
    </w:lvl>
    <w:lvl w:ilvl="2" w:tplc="319EC138" w:tentative="1">
      <w:start w:val="1"/>
      <w:numFmt w:val="lowerLetter"/>
      <w:lvlText w:val="(%3)"/>
      <w:lvlJc w:val="left"/>
      <w:pPr>
        <w:tabs>
          <w:tab w:val="num" w:pos="2160"/>
        </w:tabs>
        <w:ind w:left="2160" w:hanging="360"/>
      </w:pPr>
    </w:lvl>
    <w:lvl w:ilvl="3" w:tplc="F982BAB4" w:tentative="1">
      <w:start w:val="1"/>
      <w:numFmt w:val="lowerLetter"/>
      <w:lvlText w:val="(%4)"/>
      <w:lvlJc w:val="left"/>
      <w:pPr>
        <w:tabs>
          <w:tab w:val="num" w:pos="2880"/>
        </w:tabs>
        <w:ind w:left="2880" w:hanging="360"/>
      </w:pPr>
    </w:lvl>
    <w:lvl w:ilvl="4" w:tplc="3A08C1DE" w:tentative="1">
      <w:start w:val="1"/>
      <w:numFmt w:val="lowerLetter"/>
      <w:lvlText w:val="(%5)"/>
      <w:lvlJc w:val="left"/>
      <w:pPr>
        <w:tabs>
          <w:tab w:val="num" w:pos="3600"/>
        </w:tabs>
        <w:ind w:left="3600" w:hanging="360"/>
      </w:pPr>
    </w:lvl>
    <w:lvl w:ilvl="5" w:tplc="1556EB10" w:tentative="1">
      <w:start w:val="1"/>
      <w:numFmt w:val="lowerLetter"/>
      <w:lvlText w:val="(%6)"/>
      <w:lvlJc w:val="left"/>
      <w:pPr>
        <w:tabs>
          <w:tab w:val="num" w:pos="4320"/>
        </w:tabs>
        <w:ind w:left="4320" w:hanging="360"/>
      </w:pPr>
    </w:lvl>
    <w:lvl w:ilvl="6" w:tplc="8C10E486" w:tentative="1">
      <w:start w:val="1"/>
      <w:numFmt w:val="lowerLetter"/>
      <w:lvlText w:val="(%7)"/>
      <w:lvlJc w:val="left"/>
      <w:pPr>
        <w:tabs>
          <w:tab w:val="num" w:pos="5040"/>
        </w:tabs>
        <w:ind w:left="5040" w:hanging="360"/>
      </w:pPr>
    </w:lvl>
    <w:lvl w:ilvl="7" w:tplc="8A660CF2" w:tentative="1">
      <w:start w:val="1"/>
      <w:numFmt w:val="lowerLetter"/>
      <w:lvlText w:val="(%8)"/>
      <w:lvlJc w:val="left"/>
      <w:pPr>
        <w:tabs>
          <w:tab w:val="num" w:pos="5760"/>
        </w:tabs>
        <w:ind w:left="5760" w:hanging="360"/>
      </w:pPr>
    </w:lvl>
    <w:lvl w:ilvl="8" w:tplc="E784422E" w:tentative="1">
      <w:start w:val="1"/>
      <w:numFmt w:val="low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28"/>
  </w:num>
  <w:num w:numId="2">
    <w:abstractNumId w:val="0"/>
  </w:num>
  <w:num w:numId="3">
    <w:abstractNumId w:val="36"/>
  </w:num>
  <w:num w:numId="4">
    <w:abstractNumId w:val="8"/>
  </w:num>
  <w:num w:numId="5">
    <w:abstractNumId w:val="17"/>
  </w:num>
  <w:num w:numId="6">
    <w:abstractNumId w:val="13"/>
  </w:num>
  <w:num w:numId="7">
    <w:abstractNumId w:val="19"/>
  </w:num>
  <w:num w:numId="8">
    <w:abstractNumId w:val="16"/>
  </w:num>
  <w:num w:numId="9">
    <w:abstractNumId w:val="9"/>
  </w:num>
  <w:num w:numId="10">
    <w:abstractNumId w:val="24"/>
  </w:num>
  <w:num w:numId="11">
    <w:abstractNumId w:val="38"/>
  </w:num>
  <w:num w:numId="12">
    <w:abstractNumId w:val="4"/>
  </w:num>
  <w:num w:numId="13">
    <w:abstractNumId w:val="6"/>
  </w:num>
  <w:num w:numId="14">
    <w:abstractNumId w:val="22"/>
  </w:num>
  <w:num w:numId="15">
    <w:abstractNumId w:val="37"/>
  </w:num>
  <w:num w:numId="16">
    <w:abstractNumId w:val="40"/>
  </w:num>
  <w:num w:numId="17">
    <w:abstractNumId w:val="14"/>
  </w:num>
  <w:num w:numId="18">
    <w:abstractNumId w:val="18"/>
  </w:num>
  <w:num w:numId="19">
    <w:abstractNumId w:val="27"/>
  </w:num>
  <w:num w:numId="20">
    <w:abstractNumId w:val="11"/>
  </w:num>
  <w:num w:numId="21">
    <w:abstractNumId w:val="20"/>
  </w:num>
  <w:num w:numId="22">
    <w:abstractNumId w:val="3"/>
  </w:num>
  <w:num w:numId="23">
    <w:abstractNumId w:val="31"/>
  </w:num>
  <w:num w:numId="24">
    <w:abstractNumId w:val="35"/>
  </w:num>
  <w:num w:numId="25">
    <w:abstractNumId w:val="39"/>
  </w:num>
  <w:num w:numId="26">
    <w:abstractNumId w:val="23"/>
  </w:num>
  <w:num w:numId="27">
    <w:abstractNumId w:val="33"/>
  </w:num>
  <w:num w:numId="28">
    <w:abstractNumId w:val="10"/>
  </w:num>
  <w:num w:numId="29">
    <w:abstractNumId w:val="41"/>
  </w:num>
  <w:num w:numId="30">
    <w:abstractNumId w:val="29"/>
  </w:num>
  <w:num w:numId="31">
    <w:abstractNumId w:val="30"/>
  </w:num>
  <w:num w:numId="32">
    <w:abstractNumId w:val="5"/>
  </w:num>
  <w:num w:numId="33">
    <w:abstractNumId w:val="12"/>
  </w:num>
  <w:num w:numId="34">
    <w:abstractNumId w:val="2"/>
  </w:num>
  <w:num w:numId="35">
    <w:abstractNumId w:val="15"/>
  </w:num>
  <w:num w:numId="36">
    <w:abstractNumId w:val="26"/>
  </w:num>
  <w:num w:numId="37">
    <w:abstractNumId w:val="1"/>
  </w:num>
  <w:num w:numId="38">
    <w:abstractNumId w:val="25"/>
  </w:num>
  <w:num w:numId="39">
    <w:abstractNumId w:val="34"/>
  </w:num>
  <w:num w:numId="40">
    <w:abstractNumId w:val="32"/>
  </w:num>
  <w:num w:numId="41">
    <w:abstractNumId w:val="21"/>
  </w:num>
  <w:num w:numId="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2A5"/>
    <w:rsid w:val="00000BD1"/>
    <w:rsid w:val="00001F67"/>
    <w:rsid w:val="000023CD"/>
    <w:rsid w:val="000025EB"/>
    <w:rsid w:val="0000291B"/>
    <w:rsid w:val="000030B7"/>
    <w:rsid w:val="0000344E"/>
    <w:rsid w:val="0000350A"/>
    <w:rsid w:val="0000539A"/>
    <w:rsid w:val="00005468"/>
    <w:rsid w:val="000059A9"/>
    <w:rsid w:val="0000666C"/>
    <w:rsid w:val="00010766"/>
    <w:rsid w:val="00011BDB"/>
    <w:rsid w:val="00012487"/>
    <w:rsid w:val="000126FB"/>
    <w:rsid w:val="000128F2"/>
    <w:rsid w:val="000129D4"/>
    <w:rsid w:val="000133D6"/>
    <w:rsid w:val="00013AF3"/>
    <w:rsid w:val="00014314"/>
    <w:rsid w:val="000145AB"/>
    <w:rsid w:val="00014600"/>
    <w:rsid w:val="0001486E"/>
    <w:rsid w:val="00014FA8"/>
    <w:rsid w:val="000155E1"/>
    <w:rsid w:val="00015A32"/>
    <w:rsid w:val="000162AA"/>
    <w:rsid w:val="00016B67"/>
    <w:rsid w:val="00016EC2"/>
    <w:rsid w:val="000178D0"/>
    <w:rsid w:val="000209C2"/>
    <w:rsid w:val="000214F9"/>
    <w:rsid w:val="000225E7"/>
    <w:rsid w:val="00024A15"/>
    <w:rsid w:val="00025114"/>
    <w:rsid w:val="000255A4"/>
    <w:rsid w:val="000256C5"/>
    <w:rsid w:val="00025D97"/>
    <w:rsid w:val="0002653D"/>
    <w:rsid w:val="00026B30"/>
    <w:rsid w:val="00026C7C"/>
    <w:rsid w:val="0002704E"/>
    <w:rsid w:val="00030511"/>
    <w:rsid w:val="00032F4F"/>
    <w:rsid w:val="00034509"/>
    <w:rsid w:val="00034683"/>
    <w:rsid w:val="00035CB6"/>
    <w:rsid w:val="000368E0"/>
    <w:rsid w:val="000413C4"/>
    <w:rsid w:val="00042373"/>
    <w:rsid w:val="000424A9"/>
    <w:rsid w:val="00042D32"/>
    <w:rsid w:val="0004619D"/>
    <w:rsid w:val="0004693D"/>
    <w:rsid w:val="0004723B"/>
    <w:rsid w:val="000475F5"/>
    <w:rsid w:val="00050D97"/>
    <w:rsid w:val="00050FDE"/>
    <w:rsid w:val="00051257"/>
    <w:rsid w:val="0005291A"/>
    <w:rsid w:val="000543D4"/>
    <w:rsid w:val="00054686"/>
    <w:rsid w:val="00054BF9"/>
    <w:rsid w:val="00054D73"/>
    <w:rsid w:val="000556AE"/>
    <w:rsid w:val="00055E6E"/>
    <w:rsid w:val="00056E26"/>
    <w:rsid w:val="00057233"/>
    <w:rsid w:val="00060486"/>
    <w:rsid w:val="00060567"/>
    <w:rsid w:val="00063C9D"/>
    <w:rsid w:val="000643D3"/>
    <w:rsid w:val="00065EA1"/>
    <w:rsid w:val="00066537"/>
    <w:rsid w:val="00066CB1"/>
    <w:rsid w:val="00067246"/>
    <w:rsid w:val="00067943"/>
    <w:rsid w:val="000710C2"/>
    <w:rsid w:val="0007138A"/>
    <w:rsid w:val="00071688"/>
    <w:rsid w:val="00071C23"/>
    <w:rsid w:val="00072EC1"/>
    <w:rsid w:val="000730CF"/>
    <w:rsid w:val="00073570"/>
    <w:rsid w:val="00073A9B"/>
    <w:rsid w:val="00073AAE"/>
    <w:rsid w:val="0007476D"/>
    <w:rsid w:val="0007590B"/>
    <w:rsid w:val="000769A6"/>
    <w:rsid w:val="00077106"/>
    <w:rsid w:val="000772B1"/>
    <w:rsid w:val="00080000"/>
    <w:rsid w:val="000808BA"/>
    <w:rsid w:val="00081784"/>
    <w:rsid w:val="00082A07"/>
    <w:rsid w:val="000834E0"/>
    <w:rsid w:val="000837F4"/>
    <w:rsid w:val="00083854"/>
    <w:rsid w:val="00083CAE"/>
    <w:rsid w:val="00084C49"/>
    <w:rsid w:val="0008528A"/>
    <w:rsid w:val="00087CD4"/>
    <w:rsid w:val="00087FD2"/>
    <w:rsid w:val="0009122A"/>
    <w:rsid w:val="00091418"/>
    <w:rsid w:val="0009541C"/>
    <w:rsid w:val="00095BC4"/>
    <w:rsid w:val="000966E8"/>
    <w:rsid w:val="00096CAD"/>
    <w:rsid w:val="00096D78"/>
    <w:rsid w:val="000A04C5"/>
    <w:rsid w:val="000A085A"/>
    <w:rsid w:val="000A0BF0"/>
    <w:rsid w:val="000A10DC"/>
    <w:rsid w:val="000A1313"/>
    <w:rsid w:val="000A2547"/>
    <w:rsid w:val="000A315F"/>
    <w:rsid w:val="000A33FD"/>
    <w:rsid w:val="000A35EA"/>
    <w:rsid w:val="000A3E5F"/>
    <w:rsid w:val="000A4983"/>
    <w:rsid w:val="000A55B1"/>
    <w:rsid w:val="000A57D5"/>
    <w:rsid w:val="000A671B"/>
    <w:rsid w:val="000A7573"/>
    <w:rsid w:val="000B0377"/>
    <w:rsid w:val="000B0C34"/>
    <w:rsid w:val="000B1317"/>
    <w:rsid w:val="000B1620"/>
    <w:rsid w:val="000B1CEA"/>
    <w:rsid w:val="000B1E1E"/>
    <w:rsid w:val="000B2AC6"/>
    <w:rsid w:val="000B5375"/>
    <w:rsid w:val="000B6355"/>
    <w:rsid w:val="000B6681"/>
    <w:rsid w:val="000B7BAD"/>
    <w:rsid w:val="000C0A7C"/>
    <w:rsid w:val="000C0FE5"/>
    <w:rsid w:val="000C112D"/>
    <w:rsid w:val="000C14F2"/>
    <w:rsid w:val="000C37A9"/>
    <w:rsid w:val="000C3F5A"/>
    <w:rsid w:val="000C42BF"/>
    <w:rsid w:val="000C5CB2"/>
    <w:rsid w:val="000C7755"/>
    <w:rsid w:val="000C7A6D"/>
    <w:rsid w:val="000C7C66"/>
    <w:rsid w:val="000D0AA6"/>
    <w:rsid w:val="000D105B"/>
    <w:rsid w:val="000D113D"/>
    <w:rsid w:val="000D257B"/>
    <w:rsid w:val="000D312C"/>
    <w:rsid w:val="000D55C8"/>
    <w:rsid w:val="000D5A85"/>
    <w:rsid w:val="000D621C"/>
    <w:rsid w:val="000D680D"/>
    <w:rsid w:val="000D7ABF"/>
    <w:rsid w:val="000E07D7"/>
    <w:rsid w:val="000E26F4"/>
    <w:rsid w:val="000E30A7"/>
    <w:rsid w:val="000E31A4"/>
    <w:rsid w:val="000E50C3"/>
    <w:rsid w:val="000E53BB"/>
    <w:rsid w:val="000E5569"/>
    <w:rsid w:val="000E5B12"/>
    <w:rsid w:val="000E5B91"/>
    <w:rsid w:val="000E63C2"/>
    <w:rsid w:val="000E7A7E"/>
    <w:rsid w:val="000F171D"/>
    <w:rsid w:val="000F20E0"/>
    <w:rsid w:val="000F2126"/>
    <w:rsid w:val="000F2894"/>
    <w:rsid w:val="000F28ED"/>
    <w:rsid w:val="000F2992"/>
    <w:rsid w:val="000F2B44"/>
    <w:rsid w:val="000F2C6F"/>
    <w:rsid w:val="000F2ECD"/>
    <w:rsid w:val="000F3683"/>
    <w:rsid w:val="000F3AC8"/>
    <w:rsid w:val="000F3E8F"/>
    <w:rsid w:val="000F472F"/>
    <w:rsid w:val="000F62EB"/>
    <w:rsid w:val="000F676C"/>
    <w:rsid w:val="000F71F8"/>
    <w:rsid w:val="000F7F16"/>
    <w:rsid w:val="00100113"/>
    <w:rsid w:val="00101F64"/>
    <w:rsid w:val="0010366C"/>
    <w:rsid w:val="00103959"/>
    <w:rsid w:val="00104E17"/>
    <w:rsid w:val="00106247"/>
    <w:rsid w:val="00106615"/>
    <w:rsid w:val="00106982"/>
    <w:rsid w:val="00110062"/>
    <w:rsid w:val="0011010F"/>
    <w:rsid w:val="00110C64"/>
    <w:rsid w:val="001111E2"/>
    <w:rsid w:val="001114FD"/>
    <w:rsid w:val="001117A6"/>
    <w:rsid w:val="00111C3B"/>
    <w:rsid w:val="00112389"/>
    <w:rsid w:val="00113365"/>
    <w:rsid w:val="00113A36"/>
    <w:rsid w:val="00113ACB"/>
    <w:rsid w:val="00113B9F"/>
    <w:rsid w:val="001140FC"/>
    <w:rsid w:val="00114AD4"/>
    <w:rsid w:val="00114AE1"/>
    <w:rsid w:val="00114F45"/>
    <w:rsid w:val="00115144"/>
    <w:rsid w:val="001151A6"/>
    <w:rsid w:val="00115CD5"/>
    <w:rsid w:val="0011634D"/>
    <w:rsid w:val="00116CF2"/>
    <w:rsid w:val="00117CD0"/>
    <w:rsid w:val="00117F92"/>
    <w:rsid w:val="00120384"/>
    <w:rsid w:val="00120AE2"/>
    <w:rsid w:val="00121234"/>
    <w:rsid w:val="001223B9"/>
    <w:rsid w:val="00122602"/>
    <w:rsid w:val="001228B4"/>
    <w:rsid w:val="00123BC6"/>
    <w:rsid w:val="00124295"/>
    <w:rsid w:val="00124521"/>
    <w:rsid w:val="001254E3"/>
    <w:rsid w:val="00125662"/>
    <w:rsid w:val="001257B9"/>
    <w:rsid w:val="00125A37"/>
    <w:rsid w:val="001266AD"/>
    <w:rsid w:val="001272A4"/>
    <w:rsid w:val="00127B60"/>
    <w:rsid w:val="00127B85"/>
    <w:rsid w:val="0013026D"/>
    <w:rsid w:val="00130573"/>
    <w:rsid w:val="001305EC"/>
    <w:rsid w:val="001308BC"/>
    <w:rsid w:val="00131500"/>
    <w:rsid w:val="00131809"/>
    <w:rsid w:val="00131972"/>
    <w:rsid w:val="001329E8"/>
    <w:rsid w:val="001332C9"/>
    <w:rsid w:val="001336C7"/>
    <w:rsid w:val="001354CE"/>
    <w:rsid w:val="00135A7C"/>
    <w:rsid w:val="00135BD3"/>
    <w:rsid w:val="001368F8"/>
    <w:rsid w:val="00136F0E"/>
    <w:rsid w:val="00136FB3"/>
    <w:rsid w:val="001373DB"/>
    <w:rsid w:val="00140493"/>
    <w:rsid w:val="001415C4"/>
    <w:rsid w:val="0014168B"/>
    <w:rsid w:val="00141CC9"/>
    <w:rsid w:val="00142130"/>
    <w:rsid w:val="001428FD"/>
    <w:rsid w:val="00142D6C"/>
    <w:rsid w:val="00142F3C"/>
    <w:rsid w:val="00143926"/>
    <w:rsid w:val="001440B8"/>
    <w:rsid w:val="001459B3"/>
    <w:rsid w:val="00145D48"/>
    <w:rsid w:val="001464DA"/>
    <w:rsid w:val="00146A70"/>
    <w:rsid w:val="00146D7F"/>
    <w:rsid w:val="001479FF"/>
    <w:rsid w:val="00147B2B"/>
    <w:rsid w:val="00147FEA"/>
    <w:rsid w:val="0015341E"/>
    <w:rsid w:val="00153F7F"/>
    <w:rsid w:val="001543AF"/>
    <w:rsid w:val="00154606"/>
    <w:rsid w:val="001554A6"/>
    <w:rsid w:val="00155D39"/>
    <w:rsid w:val="00157029"/>
    <w:rsid w:val="001573F3"/>
    <w:rsid w:val="001609B0"/>
    <w:rsid w:val="00161256"/>
    <w:rsid w:val="001618A7"/>
    <w:rsid w:val="00162103"/>
    <w:rsid w:val="001625CD"/>
    <w:rsid w:val="00163FB5"/>
    <w:rsid w:val="00164480"/>
    <w:rsid w:val="0016484A"/>
    <w:rsid w:val="0016572B"/>
    <w:rsid w:val="00165A15"/>
    <w:rsid w:val="00170270"/>
    <w:rsid w:val="0017048D"/>
    <w:rsid w:val="001704BD"/>
    <w:rsid w:val="00170900"/>
    <w:rsid w:val="00170E62"/>
    <w:rsid w:val="0017172A"/>
    <w:rsid w:val="0017295F"/>
    <w:rsid w:val="00172B87"/>
    <w:rsid w:val="00172C55"/>
    <w:rsid w:val="00172ECD"/>
    <w:rsid w:val="001734C1"/>
    <w:rsid w:val="00173F99"/>
    <w:rsid w:val="001743F4"/>
    <w:rsid w:val="001744E4"/>
    <w:rsid w:val="001748E7"/>
    <w:rsid w:val="00174EDB"/>
    <w:rsid w:val="001756C8"/>
    <w:rsid w:val="00175D2C"/>
    <w:rsid w:val="00175DAD"/>
    <w:rsid w:val="0017643F"/>
    <w:rsid w:val="0017658D"/>
    <w:rsid w:val="0017665F"/>
    <w:rsid w:val="0017707C"/>
    <w:rsid w:val="001778C1"/>
    <w:rsid w:val="00180977"/>
    <w:rsid w:val="00180A0F"/>
    <w:rsid w:val="00180E27"/>
    <w:rsid w:val="001818FF"/>
    <w:rsid w:val="0018196B"/>
    <w:rsid w:val="00181F47"/>
    <w:rsid w:val="00182660"/>
    <w:rsid w:val="001831F4"/>
    <w:rsid w:val="0018375C"/>
    <w:rsid w:val="00183FF0"/>
    <w:rsid w:val="001855D7"/>
    <w:rsid w:val="0018779F"/>
    <w:rsid w:val="00190042"/>
    <w:rsid w:val="0019022C"/>
    <w:rsid w:val="0019193E"/>
    <w:rsid w:val="001926BB"/>
    <w:rsid w:val="00192CDD"/>
    <w:rsid w:val="001930A8"/>
    <w:rsid w:val="00194D69"/>
    <w:rsid w:val="00195177"/>
    <w:rsid w:val="00196D6D"/>
    <w:rsid w:val="001971ED"/>
    <w:rsid w:val="00197509"/>
    <w:rsid w:val="001A0B74"/>
    <w:rsid w:val="001A312D"/>
    <w:rsid w:val="001A5654"/>
    <w:rsid w:val="001A5D9E"/>
    <w:rsid w:val="001A6B88"/>
    <w:rsid w:val="001A6DB2"/>
    <w:rsid w:val="001A6E2F"/>
    <w:rsid w:val="001A7045"/>
    <w:rsid w:val="001A7295"/>
    <w:rsid w:val="001A769D"/>
    <w:rsid w:val="001B0FF8"/>
    <w:rsid w:val="001B164D"/>
    <w:rsid w:val="001B1A36"/>
    <w:rsid w:val="001B2701"/>
    <w:rsid w:val="001B410C"/>
    <w:rsid w:val="001B46C0"/>
    <w:rsid w:val="001B4B7D"/>
    <w:rsid w:val="001B4CA7"/>
    <w:rsid w:val="001B4F34"/>
    <w:rsid w:val="001B5451"/>
    <w:rsid w:val="001B5590"/>
    <w:rsid w:val="001B5D7D"/>
    <w:rsid w:val="001B64D8"/>
    <w:rsid w:val="001B743A"/>
    <w:rsid w:val="001C0E1E"/>
    <w:rsid w:val="001C25AB"/>
    <w:rsid w:val="001C28D5"/>
    <w:rsid w:val="001C37C6"/>
    <w:rsid w:val="001C3C92"/>
    <w:rsid w:val="001C44EC"/>
    <w:rsid w:val="001C49E6"/>
    <w:rsid w:val="001C4D08"/>
    <w:rsid w:val="001C56D0"/>
    <w:rsid w:val="001C6427"/>
    <w:rsid w:val="001C65CB"/>
    <w:rsid w:val="001C6642"/>
    <w:rsid w:val="001C6E9C"/>
    <w:rsid w:val="001D1991"/>
    <w:rsid w:val="001D1B19"/>
    <w:rsid w:val="001D3326"/>
    <w:rsid w:val="001D43EC"/>
    <w:rsid w:val="001D5EDC"/>
    <w:rsid w:val="001D69E5"/>
    <w:rsid w:val="001D6F20"/>
    <w:rsid w:val="001D7810"/>
    <w:rsid w:val="001D7ABA"/>
    <w:rsid w:val="001E1960"/>
    <w:rsid w:val="001E2923"/>
    <w:rsid w:val="001E2A76"/>
    <w:rsid w:val="001E2FC4"/>
    <w:rsid w:val="001E3335"/>
    <w:rsid w:val="001E334E"/>
    <w:rsid w:val="001E3980"/>
    <w:rsid w:val="001E3BA1"/>
    <w:rsid w:val="001E3FDA"/>
    <w:rsid w:val="001E44C8"/>
    <w:rsid w:val="001E48FC"/>
    <w:rsid w:val="001E6E27"/>
    <w:rsid w:val="001E70E3"/>
    <w:rsid w:val="001E7453"/>
    <w:rsid w:val="001E7882"/>
    <w:rsid w:val="001F08B8"/>
    <w:rsid w:val="001F0E15"/>
    <w:rsid w:val="001F1558"/>
    <w:rsid w:val="001F1574"/>
    <w:rsid w:val="001F1A24"/>
    <w:rsid w:val="001F2A8D"/>
    <w:rsid w:val="001F3181"/>
    <w:rsid w:val="001F33CA"/>
    <w:rsid w:val="001F41D7"/>
    <w:rsid w:val="001F4645"/>
    <w:rsid w:val="001F4ACA"/>
    <w:rsid w:val="001F4EB9"/>
    <w:rsid w:val="001F7222"/>
    <w:rsid w:val="001F7DB7"/>
    <w:rsid w:val="00200730"/>
    <w:rsid w:val="00201853"/>
    <w:rsid w:val="00203CFB"/>
    <w:rsid w:val="00203D0A"/>
    <w:rsid w:val="0020423C"/>
    <w:rsid w:val="00205259"/>
    <w:rsid w:val="00205F23"/>
    <w:rsid w:val="002060FF"/>
    <w:rsid w:val="00206233"/>
    <w:rsid w:val="0020717C"/>
    <w:rsid w:val="002075C1"/>
    <w:rsid w:val="0020796B"/>
    <w:rsid w:val="002079C3"/>
    <w:rsid w:val="00207FB3"/>
    <w:rsid w:val="00210348"/>
    <w:rsid w:val="00210695"/>
    <w:rsid w:val="0021121F"/>
    <w:rsid w:val="0021235C"/>
    <w:rsid w:val="00212A85"/>
    <w:rsid w:val="00213A09"/>
    <w:rsid w:val="002141CD"/>
    <w:rsid w:val="00214A36"/>
    <w:rsid w:val="00215959"/>
    <w:rsid w:val="0021693D"/>
    <w:rsid w:val="002174D5"/>
    <w:rsid w:val="002175A8"/>
    <w:rsid w:val="002176BA"/>
    <w:rsid w:val="002210F0"/>
    <w:rsid w:val="0022174D"/>
    <w:rsid w:val="0022239B"/>
    <w:rsid w:val="00222554"/>
    <w:rsid w:val="002226BC"/>
    <w:rsid w:val="00223251"/>
    <w:rsid w:val="00225C90"/>
    <w:rsid w:val="00226D7E"/>
    <w:rsid w:val="00226F9C"/>
    <w:rsid w:val="002279A7"/>
    <w:rsid w:val="00230740"/>
    <w:rsid w:val="00230C2C"/>
    <w:rsid w:val="002310EB"/>
    <w:rsid w:val="002314EB"/>
    <w:rsid w:val="00231B02"/>
    <w:rsid w:val="00232627"/>
    <w:rsid w:val="00232C5F"/>
    <w:rsid w:val="00233A67"/>
    <w:rsid w:val="00234123"/>
    <w:rsid w:val="002349E1"/>
    <w:rsid w:val="0023637A"/>
    <w:rsid w:val="002365ED"/>
    <w:rsid w:val="002401D8"/>
    <w:rsid w:val="00240BE0"/>
    <w:rsid w:val="0024144E"/>
    <w:rsid w:val="00241624"/>
    <w:rsid w:val="00242C8E"/>
    <w:rsid w:val="00242CCD"/>
    <w:rsid w:val="00243530"/>
    <w:rsid w:val="002444A6"/>
    <w:rsid w:val="00244A9B"/>
    <w:rsid w:val="00244FC5"/>
    <w:rsid w:val="0024590C"/>
    <w:rsid w:val="0024658D"/>
    <w:rsid w:val="00246E97"/>
    <w:rsid w:val="00246FA9"/>
    <w:rsid w:val="002471B1"/>
    <w:rsid w:val="00247CFA"/>
    <w:rsid w:val="00250417"/>
    <w:rsid w:val="002505E0"/>
    <w:rsid w:val="00250D95"/>
    <w:rsid w:val="0025278D"/>
    <w:rsid w:val="00252A02"/>
    <w:rsid w:val="00252A86"/>
    <w:rsid w:val="00252C54"/>
    <w:rsid w:val="0025374E"/>
    <w:rsid w:val="00253929"/>
    <w:rsid w:val="0025395F"/>
    <w:rsid w:val="0025534F"/>
    <w:rsid w:val="002568D0"/>
    <w:rsid w:val="00257083"/>
    <w:rsid w:val="0025787B"/>
    <w:rsid w:val="00260F72"/>
    <w:rsid w:val="00261374"/>
    <w:rsid w:val="00261FCF"/>
    <w:rsid w:val="002623D4"/>
    <w:rsid w:val="00263038"/>
    <w:rsid w:val="00263B9C"/>
    <w:rsid w:val="002640A8"/>
    <w:rsid w:val="002643FD"/>
    <w:rsid w:val="00264F81"/>
    <w:rsid w:val="00265953"/>
    <w:rsid w:val="00266610"/>
    <w:rsid w:val="00266F2B"/>
    <w:rsid w:val="00266F4F"/>
    <w:rsid w:val="00266F6B"/>
    <w:rsid w:val="00267F0A"/>
    <w:rsid w:val="00270328"/>
    <w:rsid w:val="002704E8"/>
    <w:rsid w:val="00270600"/>
    <w:rsid w:val="00271BF2"/>
    <w:rsid w:val="00272430"/>
    <w:rsid w:val="002726BC"/>
    <w:rsid w:val="00272968"/>
    <w:rsid w:val="0027376D"/>
    <w:rsid w:val="00273D40"/>
    <w:rsid w:val="00274CD7"/>
    <w:rsid w:val="0027734D"/>
    <w:rsid w:val="00280734"/>
    <w:rsid w:val="00281E6A"/>
    <w:rsid w:val="0028221A"/>
    <w:rsid w:val="00282FD0"/>
    <w:rsid w:val="002833BE"/>
    <w:rsid w:val="00283586"/>
    <w:rsid w:val="00284B6F"/>
    <w:rsid w:val="00284C6F"/>
    <w:rsid w:val="00285C8D"/>
    <w:rsid w:val="00286865"/>
    <w:rsid w:val="00286ACD"/>
    <w:rsid w:val="0028722D"/>
    <w:rsid w:val="0028756E"/>
    <w:rsid w:val="00290B18"/>
    <w:rsid w:val="0029192E"/>
    <w:rsid w:val="00291B1D"/>
    <w:rsid w:val="0029278D"/>
    <w:rsid w:val="00292A6D"/>
    <w:rsid w:val="0029319F"/>
    <w:rsid w:val="002947B1"/>
    <w:rsid w:val="00294821"/>
    <w:rsid w:val="00294CF4"/>
    <w:rsid w:val="002951BB"/>
    <w:rsid w:val="0029545A"/>
    <w:rsid w:val="0029707D"/>
    <w:rsid w:val="002976A0"/>
    <w:rsid w:val="002A22BA"/>
    <w:rsid w:val="002A239F"/>
    <w:rsid w:val="002A300A"/>
    <w:rsid w:val="002A3B86"/>
    <w:rsid w:val="002A3D89"/>
    <w:rsid w:val="002A44CF"/>
    <w:rsid w:val="002A5C0A"/>
    <w:rsid w:val="002A604C"/>
    <w:rsid w:val="002A639E"/>
    <w:rsid w:val="002B04CA"/>
    <w:rsid w:val="002B082D"/>
    <w:rsid w:val="002B0B42"/>
    <w:rsid w:val="002B0D28"/>
    <w:rsid w:val="002B108C"/>
    <w:rsid w:val="002B1A47"/>
    <w:rsid w:val="002B2ADA"/>
    <w:rsid w:val="002B2C9B"/>
    <w:rsid w:val="002B34B4"/>
    <w:rsid w:val="002B389F"/>
    <w:rsid w:val="002B4875"/>
    <w:rsid w:val="002B5569"/>
    <w:rsid w:val="002B58DC"/>
    <w:rsid w:val="002B5BBF"/>
    <w:rsid w:val="002B5E2E"/>
    <w:rsid w:val="002B733F"/>
    <w:rsid w:val="002C0D2C"/>
    <w:rsid w:val="002C1999"/>
    <w:rsid w:val="002C1E21"/>
    <w:rsid w:val="002C21EA"/>
    <w:rsid w:val="002C25A8"/>
    <w:rsid w:val="002C26B1"/>
    <w:rsid w:val="002C26E8"/>
    <w:rsid w:val="002C30A9"/>
    <w:rsid w:val="002C37C4"/>
    <w:rsid w:val="002C45C0"/>
    <w:rsid w:val="002C4AD7"/>
    <w:rsid w:val="002C4C1E"/>
    <w:rsid w:val="002C5221"/>
    <w:rsid w:val="002C5792"/>
    <w:rsid w:val="002C5C08"/>
    <w:rsid w:val="002C5F7F"/>
    <w:rsid w:val="002C6269"/>
    <w:rsid w:val="002C6DC8"/>
    <w:rsid w:val="002C771B"/>
    <w:rsid w:val="002D01C2"/>
    <w:rsid w:val="002D0AB5"/>
    <w:rsid w:val="002D2C92"/>
    <w:rsid w:val="002D2E47"/>
    <w:rsid w:val="002D3AE3"/>
    <w:rsid w:val="002D3DEA"/>
    <w:rsid w:val="002D4E8C"/>
    <w:rsid w:val="002D584A"/>
    <w:rsid w:val="002D6A3E"/>
    <w:rsid w:val="002D6BC9"/>
    <w:rsid w:val="002D71C3"/>
    <w:rsid w:val="002D740B"/>
    <w:rsid w:val="002D7495"/>
    <w:rsid w:val="002D76A5"/>
    <w:rsid w:val="002D7A42"/>
    <w:rsid w:val="002D7BF3"/>
    <w:rsid w:val="002E0254"/>
    <w:rsid w:val="002E1382"/>
    <w:rsid w:val="002E2DE8"/>
    <w:rsid w:val="002E35C1"/>
    <w:rsid w:val="002E4B20"/>
    <w:rsid w:val="002E4BD6"/>
    <w:rsid w:val="002E564F"/>
    <w:rsid w:val="002E5AD1"/>
    <w:rsid w:val="002E62A9"/>
    <w:rsid w:val="002F01A9"/>
    <w:rsid w:val="002F09E6"/>
    <w:rsid w:val="002F0A83"/>
    <w:rsid w:val="002F0FE8"/>
    <w:rsid w:val="002F10B8"/>
    <w:rsid w:val="002F1292"/>
    <w:rsid w:val="002F1FD8"/>
    <w:rsid w:val="002F26EC"/>
    <w:rsid w:val="002F2CCD"/>
    <w:rsid w:val="002F3E0E"/>
    <w:rsid w:val="002F41DD"/>
    <w:rsid w:val="002F47A0"/>
    <w:rsid w:val="002F480A"/>
    <w:rsid w:val="002F588B"/>
    <w:rsid w:val="002F6693"/>
    <w:rsid w:val="002F7B84"/>
    <w:rsid w:val="003005F3"/>
    <w:rsid w:val="003014CE"/>
    <w:rsid w:val="00301B10"/>
    <w:rsid w:val="0030209F"/>
    <w:rsid w:val="00302405"/>
    <w:rsid w:val="003026DD"/>
    <w:rsid w:val="00302943"/>
    <w:rsid w:val="003037FC"/>
    <w:rsid w:val="00303984"/>
    <w:rsid w:val="00303CA5"/>
    <w:rsid w:val="0030467D"/>
    <w:rsid w:val="003050E9"/>
    <w:rsid w:val="00305931"/>
    <w:rsid w:val="00305D4B"/>
    <w:rsid w:val="003064E2"/>
    <w:rsid w:val="003068D6"/>
    <w:rsid w:val="00306BBF"/>
    <w:rsid w:val="003077AD"/>
    <w:rsid w:val="00310046"/>
    <w:rsid w:val="00311181"/>
    <w:rsid w:val="00312081"/>
    <w:rsid w:val="00312F67"/>
    <w:rsid w:val="00313705"/>
    <w:rsid w:val="00313835"/>
    <w:rsid w:val="00313C15"/>
    <w:rsid w:val="003141CD"/>
    <w:rsid w:val="003152D7"/>
    <w:rsid w:val="003177C0"/>
    <w:rsid w:val="00317F3B"/>
    <w:rsid w:val="0032041B"/>
    <w:rsid w:val="0032224A"/>
    <w:rsid w:val="00322286"/>
    <w:rsid w:val="003243D8"/>
    <w:rsid w:val="00326C84"/>
    <w:rsid w:val="00326F56"/>
    <w:rsid w:val="003272A5"/>
    <w:rsid w:val="00330D39"/>
    <w:rsid w:val="003314EE"/>
    <w:rsid w:val="003324ED"/>
    <w:rsid w:val="003325E6"/>
    <w:rsid w:val="00332D64"/>
    <w:rsid w:val="00333630"/>
    <w:rsid w:val="00333D00"/>
    <w:rsid w:val="00334450"/>
    <w:rsid w:val="00334823"/>
    <w:rsid w:val="003365A3"/>
    <w:rsid w:val="00336E8E"/>
    <w:rsid w:val="003373B2"/>
    <w:rsid w:val="0033753A"/>
    <w:rsid w:val="00337BFD"/>
    <w:rsid w:val="0034064C"/>
    <w:rsid w:val="00340CED"/>
    <w:rsid w:val="00341620"/>
    <w:rsid w:val="00341A93"/>
    <w:rsid w:val="003425EA"/>
    <w:rsid w:val="00342B2F"/>
    <w:rsid w:val="00343CA7"/>
    <w:rsid w:val="00343DB9"/>
    <w:rsid w:val="00344DEB"/>
    <w:rsid w:val="00345D7C"/>
    <w:rsid w:val="003466B3"/>
    <w:rsid w:val="00346A8A"/>
    <w:rsid w:val="00346BD5"/>
    <w:rsid w:val="003475CF"/>
    <w:rsid w:val="00351F9F"/>
    <w:rsid w:val="003523B1"/>
    <w:rsid w:val="00353B26"/>
    <w:rsid w:val="00353C01"/>
    <w:rsid w:val="003545F8"/>
    <w:rsid w:val="00355FEF"/>
    <w:rsid w:val="00357B4C"/>
    <w:rsid w:val="00357C24"/>
    <w:rsid w:val="00357D21"/>
    <w:rsid w:val="00360329"/>
    <w:rsid w:val="003604F2"/>
    <w:rsid w:val="00360CB5"/>
    <w:rsid w:val="00360D0E"/>
    <w:rsid w:val="00360F62"/>
    <w:rsid w:val="0036157F"/>
    <w:rsid w:val="003618EF"/>
    <w:rsid w:val="00362934"/>
    <w:rsid w:val="003649FA"/>
    <w:rsid w:val="00364B12"/>
    <w:rsid w:val="00365586"/>
    <w:rsid w:val="0036667E"/>
    <w:rsid w:val="003671C7"/>
    <w:rsid w:val="00367E89"/>
    <w:rsid w:val="003710EF"/>
    <w:rsid w:val="003717D4"/>
    <w:rsid w:val="003727A2"/>
    <w:rsid w:val="00373147"/>
    <w:rsid w:val="00373317"/>
    <w:rsid w:val="003738A4"/>
    <w:rsid w:val="00373CE1"/>
    <w:rsid w:val="00373EEA"/>
    <w:rsid w:val="00374AD6"/>
    <w:rsid w:val="003801F7"/>
    <w:rsid w:val="00381173"/>
    <w:rsid w:val="0038184C"/>
    <w:rsid w:val="00381A40"/>
    <w:rsid w:val="00382000"/>
    <w:rsid w:val="00382486"/>
    <w:rsid w:val="003838C9"/>
    <w:rsid w:val="003838D1"/>
    <w:rsid w:val="00384421"/>
    <w:rsid w:val="0038580C"/>
    <w:rsid w:val="003858D8"/>
    <w:rsid w:val="003861ED"/>
    <w:rsid w:val="0038643B"/>
    <w:rsid w:val="00386E11"/>
    <w:rsid w:val="0038796F"/>
    <w:rsid w:val="003901AE"/>
    <w:rsid w:val="0039172C"/>
    <w:rsid w:val="0039187F"/>
    <w:rsid w:val="0039246B"/>
    <w:rsid w:val="00392CEE"/>
    <w:rsid w:val="003941A2"/>
    <w:rsid w:val="00394672"/>
    <w:rsid w:val="00394939"/>
    <w:rsid w:val="003951D7"/>
    <w:rsid w:val="003954A6"/>
    <w:rsid w:val="00395C6F"/>
    <w:rsid w:val="00395E68"/>
    <w:rsid w:val="0039685D"/>
    <w:rsid w:val="00396D22"/>
    <w:rsid w:val="0039730B"/>
    <w:rsid w:val="00397496"/>
    <w:rsid w:val="00397A6D"/>
    <w:rsid w:val="003A106C"/>
    <w:rsid w:val="003A11C0"/>
    <w:rsid w:val="003A11C7"/>
    <w:rsid w:val="003A166C"/>
    <w:rsid w:val="003A1811"/>
    <w:rsid w:val="003A1F2C"/>
    <w:rsid w:val="003A21FF"/>
    <w:rsid w:val="003A2A96"/>
    <w:rsid w:val="003A3347"/>
    <w:rsid w:val="003A3C77"/>
    <w:rsid w:val="003A44A9"/>
    <w:rsid w:val="003A4540"/>
    <w:rsid w:val="003A4D90"/>
    <w:rsid w:val="003A4E22"/>
    <w:rsid w:val="003A4FF1"/>
    <w:rsid w:val="003A6142"/>
    <w:rsid w:val="003A72A4"/>
    <w:rsid w:val="003A7377"/>
    <w:rsid w:val="003A7B41"/>
    <w:rsid w:val="003B0EC7"/>
    <w:rsid w:val="003B1175"/>
    <w:rsid w:val="003B1A23"/>
    <w:rsid w:val="003B20D9"/>
    <w:rsid w:val="003B224D"/>
    <w:rsid w:val="003B2AAB"/>
    <w:rsid w:val="003B347F"/>
    <w:rsid w:val="003B4BED"/>
    <w:rsid w:val="003B4C57"/>
    <w:rsid w:val="003B5BB0"/>
    <w:rsid w:val="003B68D9"/>
    <w:rsid w:val="003B690F"/>
    <w:rsid w:val="003B6BAB"/>
    <w:rsid w:val="003B726D"/>
    <w:rsid w:val="003B7FD2"/>
    <w:rsid w:val="003C004A"/>
    <w:rsid w:val="003C0729"/>
    <w:rsid w:val="003C0E61"/>
    <w:rsid w:val="003C1A86"/>
    <w:rsid w:val="003C1F8E"/>
    <w:rsid w:val="003C21D6"/>
    <w:rsid w:val="003C2647"/>
    <w:rsid w:val="003C2811"/>
    <w:rsid w:val="003C41C3"/>
    <w:rsid w:val="003C491C"/>
    <w:rsid w:val="003C658A"/>
    <w:rsid w:val="003C6E17"/>
    <w:rsid w:val="003C6EFF"/>
    <w:rsid w:val="003D12B8"/>
    <w:rsid w:val="003D1475"/>
    <w:rsid w:val="003D148A"/>
    <w:rsid w:val="003D15D5"/>
    <w:rsid w:val="003D1DDB"/>
    <w:rsid w:val="003D1E9E"/>
    <w:rsid w:val="003D2485"/>
    <w:rsid w:val="003D32A0"/>
    <w:rsid w:val="003D3B26"/>
    <w:rsid w:val="003D5C5C"/>
    <w:rsid w:val="003D7220"/>
    <w:rsid w:val="003D7C6C"/>
    <w:rsid w:val="003E02F8"/>
    <w:rsid w:val="003E0E4C"/>
    <w:rsid w:val="003E0FDF"/>
    <w:rsid w:val="003E1055"/>
    <w:rsid w:val="003E12CE"/>
    <w:rsid w:val="003E252F"/>
    <w:rsid w:val="003E2E66"/>
    <w:rsid w:val="003E3299"/>
    <w:rsid w:val="003E3503"/>
    <w:rsid w:val="003E5CA4"/>
    <w:rsid w:val="003E69AA"/>
    <w:rsid w:val="003E6E4B"/>
    <w:rsid w:val="003E70B4"/>
    <w:rsid w:val="003F0072"/>
    <w:rsid w:val="003F039B"/>
    <w:rsid w:val="003F0BF2"/>
    <w:rsid w:val="003F15FE"/>
    <w:rsid w:val="003F2296"/>
    <w:rsid w:val="003F2852"/>
    <w:rsid w:val="003F3FFF"/>
    <w:rsid w:val="003F402D"/>
    <w:rsid w:val="003F4076"/>
    <w:rsid w:val="003F489D"/>
    <w:rsid w:val="003F57B1"/>
    <w:rsid w:val="003F7385"/>
    <w:rsid w:val="003F7989"/>
    <w:rsid w:val="003F7B7F"/>
    <w:rsid w:val="003F7DBF"/>
    <w:rsid w:val="004002C6"/>
    <w:rsid w:val="00401E2F"/>
    <w:rsid w:val="004020E7"/>
    <w:rsid w:val="0040263B"/>
    <w:rsid w:val="00404FBB"/>
    <w:rsid w:val="00406E97"/>
    <w:rsid w:val="004073FB"/>
    <w:rsid w:val="004100D8"/>
    <w:rsid w:val="004108BD"/>
    <w:rsid w:val="00411A46"/>
    <w:rsid w:val="00412CCB"/>
    <w:rsid w:val="004136A5"/>
    <w:rsid w:val="004138BA"/>
    <w:rsid w:val="00413BBD"/>
    <w:rsid w:val="00414044"/>
    <w:rsid w:val="00414432"/>
    <w:rsid w:val="00414E4A"/>
    <w:rsid w:val="00415500"/>
    <w:rsid w:val="0041556F"/>
    <w:rsid w:val="004158DF"/>
    <w:rsid w:val="00417087"/>
    <w:rsid w:val="0042118F"/>
    <w:rsid w:val="00421B42"/>
    <w:rsid w:val="00422264"/>
    <w:rsid w:val="00423419"/>
    <w:rsid w:val="00424496"/>
    <w:rsid w:val="0042454D"/>
    <w:rsid w:val="00427599"/>
    <w:rsid w:val="00431389"/>
    <w:rsid w:val="0043208E"/>
    <w:rsid w:val="00433225"/>
    <w:rsid w:val="004336CA"/>
    <w:rsid w:val="00435444"/>
    <w:rsid w:val="00435C69"/>
    <w:rsid w:val="004361C2"/>
    <w:rsid w:val="00436524"/>
    <w:rsid w:val="00436A4C"/>
    <w:rsid w:val="00436C57"/>
    <w:rsid w:val="00437080"/>
    <w:rsid w:val="004373F7"/>
    <w:rsid w:val="00437DF0"/>
    <w:rsid w:val="00437E0D"/>
    <w:rsid w:val="004401FC"/>
    <w:rsid w:val="004409D6"/>
    <w:rsid w:val="00440D5E"/>
    <w:rsid w:val="00442B31"/>
    <w:rsid w:val="00444145"/>
    <w:rsid w:val="00444AB3"/>
    <w:rsid w:val="00444BF9"/>
    <w:rsid w:val="00445F6F"/>
    <w:rsid w:val="00446BA4"/>
    <w:rsid w:val="00446E66"/>
    <w:rsid w:val="004502FB"/>
    <w:rsid w:val="00451215"/>
    <w:rsid w:val="00451B7D"/>
    <w:rsid w:val="004522F5"/>
    <w:rsid w:val="00453223"/>
    <w:rsid w:val="00453D79"/>
    <w:rsid w:val="00454277"/>
    <w:rsid w:val="004543E4"/>
    <w:rsid w:val="0045600E"/>
    <w:rsid w:val="004565AF"/>
    <w:rsid w:val="00456ACA"/>
    <w:rsid w:val="004573F2"/>
    <w:rsid w:val="00460235"/>
    <w:rsid w:val="00461A34"/>
    <w:rsid w:val="00462916"/>
    <w:rsid w:val="00462A1B"/>
    <w:rsid w:val="00463132"/>
    <w:rsid w:val="00463657"/>
    <w:rsid w:val="00463B4C"/>
    <w:rsid w:val="00463FA5"/>
    <w:rsid w:val="00464304"/>
    <w:rsid w:val="00465318"/>
    <w:rsid w:val="00466DEB"/>
    <w:rsid w:val="00467BC0"/>
    <w:rsid w:val="00467F13"/>
    <w:rsid w:val="00470604"/>
    <w:rsid w:val="004730BA"/>
    <w:rsid w:val="004738C7"/>
    <w:rsid w:val="00473E0F"/>
    <w:rsid w:val="00474981"/>
    <w:rsid w:val="00476CB1"/>
    <w:rsid w:val="00476E60"/>
    <w:rsid w:val="004778FA"/>
    <w:rsid w:val="00480238"/>
    <w:rsid w:val="0048023E"/>
    <w:rsid w:val="004809EB"/>
    <w:rsid w:val="00480A59"/>
    <w:rsid w:val="00480AD2"/>
    <w:rsid w:val="00480B8A"/>
    <w:rsid w:val="00480DA0"/>
    <w:rsid w:val="0048162C"/>
    <w:rsid w:val="004821CE"/>
    <w:rsid w:val="0048394A"/>
    <w:rsid w:val="00483BCD"/>
    <w:rsid w:val="00485A85"/>
    <w:rsid w:val="00485D44"/>
    <w:rsid w:val="004876E4"/>
    <w:rsid w:val="004876F4"/>
    <w:rsid w:val="004877A0"/>
    <w:rsid w:val="00487998"/>
    <w:rsid w:val="004905BA"/>
    <w:rsid w:val="00490858"/>
    <w:rsid w:val="00491523"/>
    <w:rsid w:val="00491572"/>
    <w:rsid w:val="0049169F"/>
    <w:rsid w:val="00493DE6"/>
    <w:rsid w:val="00495957"/>
    <w:rsid w:val="00496CF2"/>
    <w:rsid w:val="0049746B"/>
    <w:rsid w:val="004974B4"/>
    <w:rsid w:val="004975D0"/>
    <w:rsid w:val="004978FA"/>
    <w:rsid w:val="004A239E"/>
    <w:rsid w:val="004A24D0"/>
    <w:rsid w:val="004A277C"/>
    <w:rsid w:val="004A564D"/>
    <w:rsid w:val="004A587C"/>
    <w:rsid w:val="004A5D0E"/>
    <w:rsid w:val="004A78EF"/>
    <w:rsid w:val="004B011B"/>
    <w:rsid w:val="004B015A"/>
    <w:rsid w:val="004B031C"/>
    <w:rsid w:val="004B039A"/>
    <w:rsid w:val="004B131A"/>
    <w:rsid w:val="004B1D1D"/>
    <w:rsid w:val="004B1DF9"/>
    <w:rsid w:val="004B21AD"/>
    <w:rsid w:val="004B33D8"/>
    <w:rsid w:val="004B38A4"/>
    <w:rsid w:val="004B4A80"/>
    <w:rsid w:val="004B4BA4"/>
    <w:rsid w:val="004B4F77"/>
    <w:rsid w:val="004B589C"/>
    <w:rsid w:val="004B5B9F"/>
    <w:rsid w:val="004B5BCA"/>
    <w:rsid w:val="004B63FD"/>
    <w:rsid w:val="004B6925"/>
    <w:rsid w:val="004B7F7C"/>
    <w:rsid w:val="004C0200"/>
    <w:rsid w:val="004C1078"/>
    <w:rsid w:val="004C224C"/>
    <w:rsid w:val="004C33C3"/>
    <w:rsid w:val="004C3424"/>
    <w:rsid w:val="004C34E5"/>
    <w:rsid w:val="004C3951"/>
    <w:rsid w:val="004C3A71"/>
    <w:rsid w:val="004C3E35"/>
    <w:rsid w:val="004C3F9C"/>
    <w:rsid w:val="004C455D"/>
    <w:rsid w:val="004C66BB"/>
    <w:rsid w:val="004C712B"/>
    <w:rsid w:val="004D0282"/>
    <w:rsid w:val="004D11E1"/>
    <w:rsid w:val="004D18AC"/>
    <w:rsid w:val="004D1A1D"/>
    <w:rsid w:val="004D20C8"/>
    <w:rsid w:val="004D2385"/>
    <w:rsid w:val="004D2B2A"/>
    <w:rsid w:val="004D3861"/>
    <w:rsid w:val="004D3A4F"/>
    <w:rsid w:val="004D3C40"/>
    <w:rsid w:val="004D43FB"/>
    <w:rsid w:val="004D454F"/>
    <w:rsid w:val="004D48D9"/>
    <w:rsid w:val="004D524A"/>
    <w:rsid w:val="004D5D13"/>
    <w:rsid w:val="004D64E1"/>
    <w:rsid w:val="004D6D38"/>
    <w:rsid w:val="004D7B56"/>
    <w:rsid w:val="004D7D77"/>
    <w:rsid w:val="004E00BB"/>
    <w:rsid w:val="004E0181"/>
    <w:rsid w:val="004E0A72"/>
    <w:rsid w:val="004E1C64"/>
    <w:rsid w:val="004E3006"/>
    <w:rsid w:val="004E30FC"/>
    <w:rsid w:val="004E363A"/>
    <w:rsid w:val="004E3673"/>
    <w:rsid w:val="004E4290"/>
    <w:rsid w:val="004E44E7"/>
    <w:rsid w:val="004E46DE"/>
    <w:rsid w:val="004E4FEE"/>
    <w:rsid w:val="004E504C"/>
    <w:rsid w:val="004E524E"/>
    <w:rsid w:val="004E624A"/>
    <w:rsid w:val="004E7100"/>
    <w:rsid w:val="004E7A05"/>
    <w:rsid w:val="004E7B75"/>
    <w:rsid w:val="004F00F4"/>
    <w:rsid w:val="004F0CCA"/>
    <w:rsid w:val="004F1BDD"/>
    <w:rsid w:val="004F1BEC"/>
    <w:rsid w:val="004F2F05"/>
    <w:rsid w:val="004F5ADA"/>
    <w:rsid w:val="004F6569"/>
    <w:rsid w:val="004F739D"/>
    <w:rsid w:val="005013BD"/>
    <w:rsid w:val="005023BF"/>
    <w:rsid w:val="00502642"/>
    <w:rsid w:val="00502E4B"/>
    <w:rsid w:val="00503441"/>
    <w:rsid w:val="00504EB2"/>
    <w:rsid w:val="00505127"/>
    <w:rsid w:val="00511494"/>
    <w:rsid w:val="00511B84"/>
    <w:rsid w:val="005128FD"/>
    <w:rsid w:val="00512A94"/>
    <w:rsid w:val="00512EC1"/>
    <w:rsid w:val="00513A7A"/>
    <w:rsid w:val="005165D2"/>
    <w:rsid w:val="0051781F"/>
    <w:rsid w:val="00520050"/>
    <w:rsid w:val="005204EC"/>
    <w:rsid w:val="005209F4"/>
    <w:rsid w:val="00520DF6"/>
    <w:rsid w:val="0052283D"/>
    <w:rsid w:val="00522CDA"/>
    <w:rsid w:val="0052301B"/>
    <w:rsid w:val="00524503"/>
    <w:rsid w:val="0052458B"/>
    <w:rsid w:val="00524A43"/>
    <w:rsid w:val="00525553"/>
    <w:rsid w:val="00525602"/>
    <w:rsid w:val="00527429"/>
    <w:rsid w:val="00527D31"/>
    <w:rsid w:val="00530F93"/>
    <w:rsid w:val="00532478"/>
    <w:rsid w:val="00532507"/>
    <w:rsid w:val="00532704"/>
    <w:rsid w:val="00532B1C"/>
    <w:rsid w:val="00533215"/>
    <w:rsid w:val="00534888"/>
    <w:rsid w:val="00534F4A"/>
    <w:rsid w:val="0053570E"/>
    <w:rsid w:val="00535AB6"/>
    <w:rsid w:val="00535C50"/>
    <w:rsid w:val="00535E4B"/>
    <w:rsid w:val="005366E8"/>
    <w:rsid w:val="005370C6"/>
    <w:rsid w:val="00540577"/>
    <w:rsid w:val="00540A18"/>
    <w:rsid w:val="005420F4"/>
    <w:rsid w:val="0054246E"/>
    <w:rsid w:val="0054260D"/>
    <w:rsid w:val="005435F5"/>
    <w:rsid w:val="00543840"/>
    <w:rsid w:val="00543D01"/>
    <w:rsid w:val="00543E4A"/>
    <w:rsid w:val="00543F49"/>
    <w:rsid w:val="00546743"/>
    <w:rsid w:val="00546FD5"/>
    <w:rsid w:val="005470FE"/>
    <w:rsid w:val="00547F0E"/>
    <w:rsid w:val="005509FB"/>
    <w:rsid w:val="0055226C"/>
    <w:rsid w:val="00552EA8"/>
    <w:rsid w:val="005562AE"/>
    <w:rsid w:val="00557314"/>
    <w:rsid w:val="0055752D"/>
    <w:rsid w:val="00560B34"/>
    <w:rsid w:val="005621B9"/>
    <w:rsid w:val="00563183"/>
    <w:rsid w:val="00563B72"/>
    <w:rsid w:val="005645EA"/>
    <w:rsid w:val="005648A8"/>
    <w:rsid w:val="00564AE8"/>
    <w:rsid w:val="00565163"/>
    <w:rsid w:val="00566354"/>
    <w:rsid w:val="005666EB"/>
    <w:rsid w:val="00566B40"/>
    <w:rsid w:val="005674C9"/>
    <w:rsid w:val="00567776"/>
    <w:rsid w:val="00567C43"/>
    <w:rsid w:val="005700D4"/>
    <w:rsid w:val="00570740"/>
    <w:rsid w:val="00571B0D"/>
    <w:rsid w:val="00571D73"/>
    <w:rsid w:val="00572282"/>
    <w:rsid w:val="0057245C"/>
    <w:rsid w:val="00574A70"/>
    <w:rsid w:val="00576241"/>
    <w:rsid w:val="00576A12"/>
    <w:rsid w:val="005772E9"/>
    <w:rsid w:val="0057755F"/>
    <w:rsid w:val="005776C4"/>
    <w:rsid w:val="00577862"/>
    <w:rsid w:val="00580BCB"/>
    <w:rsid w:val="005852D7"/>
    <w:rsid w:val="005854C2"/>
    <w:rsid w:val="0058577E"/>
    <w:rsid w:val="00586276"/>
    <w:rsid w:val="005876D7"/>
    <w:rsid w:val="00587872"/>
    <w:rsid w:val="00587972"/>
    <w:rsid w:val="00587A25"/>
    <w:rsid w:val="00587F02"/>
    <w:rsid w:val="00591000"/>
    <w:rsid w:val="00591D79"/>
    <w:rsid w:val="00591E3E"/>
    <w:rsid w:val="00592544"/>
    <w:rsid w:val="0059267E"/>
    <w:rsid w:val="0059305D"/>
    <w:rsid w:val="00593277"/>
    <w:rsid w:val="00593740"/>
    <w:rsid w:val="005949BD"/>
    <w:rsid w:val="0059501E"/>
    <w:rsid w:val="00595A2D"/>
    <w:rsid w:val="00596024"/>
    <w:rsid w:val="0059681D"/>
    <w:rsid w:val="00596890"/>
    <w:rsid w:val="00596FB6"/>
    <w:rsid w:val="00597224"/>
    <w:rsid w:val="005A1CB0"/>
    <w:rsid w:val="005A21AD"/>
    <w:rsid w:val="005A249B"/>
    <w:rsid w:val="005A2C01"/>
    <w:rsid w:val="005A3086"/>
    <w:rsid w:val="005A343F"/>
    <w:rsid w:val="005A4170"/>
    <w:rsid w:val="005A42B6"/>
    <w:rsid w:val="005A6973"/>
    <w:rsid w:val="005B10DB"/>
    <w:rsid w:val="005B19D1"/>
    <w:rsid w:val="005B1BB9"/>
    <w:rsid w:val="005B1C72"/>
    <w:rsid w:val="005B35D8"/>
    <w:rsid w:val="005B38D9"/>
    <w:rsid w:val="005B3DA0"/>
    <w:rsid w:val="005B46DA"/>
    <w:rsid w:val="005B4A44"/>
    <w:rsid w:val="005B5B1A"/>
    <w:rsid w:val="005B618B"/>
    <w:rsid w:val="005B693F"/>
    <w:rsid w:val="005B78BF"/>
    <w:rsid w:val="005B7AAB"/>
    <w:rsid w:val="005B7AF1"/>
    <w:rsid w:val="005C0C0F"/>
    <w:rsid w:val="005C10AD"/>
    <w:rsid w:val="005C2798"/>
    <w:rsid w:val="005C2FF2"/>
    <w:rsid w:val="005C36E5"/>
    <w:rsid w:val="005C5119"/>
    <w:rsid w:val="005C5963"/>
    <w:rsid w:val="005C5F46"/>
    <w:rsid w:val="005C6158"/>
    <w:rsid w:val="005C6D0C"/>
    <w:rsid w:val="005D027C"/>
    <w:rsid w:val="005D15DA"/>
    <w:rsid w:val="005D221D"/>
    <w:rsid w:val="005D3490"/>
    <w:rsid w:val="005D4C82"/>
    <w:rsid w:val="005D5F87"/>
    <w:rsid w:val="005D6B30"/>
    <w:rsid w:val="005D6EF2"/>
    <w:rsid w:val="005D7106"/>
    <w:rsid w:val="005D7228"/>
    <w:rsid w:val="005D7E27"/>
    <w:rsid w:val="005E037B"/>
    <w:rsid w:val="005E1259"/>
    <w:rsid w:val="005E1404"/>
    <w:rsid w:val="005E1AB8"/>
    <w:rsid w:val="005E2A46"/>
    <w:rsid w:val="005E3504"/>
    <w:rsid w:val="005E378D"/>
    <w:rsid w:val="005E3FB9"/>
    <w:rsid w:val="005E40CF"/>
    <w:rsid w:val="005E4BBB"/>
    <w:rsid w:val="005E4DBB"/>
    <w:rsid w:val="005E5B47"/>
    <w:rsid w:val="005E7037"/>
    <w:rsid w:val="005F0420"/>
    <w:rsid w:val="005F2793"/>
    <w:rsid w:val="005F3906"/>
    <w:rsid w:val="005F39D1"/>
    <w:rsid w:val="005F5636"/>
    <w:rsid w:val="005F709B"/>
    <w:rsid w:val="005F73C4"/>
    <w:rsid w:val="005F7B3B"/>
    <w:rsid w:val="005F7DB3"/>
    <w:rsid w:val="0060061A"/>
    <w:rsid w:val="006007F2"/>
    <w:rsid w:val="00600A66"/>
    <w:rsid w:val="0060100F"/>
    <w:rsid w:val="00601AD2"/>
    <w:rsid w:val="00601BF3"/>
    <w:rsid w:val="00601FEE"/>
    <w:rsid w:val="006025FA"/>
    <w:rsid w:val="006035BE"/>
    <w:rsid w:val="0060363B"/>
    <w:rsid w:val="00603B6A"/>
    <w:rsid w:val="00603BB5"/>
    <w:rsid w:val="00604308"/>
    <w:rsid w:val="006052B1"/>
    <w:rsid w:val="006058B4"/>
    <w:rsid w:val="00605F68"/>
    <w:rsid w:val="00606370"/>
    <w:rsid w:val="00606B49"/>
    <w:rsid w:val="006071FA"/>
    <w:rsid w:val="00610A76"/>
    <w:rsid w:val="00611599"/>
    <w:rsid w:val="006128A0"/>
    <w:rsid w:val="00614A6E"/>
    <w:rsid w:val="00615902"/>
    <w:rsid w:val="00616505"/>
    <w:rsid w:val="0061710E"/>
    <w:rsid w:val="006200C3"/>
    <w:rsid w:val="00621176"/>
    <w:rsid w:val="0062208E"/>
    <w:rsid w:val="00622CAB"/>
    <w:rsid w:val="00624B32"/>
    <w:rsid w:val="006263D9"/>
    <w:rsid w:val="006269C3"/>
    <w:rsid w:val="006278CF"/>
    <w:rsid w:val="00627D0B"/>
    <w:rsid w:val="00630191"/>
    <w:rsid w:val="00630377"/>
    <w:rsid w:val="00631FC7"/>
    <w:rsid w:val="00632EFB"/>
    <w:rsid w:val="00633274"/>
    <w:rsid w:val="006332E0"/>
    <w:rsid w:val="00633461"/>
    <w:rsid w:val="00634251"/>
    <w:rsid w:val="00635107"/>
    <w:rsid w:val="0063619E"/>
    <w:rsid w:val="006367F4"/>
    <w:rsid w:val="00637498"/>
    <w:rsid w:val="006378CA"/>
    <w:rsid w:val="00641073"/>
    <w:rsid w:val="006412FC"/>
    <w:rsid w:val="006414EC"/>
    <w:rsid w:val="006419CE"/>
    <w:rsid w:val="00643EEF"/>
    <w:rsid w:val="00643F31"/>
    <w:rsid w:val="00644091"/>
    <w:rsid w:val="006440C9"/>
    <w:rsid w:val="0064489A"/>
    <w:rsid w:val="0064509D"/>
    <w:rsid w:val="00645564"/>
    <w:rsid w:val="00646D19"/>
    <w:rsid w:val="006503DA"/>
    <w:rsid w:val="00650CF8"/>
    <w:rsid w:val="00651966"/>
    <w:rsid w:val="00651AB9"/>
    <w:rsid w:val="0065204A"/>
    <w:rsid w:val="006521D2"/>
    <w:rsid w:val="006521EF"/>
    <w:rsid w:val="00653411"/>
    <w:rsid w:val="006535DC"/>
    <w:rsid w:val="00654278"/>
    <w:rsid w:val="00654A61"/>
    <w:rsid w:val="00654AC6"/>
    <w:rsid w:val="00654EA3"/>
    <w:rsid w:val="00654F20"/>
    <w:rsid w:val="00656B0D"/>
    <w:rsid w:val="00657016"/>
    <w:rsid w:val="006578E0"/>
    <w:rsid w:val="0066042C"/>
    <w:rsid w:val="00660DB5"/>
    <w:rsid w:val="00661066"/>
    <w:rsid w:val="00661448"/>
    <w:rsid w:val="00661519"/>
    <w:rsid w:val="006623A9"/>
    <w:rsid w:val="006632A0"/>
    <w:rsid w:val="00663813"/>
    <w:rsid w:val="00665842"/>
    <w:rsid w:val="00667085"/>
    <w:rsid w:val="006701A7"/>
    <w:rsid w:val="00670672"/>
    <w:rsid w:val="006710DC"/>
    <w:rsid w:val="00671B68"/>
    <w:rsid w:val="00673383"/>
    <w:rsid w:val="006747FF"/>
    <w:rsid w:val="00675746"/>
    <w:rsid w:val="00675D8F"/>
    <w:rsid w:val="00676105"/>
    <w:rsid w:val="006770E5"/>
    <w:rsid w:val="00677A0E"/>
    <w:rsid w:val="0068039E"/>
    <w:rsid w:val="006804BF"/>
    <w:rsid w:val="00683EA6"/>
    <w:rsid w:val="00686276"/>
    <w:rsid w:val="006864B0"/>
    <w:rsid w:val="00687320"/>
    <w:rsid w:val="006910BF"/>
    <w:rsid w:val="00691223"/>
    <w:rsid w:val="006917AB"/>
    <w:rsid w:val="00691AD4"/>
    <w:rsid w:val="00692CE7"/>
    <w:rsid w:val="0069308C"/>
    <w:rsid w:val="00693F6E"/>
    <w:rsid w:val="006944FD"/>
    <w:rsid w:val="006957F4"/>
    <w:rsid w:val="00695DDF"/>
    <w:rsid w:val="0069786F"/>
    <w:rsid w:val="00697C89"/>
    <w:rsid w:val="006A01BB"/>
    <w:rsid w:val="006A02AD"/>
    <w:rsid w:val="006A0A00"/>
    <w:rsid w:val="006A105A"/>
    <w:rsid w:val="006A2130"/>
    <w:rsid w:val="006A22AD"/>
    <w:rsid w:val="006A382E"/>
    <w:rsid w:val="006A4988"/>
    <w:rsid w:val="006A5901"/>
    <w:rsid w:val="006A711E"/>
    <w:rsid w:val="006B0481"/>
    <w:rsid w:val="006B072E"/>
    <w:rsid w:val="006B1037"/>
    <w:rsid w:val="006B26B4"/>
    <w:rsid w:val="006B2BD0"/>
    <w:rsid w:val="006B2BF5"/>
    <w:rsid w:val="006B3F49"/>
    <w:rsid w:val="006B4017"/>
    <w:rsid w:val="006B4149"/>
    <w:rsid w:val="006B473D"/>
    <w:rsid w:val="006B5181"/>
    <w:rsid w:val="006B51DE"/>
    <w:rsid w:val="006B5215"/>
    <w:rsid w:val="006B5C34"/>
    <w:rsid w:val="006B5E4B"/>
    <w:rsid w:val="006B7080"/>
    <w:rsid w:val="006B7549"/>
    <w:rsid w:val="006B7CA0"/>
    <w:rsid w:val="006C0488"/>
    <w:rsid w:val="006C1CE4"/>
    <w:rsid w:val="006C21FD"/>
    <w:rsid w:val="006C2605"/>
    <w:rsid w:val="006C30ED"/>
    <w:rsid w:val="006C33BD"/>
    <w:rsid w:val="006C4258"/>
    <w:rsid w:val="006C4E01"/>
    <w:rsid w:val="006C6725"/>
    <w:rsid w:val="006C71B8"/>
    <w:rsid w:val="006D126D"/>
    <w:rsid w:val="006D1781"/>
    <w:rsid w:val="006D17D4"/>
    <w:rsid w:val="006D18AE"/>
    <w:rsid w:val="006D21FF"/>
    <w:rsid w:val="006D234C"/>
    <w:rsid w:val="006D3112"/>
    <w:rsid w:val="006D3496"/>
    <w:rsid w:val="006D5A25"/>
    <w:rsid w:val="006D60D5"/>
    <w:rsid w:val="006E02FA"/>
    <w:rsid w:val="006E21BF"/>
    <w:rsid w:val="006E297A"/>
    <w:rsid w:val="006E2C91"/>
    <w:rsid w:val="006E2FF7"/>
    <w:rsid w:val="006E562D"/>
    <w:rsid w:val="006E67FC"/>
    <w:rsid w:val="006E6AEC"/>
    <w:rsid w:val="006E793C"/>
    <w:rsid w:val="006E7C8E"/>
    <w:rsid w:val="006F0FC7"/>
    <w:rsid w:val="006F135A"/>
    <w:rsid w:val="006F1F7E"/>
    <w:rsid w:val="006F20F6"/>
    <w:rsid w:val="006F26EA"/>
    <w:rsid w:val="006F3AEB"/>
    <w:rsid w:val="006F48C8"/>
    <w:rsid w:val="006F4DC5"/>
    <w:rsid w:val="006F4FA8"/>
    <w:rsid w:val="006F52E8"/>
    <w:rsid w:val="006F57B7"/>
    <w:rsid w:val="006F5C46"/>
    <w:rsid w:val="006F6309"/>
    <w:rsid w:val="006F715C"/>
    <w:rsid w:val="0070260C"/>
    <w:rsid w:val="00702FE2"/>
    <w:rsid w:val="00703A6B"/>
    <w:rsid w:val="007044A4"/>
    <w:rsid w:val="00704636"/>
    <w:rsid w:val="007056C1"/>
    <w:rsid w:val="0070588C"/>
    <w:rsid w:val="00705BEF"/>
    <w:rsid w:val="0070641A"/>
    <w:rsid w:val="007065A0"/>
    <w:rsid w:val="00706FF6"/>
    <w:rsid w:val="00710EA0"/>
    <w:rsid w:val="00710F53"/>
    <w:rsid w:val="00710FD8"/>
    <w:rsid w:val="0071197F"/>
    <w:rsid w:val="007119B4"/>
    <w:rsid w:val="007127DB"/>
    <w:rsid w:val="00712AC4"/>
    <w:rsid w:val="007130AC"/>
    <w:rsid w:val="0071349A"/>
    <w:rsid w:val="00713BC8"/>
    <w:rsid w:val="0071454E"/>
    <w:rsid w:val="00714BA6"/>
    <w:rsid w:val="007156B8"/>
    <w:rsid w:val="00716354"/>
    <w:rsid w:val="007173B3"/>
    <w:rsid w:val="00720A5D"/>
    <w:rsid w:val="00720B81"/>
    <w:rsid w:val="00721010"/>
    <w:rsid w:val="00721488"/>
    <w:rsid w:val="00722344"/>
    <w:rsid w:val="007232EF"/>
    <w:rsid w:val="00723721"/>
    <w:rsid w:val="00724504"/>
    <w:rsid w:val="00724B19"/>
    <w:rsid w:val="00725527"/>
    <w:rsid w:val="00725F15"/>
    <w:rsid w:val="00725F33"/>
    <w:rsid w:val="0072723C"/>
    <w:rsid w:val="00731215"/>
    <w:rsid w:val="00731872"/>
    <w:rsid w:val="00731CBC"/>
    <w:rsid w:val="0073355C"/>
    <w:rsid w:val="00733C37"/>
    <w:rsid w:val="00733C49"/>
    <w:rsid w:val="00734001"/>
    <w:rsid w:val="00734509"/>
    <w:rsid w:val="00734F9B"/>
    <w:rsid w:val="007351B5"/>
    <w:rsid w:val="0073545B"/>
    <w:rsid w:val="00735BEB"/>
    <w:rsid w:val="00735EE6"/>
    <w:rsid w:val="007366D5"/>
    <w:rsid w:val="007373DA"/>
    <w:rsid w:val="00737FFD"/>
    <w:rsid w:val="00740D95"/>
    <w:rsid w:val="0074124C"/>
    <w:rsid w:val="00741F6B"/>
    <w:rsid w:val="00742BB4"/>
    <w:rsid w:val="00743101"/>
    <w:rsid w:val="0074411F"/>
    <w:rsid w:val="00746071"/>
    <w:rsid w:val="00746515"/>
    <w:rsid w:val="00746865"/>
    <w:rsid w:val="00746D5B"/>
    <w:rsid w:val="00747BD9"/>
    <w:rsid w:val="0075004A"/>
    <w:rsid w:val="00750085"/>
    <w:rsid w:val="00750AEC"/>
    <w:rsid w:val="00751133"/>
    <w:rsid w:val="0075154E"/>
    <w:rsid w:val="007523F7"/>
    <w:rsid w:val="00753316"/>
    <w:rsid w:val="00755865"/>
    <w:rsid w:val="0075630A"/>
    <w:rsid w:val="007569A2"/>
    <w:rsid w:val="007574CB"/>
    <w:rsid w:val="00757C5F"/>
    <w:rsid w:val="00760442"/>
    <w:rsid w:val="00760ED8"/>
    <w:rsid w:val="0076466F"/>
    <w:rsid w:val="00765256"/>
    <w:rsid w:val="00765710"/>
    <w:rsid w:val="00765DCE"/>
    <w:rsid w:val="0076690B"/>
    <w:rsid w:val="0076747A"/>
    <w:rsid w:val="007704B7"/>
    <w:rsid w:val="007711C7"/>
    <w:rsid w:val="00771684"/>
    <w:rsid w:val="00771776"/>
    <w:rsid w:val="00771A9B"/>
    <w:rsid w:val="0077240A"/>
    <w:rsid w:val="00772EEB"/>
    <w:rsid w:val="00772F1E"/>
    <w:rsid w:val="00773CEE"/>
    <w:rsid w:val="007749AA"/>
    <w:rsid w:val="007755B9"/>
    <w:rsid w:val="00775FA8"/>
    <w:rsid w:val="00777795"/>
    <w:rsid w:val="0078052C"/>
    <w:rsid w:val="00781341"/>
    <w:rsid w:val="007826F5"/>
    <w:rsid w:val="007829DB"/>
    <w:rsid w:val="00782D7C"/>
    <w:rsid w:val="007835E0"/>
    <w:rsid w:val="0078424E"/>
    <w:rsid w:val="00784EEC"/>
    <w:rsid w:val="00784F01"/>
    <w:rsid w:val="00785869"/>
    <w:rsid w:val="00786CCE"/>
    <w:rsid w:val="00786EE1"/>
    <w:rsid w:val="007873D4"/>
    <w:rsid w:val="00790636"/>
    <w:rsid w:val="00791014"/>
    <w:rsid w:val="007911F7"/>
    <w:rsid w:val="00791921"/>
    <w:rsid w:val="007930A8"/>
    <w:rsid w:val="007945D7"/>
    <w:rsid w:val="00795091"/>
    <w:rsid w:val="00795221"/>
    <w:rsid w:val="0079649C"/>
    <w:rsid w:val="007969CE"/>
    <w:rsid w:val="007A0073"/>
    <w:rsid w:val="007A0B9A"/>
    <w:rsid w:val="007A1231"/>
    <w:rsid w:val="007A240B"/>
    <w:rsid w:val="007A2FCA"/>
    <w:rsid w:val="007A31AC"/>
    <w:rsid w:val="007A46FE"/>
    <w:rsid w:val="007A47B4"/>
    <w:rsid w:val="007A5780"/>
    <w:rsid w:val="007A60D1"/>
    <w:rsid w:val="007A797C"/>
    <w:rsid w:val="007B00CB"/>
    <w:rsid w:val="007B0517"/>
    <w:rsid w:val="007B17F5"/>
    <w:rsid w:val="007B1D22"/>
    <w:rsid w:val="007B27F7"/>
    <w:rsid w:val="007B2ABF"/>
    <w:rsid w:val="007B3EBE"/>
    <w:rsid w:val="007B4B46"/>
    <w:rsid w:val="007C058D"/>
    <w:rsid w:val="007C0CD1"/>
    <w:rsid w:val="007C1409"/>
    <w:rsid w:val="007C1496"/>
    <w:rsid w:val="007C1F03"/>
    <w:rsid w:val="007C321D"/>
    <w:rsid w:val="007C3E71"/>
    <w:rsid w:val="007C4514"/>
    <w:rsid w:val="007C4ECF"/>
    <w:rsid w:val="007C4F5F"/>
    <w:rsid w:val="007C546F"/>
    <w:rsid w:val="007D161B"/>
    <w:rsid w:val="007D1ABA"/>
    <w:rsid w:val="007D292D"/>
    <w:rsid w:val="007D327D"/>
    <w:rsid w:val="007D3985"/>
    <w:rsid w:val="007D4E83"/>
    <w:rsid w:val="007D4F6A"/>
    <w:rsid w:val="007D538D"/>
    <w:rsid w:val="007D65ED"/>
    <w:rsid w:val="007D670E"/>
    <w:rsid w:val="007D772A"/>
    <w:rsid w:val="007D7845"/>
    <w:rsid w:val="007E091B"/>
    <w:rsid w:val="007E0957"/>
    <w:rsid w:val="007E145E"/>
    <w:rsid w:val="007E1FDC"/>
    <w:rsid w:val="007E2564"/>
    <w:rsid w:val="007E39E4"/>
    <w:rsid w:val="007E59C3"/>
    <w:rsid w:val="007E6274"/>
    <w:rsid w:val="007E7AC9"/>
    <w:rsid w:val="007E7DE0"/>
    <w:rsid w:val="007F0595"/>
    <w:rsid w:val="007F0E87"/>
    <w:rsid w:val="007F12E1"/>
    <w:rsid w:val="007F1886"/>
    <w:rsid w:val="007F2E65"/>
    <w:rsid w:val="007F31CA"/>
    <w:rsid w:val="007F3A9E"/>
    <w:rsid w:val="007F4113"/>
    <w:rsid w:val="007F440E"/>
    <w:rsid w:val="007F4429"/>
    <w:rsid w:val="007F514E"/>
    <w:rsid w:val="007F5432"/>
    <w:rsid w:val="007F5A7A"/>
    <w:rsid w:val="007F5D36"/>
    <w:rsid w:val="007F61A7"/>
    <w:rsid w:val="007F6413"/>
    <w:rsid w:val="007F658A"/>
    <w:rsid w:val="007F68CD"/>
    <w:rsid w:val="007F7781"/>
    <w:rsid w:val="007F7E2E"/>
    <w:rsid w:val="00800924"/>
    <w:rsid w:val="008056D8"/>
    <w:rsid w:val="008059E3"/>
    <w:rsid w:val="00807025"/>
    <w:rsid w:val="0081359E"/>
    <w:rsid w:val="008136BA"/>
    <w:rsid w:val="00813B04"/>
    <w:rsid w:val="008146E7"/>
    <w:rsid w:val="008163AC"/>
    <w:rsid w:val="008164D9"/>
    <w:rsid w:val="00817240"/>
    <w:rsid w:val="00817410"/>
    <w:rsid w:val="00817DC7"/>
    <w:rsid w:val="00820928"/>
    <w:rsid w:val="00820A14"/>
    <w:rsid w:val="00820A81"/>
    <w:rsid w:val="00821997"/>
    <w:rsid w:val="008229AE"/>
    <w:rsid w:val="008233C6"/>
    <w:rsid w:val="00823CBD"/>
    <w:rsid w:val="00825304"/>
    <w:rsid w:val="00826047"/>
    <w:rsid w:val="0082618D"/>
    <w:rsid w:val="00826B80"/>
    <w:rsid w:val="00826C53"/>
    <w:rsid w:val="00830473"/>
    <w:rsid w:val="0083156E"/>
    <w:rsid w:val="00831F6D"/>
    <w:rsid w:val="00834DB8"/>
    <w:rsid w:val="008350C0"/>
    <w:rsid w:val="008364DE"/>
    <w:rsid w:val="008373B6"/>
    <w:rsid w:val="00837E89"/>
    <w:rsid w:val="008401E3"/>
    <w:rsid w:val="008405A7"/>
    <w:rsid w:val="00841338"/>
    <w:rsid w:val="008413B7"/>
    <w:rsid w:val="00841900"/>
    <w:rsid w:val="0084211E"/>
    <w:rsid w:val="008427FD"/>
    <w:rsid w:val="00842885"/>
    <w:rsid w:val="00843E14"/>
    <w:rsid w:val="00843FA8"/>
    <w:rsid w:val="008441B3"/>
    <w:rsid w:val="008454A7"/>
    <w:rsid w:val="00845B2B"/>
    <w:rsid w:val="00845B5D"/>
    <w:rsid w:val="00845E61"/>
    <w:rsid w:val="00846F38"/>
    <w:rsid w:val="00846FE2"/>
    <w:rsid w:val="008472AE"/>
    <w:rsid w:val="008474AD"/>
    <w:rsid w:val="00847FDB"/>
    <w:rsid w:val="00850147"/>
    <w:rsid w:val="00850D5B"/>
    <w:rsid w:val="008517A8"/>
    <w:rsid w:val="00851CDF"/>
    <w:rsid w:val="008522B3"/>
    <w:rsid w:val="00852A60"/>
    <w:rsid w:val="00852EDD"/>
    <w:rsid w:val="00852F1A"/>
    <w:rsid w:val="008550AD"/>
    <w:rsid w:val="00855909"/>
    <w:rsid w:val="00855D60"/>
    <w:rsid w:val="008567E5"/>
    <w:rsid w:val="00856D69"/>
    <w:rsid w:val="00857987"/>
    <w:rsid w:val="00861CBC"/>
    <w:rsid w:val="00862F15"/>
    <w:rsid w:val="00863646"/>
    <w:rsid w:val="00863A18"/>
    <w:rsid w:val="0086448C"/>
    <w:rsid w:val="008652E2"/>
    <w:rsid w:val="008657EC"/>
    <w:rsid w:val="00866646"/>
    <w:rsid w:val="00866EF4"/>
    <w:rsid w:val="008673C3"/>
    <w:rsid w:val="00871348"/>
    <w:rsid w:val="00871380"/>
    <w:rsid w:val="00871381"/>
    <w:rsid w:val="00875DF7"/>
    <w:rsid w:val="008760BE"/>
    <w:rsid w:val="0087709C"/>
    <w:rsid w:val="00877AB8"/>
    <w:rsid w:val="00880812"/>
    <w:rsid w:val="00882FA1"/>
    <w:rsid w:val="00882FF6"/>
    <w:rsid w:val="00884A6F"/>
    <w:rsid w:val="00885490"/>
    <w:rsid w:val="00885653"/>
    <w:rsid w:val="00886E17"/>
    <w:rsid w:val="00887C4A"/>
    <w:rsid w:val="00891182"/>
    <w:rsid w:val="008915C2"/>
    <w:rsid w:val="00892957"/>
    <w:rsid w:val="008935B5"/>
    <w:rsid w:val="00893AAB"/>
    <w:rsid w:val="00893D24"/>
    <w:rsid w:val="00894ED1"/>
    <w:rsid w:val="008957EF"/>
    <w:rsid w:val="00895D98"/>
    <w:rsid w:val="00895ED0"/>
    <w:rsid w:val="00896A12"/>
    <w:rsid w:val="00896C33"/>
    <w:rsid w:val="00896E4B"/>
    <w:rsid w:val="00897264"/>
    <w:rsid w:val="00897DAC"/>
    <w:rsid w:val="008A0351"/>
    <w:rsid w:val="008A1B62"/>
    <w:rsid w:val="008A1DDF"/>
    <w:rsid w:val="008A214F"/>
    <w:rsid w:val="008A216F"/>
    <w:rsid w:val="008A2464"/>
    <w:rsid w:val="008A27AC"/>
    <w:rsid w:val="008A3687"/>
    <w:rsid w:val="008A3843"/>
    <w:rsid w:val="008A4137"/>
    <w:rsid w:val="008A4C2D"/>
    <w:rsid w:val="008A55F3"/>
    <w:rsid w:val="008A73AF"/>
    <w:rsid w:val="008A7670"/>
    <w:rsid w:val="008B097C"/>
    <w:rsid w:val="008B0C4D"/>
    <w:rsid w:val="008B18C7"/>
    <w:rsid w:val="008B3963"/>
    <w:rsid w:val="008B4A18"/>
    <w:rsid w:val="008B6281"/>
    <w:rsid w:val="008C11F4"/>
    <w:rsid w:val="008C3C94"/>
    <w:rsid w:val="008C3E2F"/>
    <w:rsid w:val="008C4169"/>
    <w:rsid w:val="008C4305"/>
    <w:rsid w:val="008C5EC6"/>
    <w:rsid w:val="008C65BB"/>
    <w:rsid w:val="008C6B89"/>
    <w:rsid w:val="008C6F40"/>
    <w:rsid w:val="008C7041"/>
    <w:rsid w:val="008C7C3D"/>
    <w:rsid w:val="008D0069"/>
    <w:rsid w:val="008D09B3"/>
    <w:rsid w:val="008D131A"/>
    <w:rsid w:val="008D2070"/>
    <w:rsid w:val="008D2188"/>
    <w:rsid w:val="008D2D5E"/>
    <w:rsid w:val="008D3285"/>
    <w:rsid w:val="008D3C4E"/>
    <w:rsid w:val="008D437E"/>
    <w:rsid w:val="008D4CE5"/>
    <w:rsid w:val="008D4E47"/>
    <w:rsid w:val="008D5391"/>
    <w:rsid w:val="008D5B39"/>
    <w:rsid w:val="008D67A5"/>
    <w:rsid w:val="008D6ADF"/>
    <w:rsid w:val="008D6D00"/>
    <w:rsid w:val="008E10CF"/>
    <w:rsid w:val="008E26FC"/>
    <w:rsid w:val="008E28C1"/>
    <w:rsid w:val="008E42F4"/>
    <w:rsid w:val="008E48F3"/>
    <w:rsid w:val="008E51B7"/>
    <w:rsid w:val="008E54E0"/>
    <w:rsid w:val="008E5D03"/>
    <w:rsid w:val="008E74EC"/>
    <w:rsid w:val="008E77D0"/>
    <w:rsid w:val="008E7B03"/>
    <w:rsid w:val="008F199D"/>
    <w:rsid w:val="008F3573"/>
    <w:rsid w:val="008F3D9F"/>
    <w:rsid w:val="008F3F1F"/>
    <w:rsid w:val="008F452A"/>
    <w:rsid w:val="008F4A9B"/>
    <w:rsid w:val="008F6019"/>
    <w:rsid w:val="008F68FA"/>
    <w:rsid w:val="008F7DF3"/>
    <w:rsid w:val="00900BB5"/>
    <w:rsid w:val="009023F4"/>
    <w:rsid w:val="0090242A"/>
    <w:rsid w:val="0090343B"/>
    <w:rsid w:val="00903824"/>
    <w:rsid w:val="009041BE"/>
    <w:rsid w:val="0090437E"/>
    <w:rsid w:val="00905237"/>
    <w:rsid w:val="009052F3"/>
    <w:rsid w:val="0090581C"/>
    <w:rsid w:val="0090614B"/>
    <w:rsid w:val="00910237"/>
    <w:rsid w:val="00910259"/>
    <w:rsid w:val="009110FD"/>
    <w:rsid w:val="0091181D"/>
    <w:rsid w:val="00911A43"/>
    <w:rsid w:val="00913370"/>
    <w:rsid w:val="009134CF"/>
    <w:rsid w:val="009136CC"/>
    <w:rsid w:val="00913B3C"/>
    <w:rsid w:val="00913F98"/>
    <w:rsid w:val="00915B6C"/>
    <w:rsid w:val="009161AB"/>
    <w:rsid w:val="00917287"/>
    <w:rsid w:val="00917668"/>
    <w:rsid w:val="00917FFC"/>
    <w:rsid w:val="0092088D"/>
    <w:rsid w:val="00920C06"/>
    <w:rsid w:val="00920CB6"/>
    <w:rsid w:val="00922D81"/>
    <w:rsid w:val="009244DF"/>
    <w:rsid w:val="009248F8"/>
    <w:rsid w:val="00926AF4"/>
    <w:rsid w:val="00930162"/>
    <w:rsid w:val="009302B0"/>
    <w:rsid w:val="00930CFB"/>
    <w:rsid w:val="009320B1"/>
    <w:rsid w:val="009325AD"/>
    <w:rsid w:val="00932758"/>
    <w:rsid w:val="00932C72"/>
    <w:rsid w:val="009330C2"/>
    <w:rsid w:val="009338CC"/>
    <w:rsid w:val="009338D3"/>
    <w:rsid w:val="00933E3D"/>
    <w:rsid w:val="009340A9"/>
    <w:rsid w:val="0093415D"/>
    <w:rsid w:val="00935E4F"/>
    <w:rsid w:val="0093633A"/>
    <w:rsid w:val="00937076"/>
    <w:rsid w:val="00940004"/>
    <w:rsid w:val="00941A14"/>
    <w:rsid w:val="009422B1"/>
    <w:rsid w:val="0094301A"/>
    <w:rsid w:val="0094306C"/>
    <w:rsid w:val="009438D1"/>
    <w:rsid w:val="009448DE"/>
    <w:rsid w:val="00944E01"/>
    <w:rsid w:val="009467C3"/>
    <w:rsid w:val="009471A5"/>
    <w:rsid w:val="00947448"/>
    <w:rsid w:val="0094760F"/>
    <w:rsid w:val="00947DF5"/>
    <w:rsid w:val="0095031D"/>
    <w:rsid w:val="00950692"/>
    <w:rsid w:val="00950EB8"/>
    <w:rsid w:val="00950F65"/>
    <w:rsid w:val="00952235"/>
    <w:rsid w:val="009529F4"/>
    <w:rsid w:val="00952A2D"/>
    <w:rsid w:val="00952CDF"/>
    <w:rsid w:val="00953129"/>
    <w:rsid w:val="00953575"/>
    <w:rsid w:val="00954061"/>
    <w:rsid w:val="009540E0"/>
    <w:rsid w:val="00954CAF"/>
    <w:rsid w:val="00955832"/>
    <w:rsid w:val="00955FF1"/>
    <w:rsid w:val="00956110"/>
    <w:rsid w:val="0095738D"/>
    <w:rsid w:val="009577F5"/>
    <w:rsid w:val="00960804"/>
    <w:rsid w:val="0096099F"/>
    <w:rsid w:val="009619EC"/>
    <w:rsid w:val="0096254D"/>
    <w:rsid w:val="00962CF5"/>
    <w:rsid w:val="00964687"/>
    <w:rsid w:val="00965752"/>
    <w:rsid w:val="00967912"/>
    <w:rsid w:val="00970121"/>
    <w:rsid w:val="00970BCB"/>
    <w:rsid w:val="00970D34"/>
    <w:rsid w:val="0097123F"/>
    <w:rsid w:val="00971B39"/>
    <w:rsid w:val="00972AA5"/>
    <w:rsid w:val="0097433F"/>
    <w:rsid w:val="009749A7"/>
    <w:rsid w:val="00974A5B"/>
    <w:rsid w:val="00974B51"/>
    <w:rsid w:val="00975DFA"/>
    <w:rsid w:val="00975E16"/>
    <w:rsid w:val="0097611C"/>
    <w:rsid w:val="00976AA5"/>
    <w:rsid w:val="009770F6"/>
    <w:rsid w:val="009802E5"/>
    <w:rsid w:val="00980C53"/>
    <w:rsid w:val="009816B0"/>
    <w:rsid w:val="009817D1"/>
    <w:rsid w:val="00981D06"/>
    <w:rsid w:val="00982FF4"/>
    <w:rsid w:val="009835F7"/>
    <w:rsid w:val="00983AC1"/>
    <w:rsid w:val="00983FFC"/>
    <w:rsid w:val="00984CA8"/>
    <w:rsid w:val="0098539A"/>
    <w:rsid w:val="009857F5"/>
    <w:rsid w:val="0098663A"/>
    <w:rsid w:val="009871A6"/>
    <w:rsid w:val="00991578"/>
    <w:rsid w:val="009915E3"/>
    <w:rsid w:val="00992BE0"/>
    <w:rsid w:val="00992E18"/>
    <w:rsid w:val="009931CC"/>
    <w:rsid w:val="00993EBA"/>
    <w:rsid w:val="009945A3"/>
    <w:rsid w:val="00994834"/>
    <w:rsid w:val="00994B46"/>
    <w:rsid w:val="00995314"/>
    <w:rsid w:val="0099545B"/>
    <w:rsid w:val="00995B3D"/>
    <w:rsid w:val="00995FFD"/>
    <w:rsid w:val="00996305"/>
    <w:rsid w:val="00996C5B"/>
    <w:rsid w:val="00996ECB"/>
    <w:rsid w:val="009971A3"/>
    <w:rsid w:val="009975AE"/>
    <w:rsid w:val="0099796C"/>
    <w:rsid w:val="009A0F8E"/>
    <w:rsid w:val="009A105D"/>
    <w:rsid w:val="009A11FD"/>
    <w:rsid w:val="009A1622"/>
    <w:rsid w:val="009A1BAC"/>
    <w:rsid w:val="009A333F"/>
    <w:rsid w:val="009A37B7"/>
    <w:rsid w:val="009A4A47"/>
    <w:rsid w:val="009A5A49"/>
    <w:rsid w:val="009A5B27"/>
    <w:rsid w:val="009A5FE1"/>
    <w:rsid w:val="009B0205"/>
    <w:rsid w:val="009B042D"/>
    <w:rsid w:val="009B0A3A"/>
    <w:rsid w:val="009B0B86"/>
    <w:rsid w:val="009B2C50"/>
    <w:rsid w:val="009B34AD"/>
    <w:rsid w:val="009B3FB3"/>
    <w:rsid w:val="009B4451"/>
    <w:rsid w:val="009B4AD2"/>
    <w:rsid w:val="009B4C9E"/>
    <w:rsid w:val="009B5178"/>
    <w:rsid w:val="009B5EF5"/>
    <w:rsid w:val="009B6472"/>
    <w:rsid w:val="009B7427"/>
    <w:rsid w:val="009B7DC6"/>
    <w:rsid w:val="009C1D84"/>
    <w:rsid w:val="009C32ED"/>
    <w:rsid w:val="009C332C"/>
    <w:rsid w:val="009C3796"/>
    <w:rsid w:val="009C4424"/>
    <w:rsid w:val="009C5418"/>
    <w:rsid w:val="009C5E2B"/>
    <w:rsid w:val="009C6911"/>
    <w:rsid w:val="009C7CA6"/>
    <w:rsid w:val="009C7CDA"/>
    <w:rsid w:val="009D08A0"/>
    <w:rsid w:val="009D1F82"/>
    <w:rsid w:val="009D3B9D"/>
    <w:rsid w:val="009D42BF"/>
    <w:rsid w:val="009D4C22"/>
    <w:rsid w:val="009D5E62"/>
    <w:rsid w:val="009D7430"/>
    <w:rsid w:val="009E03B3"/>
    <w:rsid w:val="009E1741"/>
    <w:rsid w:val="009E1DAE"/>
    <w:rsid w:val="009E2277"/>
    <w:rsid w:val="009E3073"/>
    <w:rsid w:val="009E3F60"/>
    <w:rsid w:val="009E46FF"/>
    <w:rsid w:val="009E589F"/>
    <w:rsid w:val="009E6748"/>
    <w:rsid w:val="009E6A5E"/>
    <w:rsid w:val="009E784B"/>
    <w:rsid w:val="009E7967"/>
    <w:rsid w:val="009F0BC0"/>
    <w:rsid w:val="009F28AF"/>
    <w:rsid w:val="009F2CCC"/>
    <w:rsid w:val="009F434F"/>
    <w:rsid w:val="009F4408"/>
    <w:rsid w:val="009F481F"/>
    <w:rsid w:val="009F4973"/>
    <w:rsid w:val="009F59D1"/>
    <w:rsid w:val="009F5A5A"/>
    <w:rsid w:val="009F684E"/>
    <w:rsid w:val="009F6AB4"/>
    <w:rsid w:val="009F6C5E"/>
    <w:rsid w:val="009F6D3B"/>
    <w:rsid w:val="009F73EF"/>
    <w:rsid w:val="009F7796"/>
    <w:rsid w:val="00A003E9"/>
    <w:rsid w:val="00A005E5"/>
    <w:rsid w:val="00A020F8"/>
    <w:rsid w:val="00A02C80"/>
    <w:rsid w:val="00A030B2"/>
    <w:rsid w:val="00A03537"/>
    <w:rsid w:val="00A045B4"/>
    <w:rsid w:val="00A0474C"/>
    <w:rsid w:val="00A048AF"/>
    <w:rsid w:val="00A04F38"/>
    <w:rsid w:val="00A05DD5"/>
    <w:rsid w:val="00A0600E"/>
    <w:rsid w:val="00A060FF"/>
    <w:rsid w:val="00A066C0"/>
    <w:rsid w:val="00A06A12"/>
    <w:rsid w:val="00A075D8"/>
    <w:rsid w:val="00A07C5A"/>
    <w:rsid w:val="00A103BF"/>
    <w:rsid w:val="00A1056C"/>
    <w:rsid w:val="00A11FC1"/>
    <w:rsid w:val="00A1286D"/>
    <w:rsid w:val="00A13376"/>
    <w:rsid w:val="00A134DE"/>
    <w:rsid w:val="00A13D98"/>
    <w:rsid w:val="00A16154"/>
    <w:rsid w:val="00A176B2"/>
    <w:rsid w:val="00A176B4"/>
    <w:rsid w:val="00A17DFE"/>
    <w:rsid w:val="00A20111"/>
    <w:rsid w:val="00A215F4"/>
    <w:rsid w:val="00A21A4C"/>
    <w:rsid w:val="00A21B1A"/>
    <w:rsid w:val="00A21F51"/>
    <w:rsid w:val="00A21F8B"/>
    <w:rsid w:val="00A22A36"/>
    <w:rsid w:val="00A23416"/>
    <w:rsid w:val="00A238AB"/>
    <w:rsid w:val="00A243FE"/>
    <w:rsid w:val="00A24B37"/>
    <w:rsid w:val="00A257F8"/>
    <w:rsid w:val="00A26628"/>
    <w:rsid w:val="00A30C41"/>
    <w:rsid w:val="00A314F7"/>
    <w:rsid w:val="00A31815"/>
    <w:rsid w:val="00A31DB9"/>
    <w:rsid w:val="00A329D1"/>
    <w:rsid w:val="00A33B46"/>
    <w:rsid w:val="00A34051"/>
    <w:rsid w:val="00A34144"/>
    <w:rsid w:val="00A35724"/>
    <w:rsid w:val="00A35CC1"/>
    <w:rsid w:val="00A35CC4"/>
    <w:rsid w:val="00A36778"/>
    <w:rsid w:val="00A369E0"/>
    <w:rsid w:val="00A36AFC"/>
    <w:rsid w:val="00A36F7F"/>
    <w:rsid w:val="00A371E7"/>
    <w:rsid w:val="00A3773D"/>
    <w:rsid w:val="00A37EE0"/>
    <w:rsid w:val="00A400D7"/>
    <w:rsid w:val="00A40109"/>
    <w:rsid w:val="00A406FB"/>
    <w:rsid w:val="00A4186B"/>
    <w:rsid w:val="00A41BE7"/>
    <w:rsid w:val="00A42EDF"/>
    <w:rsid w:val="00A44410"/>
    <w:rsid w:val="00A44933"/>
    <w:rsid w:val="00A452E2"/>
    <w:rsid w:val="00A45830"/>
    <w:rsid w:val="00A45928"/>
    <w:rsid w:val="00A47AA7"/>
    <w:rsid w:val="00A50687"/>
    <w:rsid w:val="00A5119A"/>
    <w:rsid w:val="00A52D90"/>
    <w:rsid w:val="00A52F22"/>
    <w:rsid w:val="00A53BCC"/>
    <w:rsid w:val="00A545FE"/>
    <w:rsid w:val="00A5530E"/>
    <w:rsid w:val="00A553BC"/>
    <w:rsid w:val="00A55641"/>
    <w:rsid w:val="00A55DAA"/>
    <w:rsid w:val="00A60D92"/>
    <w:rsid w:val="00A6156A"/>
    <w:rsid w:val="00A62356"/>
    <w:rsid w:val="00A62A8E"/>
    <w:rsid w:val="00A62F55"/>
    <w:rsid w:val="00A631F6"/>
    <w:rsid w:val="00A6556C"/>
    <w:rsid w:val="00A6574A"/>
    <w:rsid w:val="00A67875"/>
    <w:rsid w:val="00A70C00"/>
    <w:rsid w:val="00A712CA"/>
    <w:rsid w:val="00A71E9F"/>
    <w:rsid w:val="00A72085"/>
    <w:rsid w:val="00A7436B"/>
    <w:rsid w:val="00A749E1"/>
    <w:rsid w:val="00A74EE4"/>
    <w:rsid w:val="00A758AD"/>
    <w:rsid w:val="00A760DD"/>
    <w:rsid w:val="00A777BF"/>
    <w:rsid w:val="00A77E77"/>
    <w:rsid w:val="00A8060E"/>
    <w:rsid w:val="00A80927"/>
    <w:rsid w:val="00A80CF9"/>
    <w:rsid w:val="00A811DE"/>
    <w:rsid w:val="00A81402"/>
    <w:rsid w:val="00A81C84"/>
    <w:rsid w:val="00A81F3C"/>
    <w:rsid w:val="00A82391"/>
    <w:rsid w:val="00A83FC9"/>
    <w:rsid w:val="00A84334"/>
    <w:rsid w:val="00A8473D"/>
    <w:rsid w:val="00A84F10"/>
    <w:rsid w:val="00A84F60"/>
    <w:rsid w:val="00A858D1"/>
    <w:rsid w:val="00A87095"/>
    <w:rsid w:val="00A8751E"/>
    <w:rsid w:val="00A87A06"/>
    <w:rsid w:val="00A90F72"/>
    <w:rsid w:val="00A91098"/>
    <w:rsid w:val="00A9159A"/>
    <w:rsid w:val="00A919E3"/>
    <w:rsid w:val="00A92FAA"/>
    <w:rsid w:val="00A93D3D"/>
    <w:rsid w:val="00A93EB9"/>
    <w:rsid w:val="00A944F0"/>
    <w:rsid w:val="00A94567"/>
    <w:rsid w:val="00A94DFB"/>
    <w:rsid w:val="00A95AC5"/>
    <w:rsid w:val="00A97312"/>
    <w:rsid w:val="00A975C7"/>
    <w:rsid w:val="00A97F68"/>
    <w:rsid w:val="00AA0F0B"/>
    <w:rsid w:val="00AA1694"/>
    <w:rsid w:val="00AA1B13"/>
    <w:rsid w:val="00AA1DC8"/>
    <w:rsid w:val="00AA27CB"/>
    <w:rsid w:val="00AA3D65"/>
    <w:rsid w:val="00AA4071"/>
    <w:rsid w:val="00AA4B79"/>
    <w:rsid w:val="00AA5209"/>
    <w:rsid w:val="00AA5B79"/>
    <w:rsid w:val="00AA605A"/>
    <w:rsid w:val="00AA6E24"/>
    <w:rsid w:val="00AA7022"/>
    <w:rsid w:val="00AA7023"/>
    <w:rsid w:val="00AB001D"/>
    <w:rsid w:val="00AB06CA"/>
    <w:rsid w:val="00AB1AF3"/>
    <w:rsid w:val="00AB1CB2"/>
    <w:rsid w:val="00AB206D"/>
    <w:rsid w:val="00AB29A2"/>
    <w:rsid w:val="00AB3155"/>
    <w:rsid w:val="00AB3826"/>
    <w:rsid w:val="00AB475D"/>
    <w:rsid w:val="00AB4CB7"/>
    <w:rsid w:val="00AB53E4"/>
    <w:rsid w:val="00AB55AC"/>
    <w:rsid w:val="00AB5C06"/>
    <w:rsid w:val="00AB6588"/>
    <w:rsid w:val="00AB6EDC"/>
    <w:rsid w:val="00AC14FD"/>
    <w:rsid w:val="00AC1522"/>
    <w:rsid w:val="00AC200D"/>
    <w:rsid w:val="00AC20DD"/>
    <w:rsid w:val="00AC2135"/>
    <w:rsid w:val="00AC26DF"/>
    <w:rsid w:val="00AC2BBF"/>
    <w:rsid w:val="00AC2EF6"/>
    <w:rsid w:val="00AC2FB2"/>
    <w:rsid w:val="00AC3BF4"/>
    <w:rsid w:val="00AC416E"/>
    <w:rsid w:val="00AC4298"/>
    <w:rsid w:val="00AC482D"/>
    <w:rsid w:val="00AC4E02"/>
    <w:rsid w:val="00AC4F72"/>
    <w:rsid w:val="00AC5541"/>
    <w:rsid w:val="00AC57FD"/>
    <w:rsid w:val="00AC5A4A"/>
    <w:rsid w:val="00AC5DDF"/>
    <w:rsid w:val="00AC6002"/>
    <w:rsid w:val="00AC6476"/>
    <w:rsid w:val="00AC6651"/>
    <w:rsid w:val="00AC6CF1"/>
    <w:rsid w:val="00AC6E87"/>
    <w:rsid w:val="00AC79F9"/>
    <w:rsid w:val="00AD05A9"/>
    <w:rsid w:val="00AD07B1"/>
    <w:rsid w:val="00AD0F68"/>
    <w:rsid w:val="00AD1D0C"/>
    <w:rsid w:val="00AD1E0B"/>
    <w:rsid w:val="00AD3568"/>
    <w:rsid w:val="00AD3882"/>
    <w:rsid w:val="00AD3CE4"/>
    <w:rsid w:val="00AD4A19"/>
    <w:rsid w:val="00AD557C"/>
    <w:rsid w:val="00AD6005"/>
    <w:rsid w:val="00AD62D0"/>
    <w:rsid w:val="00AE03CF"/>
    <w:rsid w:val="00AE0F07"/>
    <w:rsid w:val="00AE103A"/>
    <w:rsid w:val="00AE1C5F"/>
    <w:rsid w:val="00AE24DC"/>
    <w:rsid w:val="00AE395F"/>
    <w:rsid w:val="00AE3E3F"/>
    <w:rsid w:val="00AE41DC"/>
    <w:rsid w:val="00AE4BB2"/>
    <w:rsid w:val="00AE5265"/>
    <w:rsid w:val="00AE5B41"/>
    <w:rsid w:val="00AE5E16"/>
    <w:rsid w:val="00AE6D98"/>
    <w:rsid w:val="00AE6FDA"/>
    <w:rsid w:val="00AF0BCA"/>
    <w:rsid w:val="00AF0E05"/>
    <w:rsid w:val="00AF1A96"/>
    <w:rsid w:val="00AF31F5"/>
    <w:rsid w:val="00AF36A1"/>
    <w:rsid w:val="00AF4993"/>
    <w:rsid w:val="00AF4AF0"/>
    <w:rsid w:val="00AF4E45"/>
    <w:rsid w:val="00AF554F"/>
    <w:rsid w:val="00AF58E1"/>
    <w:rsid w:val="00AF5913"/>
    <w:rsid w:val="00AF79D7"/>
    <w:rsid w:val="00AF7FAD"/>
    <w:rsid w:val="00B0031C"/>
    <w:rsid w:val="00B00606"/>
    <w:rsid w:val="00B00C40"/>
    <w:rsid w:val="00B00EE3"/>
    <w:rsid w:val="00B01255"/>
    <w:rsid w:val="00B0144C"/>
    <w:rsid w:val="00B014C1"/>
    <w:rsid w:val="00B018A6"/>
    <w:rsid w:val="00B01CB4"/>
    <w:rsid w:val="00B02435"/>
    <w:rsid w:val="00B02715"/>
    <w:rsid w:val="00B029E9"/>
    <w:rsid w:val="00B040A7"/>
    <w:rsid w:val="00B04869"/>
    <w:rsid w:val="00B05194"/>
    <w:rsid w:val="00B05A0F"/>
    <w:rsid w:val="00B05A7C"/>
    <w:rsid w:val="00B064C1"/>
    <w:rsid w:val="00B06E98"/>
    <w:rsid w:val="00B070C0"/>
    <w:rsid w:val="00B07603"/>
    <w:rsid w:val="00B110E7"/>
    <w:rsid w:val="00B110EA"/>
    <w:rsid w:val="00B116A1"/>
    <w:rsid w:val="00B11FC2"/>
    <w:rsid w:val="00B12715"/>
    <w:rsid w:val="00B13378"/>
    <w:rsid w:val="00B1385C"/>
    <w:rsid w:val="00B13E3A"/>
    <w:rsid w:val="00B15284"/>
    <w:rsid w:val="00B1528E"/>
    <w:rsid w:val="00B152B1"/>
    <w:rsid w:val="00B159A3"/>
    <w:rsid w:val="00B172F5"/>
    <w:rsid w:val="00B17A79"/>
    <w:rsid w:val="00B21552"/>
    <w:rsid w:val="00B218BD"/>
    <w:rsid w:val="00B223D7"/>
    <w:rsid w:val="00B22713"/>
    <w:rsid w:val="00B22F2F"/>
    <w:rsid w:val="00B231C7"/>
    <w:rsid w:val="00B232D7"/>
    <w:rsid w:val="00B23C9A"/>
    <w:rsid w:val="00B23CFF"/>
    <w:rsid w:val="00B24755"/>
    <w:rsid w:val="00B25D1B"/>
    <w:rsid w:val="00B25E2E"/>
    <w:rsid w:val="00B26542"/>
    <w:rsid w:val="00B278E2"/>
    <w:rsid w:val="00B30972"/>
    <w:rsid w:val="00B30E34"/>
    <w:rsid w:val="00B3147F"/>
    <w:rsid w:val="00B3229C"/>
    <w:rsid w:val="00B32AFB"/>
    <w:rsid w:val="00B33365"/>
    <w:rsid w:val="00B33C5C"/>
    <w:rsid w:val="00B34426"/>
    <w:rsid w:val="00B3506B"/>
    <w:rsid w:val="00B35553"/>
    <w:rsid w:val="00B358B5"/>
    <w:rsid w:val="00B361DA"/>
    <w:rsid w:val="00B36C2F"/>
    <w:rsid w:val="00B36DA4"/>
    <w:rsid w:val="00B36E01"/>
    <w:rsid w:val="00B370C5"/>
    <w:rsid w:val="00B37119"/>
    <w:rsid w:val="00B37927"/>
    <w:rsid w:val="00B37A42"/>
    <w:rsid w:val="00B37F66"/>
    <w:rsid w:val="00B402A3"/>
    <w:rsid w:val="00B4047C"/>
    <w:rsid w:val="00B4154E"/>
    <w:rsid w:val="00B41911"/>
    <w:rsid w:val="00B42082"/>
    <w:rsid w:val="00B421DB"/>
    <w:rsid w:val="00B42983"/>
    <w:rsid w:val="00B42BF9"/>
    <w:rsid w:val="00B43A54"/>
    <w:rsid w:val="00B4412E"/>
    <w:rsid w:val="00B44350"/>
    <w:rsid w:val="00B44836"/>
    <w:rsid w:val="00B46F8A"/>
    <w:rsid w:val="00B47EFE"/>
    <w:rsid w:val="00B50222"/>
    <w:rsid w:val="00B50593"/>
    <w:rsid w:val="00B5080B"/>
    <w:rsid w:val="00B508C6"/>
    <w:rsid w:val="00B5112F"/>
    <w:rsid w:val="00B523F8"/>
    <w:rsid w:val="00B52586"/>
    <w:rsid w:val="00B52B8C"/>
    <w:rsid w:val="00B52ECF"/>
    <w:rsid w:val="00B536B6"/>
    <w:rsid w:val="00B544C3"/>
    <w:rsid w:val="00B54CB6"/>
    <w:rsid w:val="00B54DE4"/>
    <w:rsid w:val="00B54F5D"/>
    <w:rsid w:val="00B5556A"/>
    <w:rsid w:val="00B562A5"/>
    <w:rsid w:val="00B565B6"/>
    <w:rsid w:val="00B5672F"/>
    <w:rsid w:val="00B574C5"/>
    <w:rsid w:val="00B5780A"/>
    <w:rsid w:val="00B57D36"/>
    <w:rsid w:val="00B6097F"/>
    <w:rsid w:val="00B609EC"/>
    <w:rsid w:val="00B60DE7"/>
    <w:rsid w:val="00B60E4C"/>
    <w:rsid w:val="00B60EBA"/>
    <w:rsid w:val="00B620C6"/>
    <w:rsid w:val="00B62972"/>
    <w:rsid w:val="00B644D8"/>
    <w:rsid w:val="00B65815"/>
    <w:rsid w:val="00B6693B"/>
    <w:rsid w:val="00B66AB9"/>
    <w:rsid w:val="00B67A05"/>
    <w:rsid w:val="00B67DDE"/>
    <w:rsid w:val="00B71F14"/>
    <w:rsid w:val="00B7202F"/>
    <w:rsid w:val="00B7316E"/>
    <w:rsid w:val="00B7420B"/>
    <w:rsid w:val="00B74EB5"/>
    <w:rsid w:val="00B7539B"/>
    <w:rsid w:val="00B75418"/>
    <w:rsid w:val="00B75B41"/>
    <w:rsid w:val="00B77880"/>
    <w:rsid w:val="00B77922"/>
    <w:rsid w:val="00B809FE"/>
    <w:rsid w:val="00B811FF"/>
    <w:rsid w:val="00B82031"/>
    <w:rsid w:val="00B8244F"/>
    <w:rsid w:val="00B82D52"/>
    <w:rsid w:val="00B83245"/>
    <w:rsid w:val="00B833A8"/>
    <w:rsid w:val="00B8440F"/>
    <w:rsid w:val="00B84EA6"/>
    <w:rsid w:val="00B86166"/>
    <w:rsid w:val="00B876AD"/>
    <w:rsid w:val="00B92002"/>
    <w:rsid w:val="00B92E94"/>
    <w:rsid w:val="00B92F4F"/>
    <w:rsid w:val="00B93150"/>
    <w:rsid w:val="00B93981"/>
    <w:rsid w:val="00B93AF3"/>
    <w:rsid w:val="00B93C5B"/>
    <w:rsid w:val="00B94520"/>
    <w:rsid w:val="00B94ED3"/>
    <w:rsid w:val="00B94FD5"/>
    <w:rsid w:val="00B950FC"/>
    <w:rsid w:val="00B954D5"/>
    <w:rsid w:val="00B9579B"/>
    <w:rsid w:val="00B95BA9"/>
    <w:rsid w:val="00B9625F"/>
    <w:rsid w:val="00B962A5"/>
    <w:rsid w:val="00B96A12"/>
    <w:rsid w:val="00B96AE3"/>
    <w:rsid w:val="00B96D67"/>
    <w:rsid w:val="00B9734A"/>
    <w:rsid w:val="00B97E8A"/>
    <w:rsid w:val="00BA16D8"/>
    <w:rsid w:val="00BA17E5"/>
    <w:rsid w:val="00BA222B"/>
    <w:rsid w:val="00BA35FC"/>
    <w:rsid w:val="00BA3978"/>
    <w:rsid w:val="00BA4307"/>
    <w:rsid w:val="00BA4EDA"/>
    <w:rsid w:val="00BA5065"/>
    <w:rsid w:val="00BA69B9"/>
    <w:rsid w:val="00BA6F66"/>
    <w:rsid w:val="00BA7843"/>
    <w:rsid w:val="00BA788E"/>
    <w:rsid w:val="00BB041A"/>
    <w:rsid w:val="00BB0432"/>
    <w:rsid w:val="00BB07A7"/>
    <w:rsid w:val="00BB1654"/>
    <w:rsid w:val="00BB1D2F"/>
    <w:rsid w:val="00BB2287"/>
    <w:rsid w:val="00BB3948"/>
    <w:rsid w:val="00BB3EBC"/>
    <w:rsid w:val="00BB5C68"/>
    <w:rsid w:val="00BB62EF"/>
    <w:rsid w:val="00BB6DBC"/>
    <w:rsid w:val="00BC06CD"/>
    <w:rsid w:val="00BC099F"/>
    <w:rsid w:val="00BC0C7F"/>
    <w:rsid w:val="00BC0D93"/>
    <w:rsid w:val="00BC22BC"/>
    <w:rsid w:val="00BC265B"/>
    <w:rsid w:val="00BC2950"/>
    <w:rsid w:val="00BC5FE7"/>
    <w:rsid w:val="00BC6BC1"/>
    <w:rsid w:val="00BC7021"/>
    <w:rsid w:val="00BC7C6F"/>
    <w:rsid w:val="00BD0636"/>
    <w:rsid w:val="00BD0A8B"/>
    <w:rsid w:val="00BD0C0C"/>
    <w:rsid w:val="00BD1FAB"/>
    <w:rsid w:val="00BD25AB"/>
    <w:rsid w:val="00BD2A2D"/>
    <w:rsid w:val="00BD3158"/>
    <w:rsid w:val="00BD361E"/>
    <w:rsid w:val="00BD36E5"/>
    <w:rsid w:val="00BD3A72"/>
    <w:rsid w:val="00BD4D2B"/>
    <w:rsid w:val="00BD4EA2"/>
    <w:rsid w:val="00BD6271"/>
    <w:rsid w:val="00BD7B79"/>
    <w:rsid w:val="00BE0472"/>
    <w:rsid w:val="00BE0C0D"/>
    <w:rsid w:val="00BE0D34"/>
    <w:rsid w:val="00BE0F2D"/>
    <w:rsid w:val="00BE117D"/>
    <w:rsid w:val="00BE1D40"/>
    <w:rsid w:val="00BE3078"/>
    <w:rsid w:val="00BE30F8"/>
    <w:rsid w:val="00BE31C2"/>
    <w:rsid w:val="00BE356A"/>
    <w:rsid w:val="00BE47B1"/>
    <w:rsid w:val="00BE4B0A"/>
    <w:rsid w:val="00BE55C0"/>
    <w:rsid w:val="00BE6C7D"/>
    <w:rsid w:val="00BE7282"/>
    <w:rsid w:val="00BE737A"/>
    <w:rsid w:val="00BE73B2"/>
    <w:rsid w:val="00BE7C3F"/>
    <w:rsid w:val="00BF00F2"/>
    <w:rsid w:val="00BF02EF"/>
    <w:rsid w:val="00BF0339"/>
    <w:rsid w:val="00BF0384"/>
    <w:rsid w:val="00BF14B5"/>
    <w:rsid w:val="00BF2418"/>
    <w:rsid w:val="00BF2EFB"/>
    <w:rsid w:val="00BF2F81"/>
    <w:rsid w:val="00BF398F"/>
    <w:rsid w:val="00BF400B"/>
    <w:rsid w:val="00BF4246"/>
    <w:rsid w:val="00BF643C"/>
    <w:rsid w:val="00BF757B"/>
    <w:rsid w:val="00C00079"/>
    <w:rsid w:val="00C004FC"/>
    <w:rsid w:val="00C01C23"/>
    <w:rsid w:val="00C02277"/>
    <w:rsid w:val="00C0272A"/>
    <w:rsid w:val="00C04B7D"/>
    <w:rsid w:val="00C04C10"/>
    <w:rsid w:val="00C05642"/>
    <w:rsid w:val="00C05ACC"/>
    <w:rsid w:val="00C0645C"/>
    <w:rsid w:val="00C06563"/>
    <w:rsid w:val="00C066EF"/>
    <w:rsid w:val="00C06AE2"/>
    <w:rsid w:val="00C06CB3"/>
    <w:rsid w:val="00C0716E"/>
    <w:rsid w:val="00C0729E"/>
    <w:rsid w:val="00C075C7"/>
    <w:rsid w:val="00C07874"/>
    <w:rsid w:val="00C079F0"/>
    <w:rsid w:val="00C105E5"/>
    <w:rsid w:val="00C1109F"/>
    <w:rsid w:val="00C11F27"/>
    <w:rsid w:val="00C1222C"/>
    <w:rsid w:val="00C12EAB"/>
    <w:rsid w:val="00C1320C"/>
    <w:rsid w:val="00C13785"/>
    <w:rsid w:val="00C142AB"/>
    <w:rsid w:val="00C14332"/>
    <w:rsid w:val="00C16022"/>
    <w:rsid w:val="00C17AE2"/>
    <w:rsid w:val="00C20ACD"/>
    <w:rsid w:val="00C20D07"/>
    <w:rsid w:val="00C217C8"/>
    <w:rsid w:val="00C21E30"/>
    <w:rsid w:val="00C22730"/>
    <w:rsid w:val="00C238CA"/>
    <w:rsid w:val="00C24D20"/>
    <w:rsid w:val="00C2628E"/>
    <w:rsid w:val="00C264B4"/>
    <w:rsid w:val="00C2659C"/>
    <w:rsid w:val="00C3120F"/>
    <w:rsid w:val="00C33B9E"/>
    <w:rsid w:val="00C33D2F"/>
    <w:rsid w:val="00C341E7"/>
    <w:rsid w:val="00C36599"/>
    <w:rsid w:val="00C36A08"/>
    <w:rsid w:val="00C37C7C"/>
    <w:rsid w:val="00C40D6A"/>
    <w:rsid w:val="00C4190C"/>
    <w:rsid w:val="00C41CEF"/>
    <w:rsid w:val="00C41D6E"/>
    <w:rsid w:val="00C41F25"/>
    <w:rsid w:val="00C4406A"/>
    <w:rsid w:val="00C4506C"/>
    <w:rsid w:val="00C457F4"/>
    <w:rsid w:val="00C462D7"/>
    <w:rsid w:val="00C467E3"/>
    <w:rsid w:val="00C47AC6"/>
    <w:rsid w:val="00C502AD"/>
    <w:rsid w:val="00C50747"/>
    <w:rsid w:val="00C51134"/>
    <w:rsid w:val="00C51BD4"/>
    <w:rsid w:val="00C51E69"/>
    <w:rsid w:val="00C522EA"/>
    <w:rsid w:val="00C52530"/>
    <w:rsid w:val="00C53793"/>
    <w:rsid w:val="00C53F48"/>
    <w:rsid w:val="00C54022"/>
    <w:rsid w:val="00C55669"/>
    <w:rsid w:val="00C55B91"/>
    <w:rsid w:val="00C5666C"/>
    <w:rsid w:val="00C56BA8"/>
    <w:rsid w:val="00C570B2"/>
    <w:rsid w:val="00C607A9"/>
    <w:rsid w:val="00C609D6"/>
    <w:rsid w:val="00C61ABE"/>
    <w:rsid w:val="00C61EB7"/>
    <w:rsid w:val="00C6248B"/>
    <w:rsid w:val="00C632CC"/>
    <w:rsid w:val="00C64263"/>
    <w:rsid w:val="00C6431D"/>
    <w:rsid w:val="00C64886"/>
    <w:rsid w:val="00C662CF"/>
    <w:rsid w:val="00C66BFF"/>
    <w:rsid w:val="00C67533"/>
    <w:rsid w:val="00C67663"/>
    <w:rsid w:val="00C700FB"/>
    <w:rsid w:val="00C712C6"/>
    <w:rsid w:val="00C71918"/>
    <w:rsid w:val="00C72321"/>
    <w:rsid w:val="00C723FA"/>
    <w:rsid w:val="00C74629"/>
    <w:rsid w:val="00C75413"/>
    <w:rsid w:val="00C769C0"/>
    <w:rsid w:val="00C83494"/>
    <w:rsid w:val="00C83D56"/>
    <w:rsid w:val="00C849C5"/>
    <w:rsid w:val="00C862E1"/>
    <w:rsid w:val="00C8653D"/>
    <w:rsid w:val="00C91314"/>
    <w:rsid w:val="00C9132C"/>
    <w:rsid w:val="00C9137E"/>
    <w:rsid w:val="00C915A0"/>
    <w:rsid w:val="00C915D8"/>
    <w:rsid w:val="00C917ED"/>
    <w:rsid w:val="00C91DD3"/>
    <w:rsid w:val="00C95566"/>
    <w:rsid w:val="00C97D1B"/>
    <w:rsid w:val="00CA0303"/>
    <w:rsid w:val="00CA071D"/>
    <w:rsid w:val="00CA1108"/>
    <w:rsid w:val="00CA2412"/>
    <w:rsid w:val="00CA260E"/>
    <w:rsid w:val="00CA3286"/>
    <w:rsid w:val="00CA43B6"/>
    <w:rsid w:val="00CA4508"/>
    <w:rsid w:val="00CA4C34"/>
    <w:rsid w:val="00CA51C2"/>
    <w:rsid w:val="00CA641D"/>
    <w:rsid w:val="00CA6CE1"/>
    <w:rsid w:val="00CA703C"/>
    <w:rsid w:val="00CA734E"/>
    <w:rsid w:val="00CB11E9"/>
    <w:rsid w:val="00CB12B5"/>
    <w:rsid w:val="00CB1367"/>
    <w:rsid w:val="00CB18D4"/>
    <w:rsid w:val="00CB18EC"/>
    <w:rsid w:val="00CB2514"/>
    <w:rsid w:val="00CB296C"/>
    <w:rsid w:val="00CB325C"/>
    <w:rsid w:val="00CB37A9"/>
    <w:rsid w:val="00CB42E1"/>
    <w:rsid w:val="00CB4BA5"/>
    <w:rsid w:val="00CB52F0"/>
    <w:rsid w:val="00CB5667"/>
    <w:rsid w:val="00CB5E2A"/>
    <w:rsid w:val="00CB5EE7"/>
    <w:rsid w:val="00CB6047"/>
    <w:rsid w:val="00CB64B8"/>
    <w:rsid w:val="00CB70ED"/>
    <w:rsid w:val="00CB7377"/>
    <w:rsid w:val="00CB7E4D"/>
    <w:rsid w:val="00CC1712"/>
    <w:rsid w:val="00CC3008"/>
    <w:rsid w:val="00CC3832"/>
    <w:rsid w:val="00CC4889"/>
    <w:rsid w:val="00CC4F45"/>
    <w:rsid w:val="00CC6EFF"/>
    <w:rsid w:val="00CC7973"/>
    <w:rsid w:val="00CC7EE2"/>
    <w:rsid w:val="00CD0EAF"/>
    <w:rsid w:val="00CD19D1"/>
    <w:rsid w:val="00CD210E"/>
    <w:rsid w:val="00CD23C1"/>
    <w:rsid w:val="00CD23E8"/>
    <w:rsid w:val="00CD2C96"/>
    <w:rsid w:val="00CD34CF"/>
    <w:rsid w:val="00CD4EA9"/>
    <w:rsid w:val="00CD5022"/>
    <w:rsid w:val="00CD52DD"/>
    <w:rsid w:val="00CD56AC"/>
    <w:rsid w:val="00CD5712"/>
    <w:rsid w:val="00CD5C65"/>
    <w:rsid w:val="00CD670B"/>
    <w:rsid w:val="00CD73CB"/>
    <w:rsid w:val="00CE0B69"/>
    <w:rsid w:val="00CE0DDB"/>
    <w:rsid w:val="00CE0E04"/>
    <w:rsid w:val="00CE12DC"/>
    <w:rsid w:val="00CE274C"/>
    <w:rsid w:val="00CE29EB"/>
    <w:rsid w:val="00CE365C"/>
    <w:rsid w:val="00CE3E9C"/>
    <w:rsid w:val="00CE4350"/>
    <w:rsid w:val="00CE7BAA"/>
    <w:rsid w:val="00CE7D5A"/>
    <w:rsid w:val="00CF08DC"/>
    <w:rsid w:val="00CF0B8C"/>
    <w:rsid w:val="00CF15CB"/>
    <w:rsid w:val="00CF1891"/>
    <w:rsid w:val="00CF1C26"/>
    <w:rsid w:val="00CF1FB1"/>
    <w:rsid w:val="00CF29C9"/>
    <w:rsid w:val="00CF3FF4"/>
    <w:rsid w:val="00CF4232"/>
    <w:rsid w:val="00CF50A6"/>
    <w:rsid w:val="00CF534B"/>
    <w:rsid w:val="00CF5971"/>
    <w:rsid w:val="00CF5DE8"/>
    <w:rsid w:val="00CF67E5"/>
    <w:rsid w:val="00D0038B"/>
    <w:rsid w:val="00D00BCD"/>
    <w:rsid w:val="00D00FEC"/>
    <w:rsid w:val="00D01264"/>
    <w:rsid w:val="00D03379"/>
    <w:rsid w:val="00D040A6"/>
    <w:rsid w:val="00D040DF"/>
    <w:rsid w:val="00D046ED"/>
    <w:rsid w:val="00D04927"/>
    <w:rsid w:val="00D05075"/>
    <w:rsid w:val="00D0598F"/>
    <w:rsid w:val="00D06EFF"/>
    <w:rsid w:val="00D07AC5"/>
    <w:rsid w:val="00D07D2B"/>
    <w:rsid w:val="00D101AF"/>
    <w:rsid w:val="00D10A01"/>
    <w:rsid w:val="00D1119E"/>
    <w:rsid w:val="00D11522"/>
    <w:rsid w:val="00D11B33"/>
    <w:rsid w:val="00D12062"/>
    <w:rsid w:val="00D1209A"/>
    <w:rsid w:val="00D1315C"/>
    <w:rsid w:val="00D13C94"/>
    <w:rsid w:val="00D13EB4"/>
    <w:rsid w:val="00D140A1"/>
    <w:rsid w:val="00D14FAA"/>
    <w:rsid w:val="00D15190"/>
    <w:rsid w:val="00D152F2"/>
    <w:rsid w:val="00D155C2"/>
    <w:rsid w:val="00D1607C"/>
    <w:rsid w:val="00D175B1"/>
    <w:rsid w:val="00D201CB"/>
    <w:rsid w:val="00D20300"/>
    <w:rsid w:val="00D21A85"/>
    <w:rsid w:val="00D21DCC"/>
    <w:rsid w:val="00D23B24"/>
    <w:rsid w:val="00D23ECE"/>
    <w:rsid w:val="00D2599E"/>
    <w:rsid w:val="00D261A9"/>
    <w:rsid w:val="00D270D5"/>
    <w:rsid w:val="00D27AD0"/>
    <w:rsid w:val="00D27AEF"/>
    <w:rsid w:val="00D312A0"/>
    <w:rsid w:val="00D31BB0"/>
    <w:rsid w:val="00D3253D"/>
    <w:rsid w:val="00D328B7"/>
    <w:rsid w:val="00D32F79"/>
    <w:rsid w:val="00D337C1"/>
    <w:rsid w:val="00D337C9"/>
    <w:rsid w:val="00D35187"/>
    <w:rsid w:val="00D36659"/>
    <w:rsid w:val="00D368F6"/>
    <w:rsid w:val="00D374FD"/>
    <w:rsid w:val="00D376E4"/>
    <w:rsid w:val="00D41243"/>
    <w:rsid w:val="00D41E79"/>
    <w:rsid w:val="00D42A8D"/>
    <w:rsid w:val="00D42CE7"/>
    <w:rsid w:val="00D42D45"/>
    <w:rsid w:val="00D42EAB"/>
    <w:rsid w:val="00D43B3E"/>
    <w:rsid w:val="00D447AE"/>
    <w:rsid w:val="00D44CBF"/>
    <w:rsid w:val="00D468A0"/>
    <w:rsid w:val="00D47B33"/>
    <w:rsid w:val="00D47E43"/>
    <w:rsid w:val="00D512EC"/>
    <w:rsid w:val="00D51B4A"/>
    <w:rsid w:val="00D51F10"/>
    <w:rsid w:val="00D521A5"/>
    <w:rsid w:val="00D529E4"/>
    <w:rsid w:val="00D536B3"/>
    <w:rsid w:val="00D539E5"/>
    <w:rsid w:val="00D540D3"/>
    <w:rsid w:val="00D54328"/>
    <w:rsid w:val="00D54C56"/>
    <w:rsid w:val="00D57832"/>
    <w:rsid w:val="00D6010E"/>
    <w:rsid w:val="00D606D1"/>
    <w:rsid w:val="00D61CFC"/>
    <w:rsid w:val="00D61E64"/>
    <w:rsid w:val="00D625DA"/>
    <w:rsid w:val="00D626F8"/>
    <w:rsid w:val="00D62C23"/>
    <w:rsid w:val="00D643E5"/>
    <w:rsid w:val="00D669DB"/>
    <w:rsid w:val="00D66A14"/>
    <w:rsid w:val="00D66E77"/>
    <w:rsid w:val="00D67607"/>
    <w:rsid w:val="00D70110"/>
    <w:rsid w:val="00D71410"/>
    <w:rsid w:val="00D71C97"/>
    <w:rsid w:val="00D71CB8"/>
    <w:rsid w:val="00D71FB1"/>
    <w:rsid w:val="00D725A9"/>
    <w:rsid w:val="00D73230"/>
    <w:rsid w:val="00D73353"/>
    <w:rsid w:val="00D74601"/>
    <w:rsid w:val="00D74671"/>
    <w:rsid w:val="00D75743"/>
    <w:rsid w:val="00D75CC4"/>
    <w:rsid w:val="00D75EBA"/>
    <w:rsid w:val="00D76066"/>
    <w:rsid w:val="00D76093"/>
    <w:rsid w:val="00D76178"/>
    <w:rsid w:val="00D766F3"/>
    <w:rsid w:val="00D76D00"/>
    <w:rsid w:val="00D77405"/>
    <w:rsid w:val="00D77EAE"/>
    <w:rsid w:val="00D81385"/>
    <w:rsid w:val="00D813F7"/>
    <w:rsid w:val="00D81A3C"/>
    <w:rsid w:val="00D8246D"/>
    <w:rsid w:val="00D82A96"/>
    <w:rsid w:val="00D839B5"/>
    <w:rsid w:val="00D843E7"/>
    <w:rsid w:val="00D844EF"/>
    <w:rsid w:val="00D84555"/>
    <w:rsid w:val="00D854DC"/>
    <w:rsid w:val="00D85ABF"/>
    <w:rsid w:val="00D8612C"/>
    <w:rsid w:val="00D87AC4"/>
    <w:rsid w:val="00D9070C"/>
    <w:rsid w:val="00D90866"/>
    <w:rsid w:val="00D90AFA"/>
    <w:rsid w:val="00D9215E"/>
    <w:rsid w:val="00D9369B"/>
    <w:rsid w:val="00D93930"/>
    <w:rsid w:val="00D949A5"/>
    <w:rsid w:val="00DA1E80"/>
    <w:rsid w:val="00DA2107"/>
    <w:rsid w:val="00DA2563"/>
    <w:rsid w:val="00DA2CF2"/>
    <w:rsid w:val="00DA2DCA"/>
    <w:rsid w:val="00DA3F58"/>
    <w:rsid w:val="00DA45CF"/>
    <w:rsid w:val="00DA4C68"/>
    <w:rsid w:val="00DA7017"/>
    <w:rsid w:val="00DA7B32"/>
    <w:rsid w:val="00DB0050"/>
    <w:rsid w:val="00DB06C5"/>
    <w:rsid w:val="00DB117C"/>
    <w:rsid w:val="00DB1C8D"/>
    <w:rsid w:val="00DB1E94"/>
    <w:rsid w:val="00DB1F0A"/>
    <w:rsid w:val="00DB22E2"/>
    <w:rsid w:val="00DB2B3D"/>
    <w:rsid w:val="00DB31A9"/>
    <w:rsid w:val="00DB3229"/>
    <w:rsid w:val="00DB402C"/>
    <w:rsid w:val="00DB4DCC"/>
    <w:rsid w:val="00DB6103"/>
    <w:rsid w:val="00DB6814"/>
    <w:rsid w:val="00DB6E86"/>
    <w:rsid w:val="00DB6E97"/>
    <w:rsid w:val="00DB712B"/>
    <w:rsid w:val="00DC0179"/>
    <w:rsid w:val="00DC1A2F"/>
    <w:rsid w:val="00DC1C57"/>
    <w:rsid w:val="00DC1CFD"/>
    <w:rsid w:val="00DC25D5"/>
    <w:rsid w:val="00DC2EF9"/>
    <w:rsid w:val="00DC3438"/>
    <w:rsid w:val="00DC4076"/>
    <w:rsid w:val="00DC6E5A"/>
    <w:rsid w:val="00DC6FE4"/>
    <w:rsid w:val="00DC7B33"/>
    <w:rsid w:val="00DD102E"/>
    <w:rsid w:val="00DD4308"/>
    <w:rsid w:val="00DD5200"/>
    <w:rsid w:val="00DD5224"/>
    <w:rsid w:val="00DD536B"/>
    <w:rsid w:val="00DD56C4"/>
    <w:rsid w:val="00DD7551"/>
    <w:rsid w:val="00DD7711"/>
    <w:rsid w:val="00DD7AC6"/>
    <w:rsid w:val="00DD7C22"/>
    <w:rsid w:val="00DE05B4"/>
    <w:rsid w:val="00DE0A9D"/>
    <w:rsid w:val="00DE247C"/>
    <w:rsid w:val="00DE30EA"/>
    <w:rsid w:val="00DE3E14"/>
    <w:rsid w:val="00DE4312"/>
    <w:rsid w:val="00DE5FE2"/>
    <w:rsid w:val="00DE61F2"/>
    <w:rsid w:val="00DE6D08"/>
    <w:rsid w:val="00DE6E89"/>
    <w:rsid w:val="00DE71F7"/>
    <w:rsid w:val="00DF1C84"/>
    <w:rsid w:val="00DF26CC"/>
    <w:rsid w:val="00DF2814"/>
    <w:rsid w:val="00DF306C"/>
    <w:rsid w:val="00DF54DB"/>
    <w:rsid w:val="00DF5667"/>
    <w:rsid w:val="00DF5C94"/>
    <w:rsid w:val="00DF655F"/>
    <w:rsid w:val="00DF6672"/>
    <w:rsid w:val="00DF78F6"/>
    <w:rsid w:val="00DF7D72"/>
    <w:rsid w:val="00DF7E0E"/>
    <w:rsid w:val="00E00A97"/>
    <w:rsid w:val="00E03643"/>
    <w:rsid w:val="00E03E27"/>
    <w:rsid w:val="00E05AE4"/>
    <w:rsid w:val="00E06828"/>
    <w:rsid w:val="00E079E8"/>
    <w:rsid w:val="00E1033B"/>
    <w:rsid w:val="00E11161"/>
    <w:rsid w:val="00E1130F"/>
    <w:rsid w:val="00E1161A"/>
    <w:rsid w:val="00E11B3D"/>
    <w:rsid w:val="00E11FFC"/>
    <w:rsid w:val="00E12AFF"/>
    <w:rsid w:val="00E12DA4"/>
    <w:rsid w:val="00E13C4C"/>
    <w:rsid w:val="00E1485C"/>
    <w:rsid w:val="00E14DAA"/>
    <w:rsid w:val="00E15DFD"/>
    <w:rsid w:val="00E17B9D"/>
    <w:rsid w:val="00E21368"/>
    <w:rsid w:val="00E21BB3"/>
    <w:rsid w:val="00E21E32"/>
    <w:rsid w:val="00E222F1"/>
    <w:rsid w:val="00E22666"/>
    <w:rsid w:val="00E22B3C"/>
    <w:rsid w:val="00E22D69"/>
    <w:rsid w:val="00E2304A"/>
    <w:rsid w:val="00E249E9"/>
    <w:rsid w:val="00E255FC"/>
    <w:rsid w:val="00E276B7"/>
    <w:rsid w:val="00E302D3"/>
    <w:rsid w:val="00E30F47"/>
    <w:rsid w:val="00E31666"/>
    <w:rsid w:val="00E32C8D"/>
    <w:rsid w:val="00E33677"/>
    <w:rsid w:val="00E341C2"/>
    <w:rsid w:val="00E359EE"/>
    <w:rsid w:val="00E36083"/>
    <w:rsid w:val="00E366E0"/>
    <w:rsid w:val="00E36D0E"/>
    <w:rsid w:val="00E37459"/>
    <w:rsid w:val="00E37805"/>
    <w:rsid w:val="00E37DD8"/>
    <w:rsid w:val="00E43EC9"/>
    <w:rsid w:val="00E44A87"/>
    <w:rsid w:val="00E463D9"/>
    <w:rsid w:val="00E471F4"/>
    <w:rsid w:val="00E47479"/>
    <w:rsid w:val="00E50954"/>
    <w:rsid w:val="00E518A7"/>
    <w:rsid w:val="00E527AB"/>
    <w:rsid w:val="00E53593"/>
    <w:rsid w:val="00E53664"/>
    <w:rsid w:val="00E53A9C"/>
    <w:rsid w:val="00E54B9F"/>
    <w:rsid w:val="00E54DAD"/>
    <w:rsid w:val="00E55552"/>
    <w:rsid w:val="00E566A6"/>
    <w:rsid w:val="00E5724C"/>
    <w:rsid w:val="00E5776C"/>
    <w:rsid w:val="00E57F1F"/>
    <w:rsid w:val="00E60B0A"/>
    <w:rsid w:val="00E60DAB"/>
    <w:rsid w:val="00E60DF7"/>
    <w:rsid w:val="00E648E4"/>
    <w:rsid w:val="00E64D70"/>
    <w:rsid w:val="00E6594E"/>
    <w:rsid w:val="00E659EB"/>
    <w:rsid w:val="00E65FC4"/>
    <w:rsid w:val="00E661F6"/>
    <w:rsid w:val="00E67C18"/>
    <w:rsid w:val="00E67E13"/>
    <w:rsid w:val="00E70E00"/>
    <w:rsid w:val="00E71109"/>
    <w:rsid w:val="00E7198F"/>
    <w:rsid w:val="00E724A2"/>
    <w:rsid w:val="00E74FD5"/>
    <w:rsid w:val="00E755E0"/>
    <w:rsid w:val="00E76445"/>
    <w:rsid w:val="00E76457"/>
    <w:rsid w:val="00E765AA"/>
    <w:rsid w:val="00E76D71"/>
    <w:rsid w:val="00E775B1"/>
    <w:rsid w:val="00E77F23"/>
    <w:rsid w:val="00E814CB"/>
    <w:rsid w:val="00E82173"/>
    <w:rsid w:val="00E8217D"/>
    <w:rsid w:val="00E83413"/>
    <w:rsid w:val="00E848BF"/>
    <w:rsid w:val="00E85748"/>
    <w:rsid w:val="00E8592E"/>
    <w:rsid w:val="00E85F51"/>
    <w:rsid w:val="00E86B8E"/>
    <w:rsid w:val="00E86DEA"/>
    <w:rsid w:val="00E91AC1"/>
    <w:rsid w:val="00E91D6E"/>
    <w:rsid w:val="00E925B4"/>
    <w:rsid w:val="00E9297A"/>
    <w:rsid w:val="00E92E57"/>
    <w:rsid w:val="00E936CF"/>
    <w:rsid w:val="00E9373C"/>
    <w:rsid w:val="00E94387"/>
    <w:rsid w:val="00E94AEF"/>
    <w:rsid w:val="00E952A4"/>
    <w:rsid w:val="00E9548F"/>
    <w:rsid w:val="00E962A9"/>
    <w:rsid w:val="00E97014"/>
    <w:rsid w:val="00E97036"/>
    <w:rsid w:val="00E971CD"/>
    <w:rsid w:val="00E97735"/>
    <w:rsid w:val="00E977F6"/>
    <w:rsid w:val="00E97C88"/>
    <w:rsid w:val="00EA0C06"/>
    <w:rsid w:val="00EA0ECF"/>
    <w:rsid w:val="00EA3095"/>
    <w:rsid w:val="00EA358A"/>
    <w:rsid w:val="00EA3704"/>
    <w:rsid w:val="00EA53F4"/>
    <w:rsid w:val="00EA591B"/>
    <w:rsid w:val="00EA631F"/>
    <w:rsid w:val="00EA6A14"/>
    <w:rsid w:val="00EA70DC"/>
    <w:rsid w:val="00EA7B7B"/>
    <w:rsid w:val="00EB1370"/>
    <w:rsid w:val="00EB1386"/>
    <w:rsid w:val="00EB273A"/>
    <w:rsid w:val="00EB3376"/>
    <w:rsid w:val="00EB3B6D"/>
    <w:rsid w:val="00EB4750"/>
    <w:rsid w:val="00EB5E12"/>
    <w:rsid w:val="00EB792B"/>
    <w:rsid w:val="00EB79A4"/>
    <w:rsid w:val="00EC0156"/>
    <w:rsid w:val="00EC0563"/>
    <w:rsid w:val="00EC2A57"/>
    <w:rsid w:val="00EC3A89"/>
    <w:rsid w:val="00EC4448"/>
    <w:rsid w:val="00EC58CC"/>
    <w:rsid w:val="00EC5D08"/>
    <w:rsid w:val="00EC63BD"/>
    <w:rsid w:val="00EC7233"/>
    <w:rsid w:val="00ED0AD9"/>
    <w:rsid w:val="00ED12A6"/>
    <w:rsid w:val="00ED13D0"/>
    <w:rsid w:val="00ED28E3"/>
    <w:rsid w:val="00ED2ACC"/>
    <w:rsid w:val="00ED2EF7"/>
    <w:rsid w:val="00ED2F30"/>
    <w:rsid w:val="00ED35C3"/>
    <w:rsid w:val="00ED3BA3"/>
    <w:rsid w:val="00ED470C"/>
    <w:rsid w:val="00ED5862"/>
    <w:rsid w:val="00ED622D"/>
    <w:rsid w:val="00ED6E84"/>
    <w:rsid w:val="00ED7F56"/>
    <w:rsid w:val="00EE15B3"/>
    <w:rsid w:val="00EE17FF"/>
    <w:rsid w:val="00EE2244"/>
    <w:rsid w:val="00EE4A8E"/>
    <w:rsid w:val="00EE598D"/>
    <w:rsid w:val="00EE5CC3"/>
    <w:rsid w:val="00EE674D"/>
    <w:rsid w:val="00EE686D"/>
    <w:rsid w:val="00EE688B"/>
    <w:rsid w:val="00EE6A9A"/>
    <w:rsid w:val="00EE73F6"/>
    <w:rsid w:val="00EE7B05"/>
    <w:rsid w:val="00EE7C76"/>
    <w:rsid w:val="00EF0804"/>
    <w:rsid w:val="00EF0A80"/>
    <w:rsid w:val="00EF1515"/>
    <w:rsid w:val="00EF1685"/>
    <w:rsid w:val="00EF180C"/>
    <w:rsid w:val="00EF2059"/>
    <w:rsid w:val="00EF3607"/>
    <w:rsid w:val="00EF37A2"/>
    <w:rsid w:val="00EF43F5"/>
    <w:rsid w:val="00EF57B9"/>
    <w:rsid w:val="00EF6426"/>
    <w:rsid w:val="00EF64E7"/>
    <w:rsid w:val="00EF7417"/>
    <w:rsid w:val="00EF76B8"/>
    <w:rsid w:val="00EF7A80"/>
    <w:rsid w:val="00F008A1"/>
    <w:rsid w:val="00F00CEB"/>
    <w:rsid w:val="00F0253F"/>
    <w:rsid w:val="00F02BB9"/>
    <w:rsid w:val="00F0324B"/>
    <w:rsid w:val="00F052C1"/>
    <w:rsid w:val="00F05519"/>
    <w:rsid w:val="00F0586C"/>
    <w:rsid w:val="00F067C0"/>
    <w:rsid w:val="00F072F4"/>
    <w:rsid w:val="00F07C81"/>
    <w:rsid w:val="00F101E2"/>
    <w:rsid w:val="00F11340"/>
    <w:rsid w:val="00F11B54"/>
    <w:rsid w:val="00F1313E"/>
    <w:rsid w:val="00F1434D"/>
    <w:rsid w:val="00F14694"/>
    <w:rsid w:val="00F14D83"/>
    <w:rsid w:val="00F15D34"/>
    <w:rsid w:val="00F160AB"/>
    <w:rsid w:val="00F20E12"/>
    <w:rsid w:val="00F21859"/>
    <w:rsid w:val="00F21EE2"/>
    <w:rsid w:val="00F222C3"/>
    <w:rsid w:val="00F223B5"/>
    <w:rsid w:val="00F223C9"/>
    <w:rsid w:val="00F2313B"/>
    <w:rsid w:val="00F25C92"/>
    <w:rsid w:val="00F26747"/>
    <w:rsid w:val="00F2724D"/>
    <w:rsid w:val="00F276D0"/>
    <w:rsid w:val="00F27CC1"/>
    <w:rsid w:val="00F30382"/>
    <w:rsid w:val="00F30BEC"/>
    <w:rsid w:val="00F314BD"/>
    <w:rsid w:val="00F32DAF"/>
    <w:rsid w:val="00F33021"/>
    <w:rsid w:val="00F331C3"/>
    <w:rsid w:val="00F33C2A"/>
    <w:rsid w:val="00F33CDF"/>
    <w:rsid w:val="00F3458C"/>
    <w:rsid w:val="00F3596F"/>
    <w:rsid w:val="00F35B5F"/>
    <w:rsid w:val="00F35F97"/>
    <w:rsid w:val="00F36088"/>
    <w:rsid w:val="00F37E3A"/>
    <w:rsid w:val="00F40A4E"/>
    <w:rsid w:val="00F41DAA"/>
    <w:rsid w:val="00F42522"/>
    <w:rsid w:val="00F425A3"/>
    <w:rsid w:val="00F431C8"/>
    <w:rsid w:val="00F4380A"/>
    <w:rsid w:val="00F4473F"/>
    <w:rsid w:val="00F4484E"/>
    <w:rsid w:val="00F448E5"/>
    <w:rsid w:val="00F47306"/>
    <w:rsid w:val="00F505A3"/>
    <w:rsid w:val="00F51BD5"/>
    <w:rsid w:val="00F51C8C"/>
    <w:rsid w:val="00F53695"/>
    <w:rsid w:val="00F53C91"/>
    <w:rsid w:val="00F54F68"/>
    <w:rsid w:val="00F55A90"/>
    <w:rsid w:val="00F5724D"/>
    <w:rsid w:val="00F57937"/>
    <w:rsid w:val="00F613E8"/>
    <w:rsid w:val="00F61D68"/>
    <w:rsid w:val="00F63D18"/>
    <w:rsid w:val="00F63DCC"/>
    <w:rsid w:val="00F64C0E"/>
    <w:rsid w:val="00F64DBB"/>
    <w:rsid w:val="00F6529A"/>
    <w:rsid w:val="00F65D3F"/>
    <w:rsid w:val="00F672D6"/>
    <w:rsid w:val="00F67AEA"/>
    <w:rsid w:val="00F702FC"/>
    <w:rsid w:val="00F704EB"/>
    <w:rsid w:val="00F70A0D"/>
    <w:rsid w:val="00F70A0E"/>
    <w:rsid w:val="00F7182F"/>
    <w:rsid w:val="00F721AA"/>
    <w:rsid w:val="00F737DA"/>
    <w:rsid w:val="00F73A9F"/>
    <w:rsid w:val="00F7473A"/>
    <w:rsid w:val="00F74D6D"/>
    <w:rsid w:val="00F75253"/>
    <w:rsid w:val="00F76141"/>
    <w:rsid w:val="00F761DF"/>
    <w:rsid w:val="00F769E8"/>
    <w:rsid w:val="00F818FE"/>
    <w:rsid w:val="00F81AEB"/>
    <w:rsid w:val="00F81CD5"/>
    <w:rsid w:val="00F82B19"/>
    <w:rsid w:val="00F82CD8"/>
    <w:rsid w:val="00F82DAE"/>
    <w:rsid w:val="00F836B3"/>
    <w:rsid w:val="00F83C72"/>
    <w:rsid w:val="00F83EC4"/>
    <w:rsid w:val="00F853E1"/>
    <w:rsid w:val="00F85A42"/>
    <w:rsid w:val="00F86193"/>
    <w:rsid w:val="00F86236"/>
    <w:rsid w:val="00F86776"/>
    <w:rsid w:val="00F8686E"/>
    <w:rsid w:val="00F86E8B"/>
    <w:rsid w:val="00F87268"/>
    <w:rsid w:val="00F875ED"/>
    <w:rsid w:val="00F90D3B"/>
    <w:rsid w:val="00F9230C"/>
    <w:rsid w:val="00F92A38"/>
    <w:rsid w:val="00F93886"/>
    <w:rsid w:val="00F93B35"/>
    <w:rsid w:val="00F93E44"/>
    <w:rsid w:val="00F940E6"/>
    <w:rsid w:val="00F940F7"/>
    <w:rsid w:val="00F94839"/>
    <w:rsid w:val="00F94C14"/>
    <w:rsid w:val="00F97570"/>
    <w:rsid w:val="00FA034B"/>
    <w:rsid w:val="00FA12C8"/>
    <w:rsid w:val="00FA14F7"/>
    <w:rsid w:val="00FA1C84"/>
    <w:rsid w:val="00FA3195"/>
    <w:rsid w:val="00FA32E5"/>
    <w:rsid w:val="00FA3E44"/>
    <w:rsid w:val="00FA438D"/>
    <w:rsid w:val="00FA4AD0"/>
    <w:rsid w:val="00FA4B47"/>
    <w:rsid w:val="00FA4D34"/>
    <w:rsid w:val="00FA59AD"/>
    <w:rsid w:val="00FA6A3E"/>
    <w:rsid w:val="00FA6AE2"/>
    <w:rsid w:val="00FA6FF1"/>
    <w:rsid w:val="00FA7BDE"/>
    <w:rsid w:val="00FB024E"/>
    <w:rsid w:val="00FB04E3"/>
    <w:rsid w:val="00FB1080"/>
    <w:rsid w:val="00FB144E"/>
    <w:rsid w:val="00FB1F66"/>
    <w:rsid w:val="00FB381A"/>
    <w:rsid w:val="00FB38BF"/>
    <w:rsid w:val="00FB5382"/>
    <w:rsid w:val="00FB5C12"/>
    <w:rsid w:val="00FB6232"/>
    <w:rsid w:val="00FB7B86"/>
    <w:rsid w:val="00FC15D2"/>
    <w:rsid w:val="00FC1605"/>
    <w:rsid w:val="00FC2E85"/>
    <w:rsid w:val="00FC37A1"/>
    <w:rsid w:val="00FC40B5"/>
    <w:rsid w:val="00FC47EC"/>
    <w:rsid w:val="00FC54FF"/>
    <w:rsid w:val="00FC566D"/>
    <w:rsid w:val="00FC7037"/>
    <w:rsid w:val="00FC7C60"/>
    <w:rsid w:val="00FC7D44"/>
    <w:rsid w:val="00FD046A"/>
    <w:rsid w:val="00FD0619"/>
    <w:rsid w:val="00FD18D6"/>
    <w:rsid w:val="00FD317A"/>
    <w:rsid w:val="00FD37C0"/>
    <w:rsid w:val="00FD3F84"/>
    <w:rsid w:val="00FD4075"/>
    <w:rsid w:val="00FD45CC"/>
    <w:rsid w:val="00FD4D48"/>
    <w:rsid w:val="00FD58D3"/>
    <w:rsid w:val="00FD6F63"/>
    <w:rsid w:val="00FD72F7"/>
    <w:rsid w:val="00FD7691"/>
    <w:rsid w:val="00FD77CF"/>
    <w:rsid w:val="00FD7B81"/>
    <w:rsid w:val="00FD7BDD"/>
    <w:rsid w:val="00FD7C73"/>
    <w:rsid w:val="00FE0A81"/>
    <w:rsid w:val="00FE19F8"/>
    <w:rsid w:val="00FE1FE3"/>
    <w:rsid w:val="00FE2577"/>
    <w:rsid w:val="00FE2AEA"/>
    <w:rsid w:val="00FE3369"/>
    <w:rsid w:val="00FE443F"/>
    <w:rsid w:val="00FE46F5"/>
    <w:rsid w:val="00FE50DA"/>
    <w:rsid w:val="00FE5111"/>
    <w:rsid w:val="00FE5A2F"/>
    <w:rsid w:val="00FE5A9E"/>
    <w:rsid w:val="00FE5F6E"/>
    <w:rsid w:val="00FE60CB"/>
    <w:rsid w:val="00FE6837"/>
    <w:rsid w:val="00FE7EB1"/>
    <w:rsid w:val="00FF1731"/>
    <w:rsid w:val="00FF1E7F"/>
    <w:rsid w:val="00FF2348"/>
    <w:rsid w:val="00FF2B1E"/>
    <w:rsid w:val="00FF3812"/>
    <w:rsid w:val="00FF3E83"/>
    <w:rsid w:val="00FF5B0A"/>
    <w:rsid w:val="00FF5BCD"/>
    <w:rsid w:val="00FF5F98"/>
    <w:rsid w:val="00FF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CD62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2A5"/>
  </w:style>
  <w:style w:type="paragraph" w:styleId="Footer">
    <w:name w:val="footer"/>
    <w:basedOn w:val="Normal"/>
    <w:link w:val="Foot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2A5"/>
  </w:style>
  <w:style w:type="paragraph" w:styleId="ListParagraph">
    <w:name w:val="List Paragraph"/>
    <w:basedOn w:val="Normal"/>
    <w:uiPriority w:val="34"/>
    <w:qFormat/>
    <w:rsid w:val="009B64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641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D7C6C"/>
  </w:style>
  <w:style w:type="character" w:customStyle="1" w:styleId="FootnoteTextChar">
    <w:name w:val="Footnote Text Char"/>
    <w:basedOn w:val="DefaultParagraphFont"/>
    <w:link w:val="FootnoteText"/>
    <w:uiPriority w:val="99"/>
    <w:rsid w:val="003D7C6C"/>
  </w:style>
  <w:style w:type="character" w:styleId="FootnoteReference">
    <w:name w:val="footnote reference"/>
    <w:basedOn w:val="DefaultParagraphFont"/>
    <w:uiPriority w:val="99"/>
    <w:unhideWhenUsed/>
    <w:rsid w:val="003D7C6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571B0D"/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AE5B41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60DB5"/>
  </w:style>
  <w:style w:type="paragraph" w:styleId="BalloonText">
    <w:name w:val="Balloon Text"/>
    <w:basedOn w:val="Normal"/>
    <w:link w:val="BalloonTextChar"/>
    <w:uiPriority w:val="99"/>
    <w:semiHidden/>
    <w:unhideWhenUsed/>
    <w:rsid w:val="007500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08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2A5"/>
  </w:style>
  <w:style w:type="paragraph" w:styleId="Footer">
    <w:name w:val="footer"/>
    <w:basedOn w:val="Normal"/>
    <w:link w:val="FooterChar"/>
    <w:uiPriority w:val="99"/>
    <w:unhideWhenUsed/>
    <w:rsid w:val="003272A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2A5"/>
  </w:style>
  <w:style w:type="paragraph" w:styleId="ListParagraph">
    <w:name w:val="List Paragraph"/>
    <w:basedOn w:val="Normal"/>
    <w:uiPriority w:val="34"/>
    <w:qFormat/>
    <w:rsid w:val="009B647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641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3D7C6C"/>
  </w:style>
  <w:style w:type="character" w:customStyle="1" w:styleId="FootnoteTextChar">
    <w:name w:val="Footnote Text Char"/>
    <w:basedOn w:val="DefaultParagraphFont"/>
    <w:link w:val="FootnoteText"/>
    <w:uiPriority w:val="99"/>
    <w:rsid w:val="003D7C6C"/>
  </w:style>
  <w:style w:type="character" w:styleId="FootnoteReference">
    <w:name w:val="footnote reference"/>
    <w:basedOn w:val="DefaultParagraphFont"/>
    <w:uiPriority w:val="99"/>
    <w:unhideWhenUsed/>
    <w:rsid w:val="003D7C6C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571B0D"/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AE5B41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660DB5"/>
  </w:style>
  <w:style w:type="paragraph" w:styleId="BalloonText">
    <w:name w:val="Balloon Text"/>
    <w:basedOn w:val="Normal"/>
    <w:link w:val="BalloonTextChar"/>
    <w:uiPriority w:val="99"/>
    <w:semiHidden/>
    <w:unhideWhenUsed/>
    <w:rsid w:val="0075008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08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6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307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0198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9028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86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8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3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5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80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0878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464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1176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073685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821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0498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50614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5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14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80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51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96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5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846024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347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3611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5606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366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9915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588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4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08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98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5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0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68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59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54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56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9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68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405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8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43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0690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6197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5105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72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5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978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40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46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970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19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0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0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3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04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857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40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9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30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38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2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4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2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57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20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2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060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52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64336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7010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161074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28332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425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356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899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282193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8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0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11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0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31075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7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07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34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49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85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022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6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0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15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583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7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87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4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9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71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3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26248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6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273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1109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159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7222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914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26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7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4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17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831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81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12853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5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6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27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254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50047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9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3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608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3824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93467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430868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8702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8673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27054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5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8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83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54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61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76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48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8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8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6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3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716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179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8127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8021">
          <w:marLeft w:val="102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6382">
          <w:marLeft w:val="1022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3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50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8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504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42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917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58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37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45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59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147335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4197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00199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47855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2821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74539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01518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47133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97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6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9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8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346271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6973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3499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87183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4875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494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48962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3505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0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557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84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4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3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4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229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19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3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7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94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75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24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17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20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43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63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6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57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7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57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0519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8956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160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237946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2101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35807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6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9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77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55326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7526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05477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40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01433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20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90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1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49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2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21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8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4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05928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8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8015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4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85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8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1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56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0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44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2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420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75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3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8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394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4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93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84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42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912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13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9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743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543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79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189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459740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37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5968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32574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497224">
          <w:marLeft w:val="547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5756">
          <w:marLeft w:val="1166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70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0891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44485">
          <w:marLeft w:val="180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8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3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41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7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0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1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15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62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9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87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1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90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4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19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1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3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94504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66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48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958780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2879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29376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936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203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587801">
          <w:marLeft w:val="120"/>
          <w:marRight w:val="135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54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71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18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52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109251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5597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9523209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940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0503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138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714617">
                          <w:marLeft w:val="1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441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0498127">
                                  <w:marLeft w:val="0"/>
                                  <w:marRight w:val="0"/>
                                  <w:marTop w:val="1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121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1889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2685</Words>
  <Characters>15307</Characters>
  <Application>Microsoft Macintosh Word</Application>
  <DocSecurity>0</DocSecurity>
  <Lines>127</Lines>
  <Paragraphs>35</Paragraphs>
  <ScaleCrop>false</ScaleCrop>
  <Company/>
  <LinksUpToDate>false</LinksUpToDate>
  <CharactersWithSpaces>17957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Olsen</dc:creator>
  <cp:keywords/>
  <dc:description/>
  <cp:lastModifiedBy>Christopher Olsen</cp:lastModifiedBy>
  <cp:revision>2</cp:revision>
  <cp:lastPrinted>2017-01-26T15:39:00Z</cp:lastPrinted>
  <dcterms:created xsi:type="dcterms:W3CDTF">2017-01-30T23:29:00Z</dcterms:created>
  <dcterms:modified xsi:type="dcterms:W3CDTF">2017-01-30T23:29:00Z</dcterms:modified>
</cp:coreProperties>
</file>