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74B" w:rsidRPr="005C2F3C" w:rsidRDefault="0087674B" w:rsidP="005C2F3C">
      <w:pPr>
        <w:jc w:val="right"/>
        <w:rPr>
          <w:rFonts w:ascii="Book Antiqua" w:hAnsi="Book Antiqua" w:cs="Arial"/>
        </w:rPr>
      </w:pPr>
      <w:bookmarkStart w:id="0" w:name="_GoBack"/>
      <w:bookmarkEnd w:id="0"/>
      <w:r w:rsidRPr="005C2F3C">
        <w:rPr>
          <w:rFonts w:ascii="Book Antiqua" w:hAnsi="Book Antiqua" w:cs="Arial"/>
        </w:rPr>
        <w:t>Professor Patrick Capps</w:t>
      </w:r>
    </w:p>
    <w:p w:rsidR="0087674B" w:rsidRPr="005C2F3C" w:rsidRDefault="0087674B" w:rsidP="005C2F3C">
      <w:pPr>
        <w:jc w:val="right"/>
        <w:rPr>
          <w:rFonts w:ascii="Book Antiqua" w:hAnsi="Book Antiqua" w:cs="Arial"/>
        </w:rPr>
      </w:pPr>
      <w:r w:rsidRPr="005C2F3C">
        <w:rPr>
          <w:rFonts w:ascii="Book Antiqua" w:hAnsi="Book Antiqua" w:cs="Arial"/>
        </w:rPr>
        <w:t>School of Law</w:t>
      </w:r>
    </w:p>
    <w:p w:rsidR="0087674B" w:rsidRPr="005C2F3C" w:rsidRDefault="0087674B" w:rsidP="005C2F3C">
      <w:pPr>
        <w:jc w:val="right"/>
        <w:rPr>
          <w:rFonts w:ascii="Book Antiqua" w:hAnsi="Book Antiqua" w:cs="Arial"/>
        </w:rPr>
      </w:pPr>
      <w:r w:rsidRPr="005C2F3C">
        <w:rPr>
          <w:rFonts w:ascii="Book Antiqua" w:hAnsi="Book Antiqua" w:cs="Arial"/>
        </w:rPr>
        <w:t>University of Bristol</w:t>
      </w:r>
    </w:p>
    <w:p w:rsidR="0087674B" w:rsidRPr="005C2F3C" w:rsidRDefault="001E4630" w:rsidP="005C2F3C">
      <w:pPr>
        <w:jc w:val="right"/>
        <w:rPr>
          <w:rFonts w:ascii="Book Antiqua" w:hAnsi="Book Antiqua" w:cs="Arial"/>
        </w:rPr>
      </w:pPr>
      <w:r>
        <w:rPr>
          <w:rFonts w:ascii="Book Antiqua" w:hAnsi="Book Antiqua" w:cs="Arial"/>
        </w:rPr>
        <w:t>November 2015</w:t>
      </w:r>
    </w:p>
    <w:p w:rsidR="0087674B" w:rsidRPr="005C2F3C" w:rsidRDefault="0087674B" w:rsidP="005C2F3C">
      <w:pPr>
        <w:rPr>
          <w:rFonts w:ascii="Book Antiqua" w:hAnsi="Book Antiqua" w:cs="Arial"/>
          <w:b/>
          <w:u w:val="single"/>
        </w:rPr>
      </w:pPr>
    </w:p>
    <w:p w:rsidR="00F679D5" w:rsidRPr="005C2F3C" w:rsidRDefault="00F679D5" w:rsidP="005C2F3C">
      <w:pPr>
        <w:rPr>
          <w:rFonts w:ascii="Book Antiqua" w:hAnsi="Book Antiqua" w:cs="Arial"/>
          <w:b/>
          <w:u w:val="single"/>
        </w:rPr>
      </w:pPr>
    </w:p>
    <w:p w:rsidR="0087674B" w:rsidRPr="005C2F3C" w:rsidRDefault="0087674B" w:rsidP="005C2F3C">
      <w:pPr>
        <w:rPr>
          <w:rFonts w:ascii="Book Antiqua" w:hAnsi="Book Antiqua" w:cs="Arial"/>
          <w:b/>
          <w:u w:val="single"/>
        </w:rPr>
      </w:pPr>
    </w:p>
    <w:p w:rsidR="0087674B" w:rsidRPr="005C2F3C" w:rsidRDefault="0087674B" w:rsidP="005C2F3C">
      <w:pPr>
        <w:jc w:val="center"/>
        <w:rPr>
          <w:rFonts w:ascii="Book Antiqua" w:hAnsi="Book Antiqua" w:cs="Arial"/>
          <w:sz w:val="28"/>
          <w:szCs w:val="28"/>
        </w:rPr>
      </w:pPr>
      <w:r w:rsidRPr="005C2F3C">
        <w:rPr>
          <w:rFonts w:ascii="Book Antiqua" w:hAnsi="Book Antiqua" w:cs="Arial"/>
          <w:sz w:val="28"/>
          <w:szCs w:val="28"/>
        </w:rPr>
        <w:t>RECOGNITION OF STATES AND GOVERNMENTS</w:t>
      </w:r>
    </w:p>
    <w:p w:rsidR="0087674B" w:rsidRPr="005C2F3C" w:rsidRDefault="0087674B" w:rsidP="005C2F3C">
      <w:pPr>
        <w:tabs>
          <w:tab w:val="left" w:pos="-720"/>
        </w:tabs>
        <w:suppressAutoHyphens/>
        <w:rPr>
          <w:rFonts w:ascii="Book Antiqua" w:hAnsi="Book Antiqua" w:cs="Arial"/>
        </w:rPr>
      </w:pPr>
    </w:p>
    <w:p w:rsidR="0087674B" w:rsidRPr="005C2F3C" w:rsidRDefault="0087674B" w:rsidP="005C2F3C">
      <w:pPr>
        <w:tabs>
          <w:tab w:val="left" w:pos="-720"/>
        </w:tabs>
        <w:suppressAutoHyphens/>
        <w:rPr>
          <w:rFonts w:ascii="Book Antiqua" w:hAnsi="Book Antiqua" w:cs="Arial"/>
        </w:rPr>
      </w:pPr>
    </w:p>
    <w:p w:rsidR="0087674B" w:rsidRPr="005C2F3C" w:rsidRDefault="0087674B" w:rsidP="005C2F3C">
      <w:pPr>
        <w:tabs>
          <w:tab w:val="left" w:pos="-720"/>
        </w:tabs>
        <w:suppressAutoHyphens/>
        <w:rPr>
          <w:rFonts w:ascii="Book Antiqua" w:hAnsi="Book Antiqua" w:cs="Arial"/>
        </w:rPr>
      </w:pPr>
      <w:r w:rsidRPr="005C2F3C">
        <w:rPr>
          <w:rFonts w:ascii="Book Antiqua" w:hAnsi="Book Antiqua" w:cs="Arial"/>
        </w:rPr>
        <w:t>WHEN IS THE RECOGNITION OF STATES/GOVERNMENTS RELEVANT?</w:t>
      </w:r>
    </w:p>
    <w:p w:rsidR="00F679D5" w:rsidRPr="005C2F3C" w:rsidRDefault="00F679D5" w:rsidP="005C2F3C">
      <w:pPr>
        <w:tabs>
          <w:tab w:val="left" w:pos="-720"/>
        </w:tabs>
        <w:suppressAutoHyphens/>
        <w:rPr>
          <w:rFonts w:ascii="Book Antiqua" w:hAnsi="Book Antiqua" w:cs="Arial"/>
        </w:rPr>
      </w:pPr>
    </w:p>
    <w:p w:rsidR="00F679D5" w:rsidRPr="005C2F3C" w:rsidRDefault="00F679D5" w:rsidP="005C2F3C">
      <w:pPr>
        <w:pStyle w:val="ListParagraph"/>
        <w:numPr>
          <w:ilvl w:val="0"/>
          <w:numId w:val="12"/>
        </w:numPr>
        <w:tabs>
          <w:tab w:val="left" w:pos="-720"/>
        </w:tabs>
        <w:suppressAutoHyphens/>
        <w:rPr>
          <w:rFonts w:ascii="Book Antiqua" w:hAnsi="Book Antiqua" w:cs="Arial"/>
        </w:rPr>
      </w:pPr>
      <w:r w:rsidRPr="005C2F3C">
        <w:rPr>
          <w:rFonts w:ascii="Book Antiqua" w:hAnsi="Book Antiqua" w:cs="Arial"/>
        </w:rPr>
        <w:t>States; succession/secession</w:t>
      </w:r>
    </w:p>
    <w:p w:rsidR="00F679D5" w:rsidRPr="005C2F3C" w:rsidRDefault="00F679D5" w:rsidP="005C2F3C">
      <w:pPr>
        <w:pStyle w:val="ListParagraph"/>
        <w:numPr>
          <w:ilvl w:val="0"/>
          <w:numId w:val="12"/>
        </w:numPr>
        <w:tabs>
          <w:tab w:val="left" w:pos="-720"/>
        </w:tabs>
        <w:suppressAutoHyphens/>
        <w:rPr>
          <w:rFonts w:ascii="Book Antiqua" w:hAnsi="Book Antiqua" w:cs="Arial"/>
        </w:rPr>
      </w:pPr>
      <w:r w:rsidRPr="005C2F3C">
        <w:rPr>
          <w:rFonts w:ascii="Book Antiqua" w:hAnsi="Book Antiqua" w:cs="Arial"/>
        </w:rPr>
        <w:t>Governments; civil wars</w:t>
      </w:r>
    </w:p>
    <w:p w:rsidR="0087674B" w:rsidRPr="005C2F3C" w:rsidRDefault="0087674B" w:rsidP="005C2F3C">
      <w:pPr>
        <w:tabs>
          <w:tab w:val="left" w:pos="-720"/>
        </w:tabs>
        <w:suppressAutoHyphens/>
        <w:rPr>
          <w:rFonts w:ascii="Book Antiqua" w:hAnsi="Book Antiqua" w:cs="Arial"/>
        </w:rPr>
      </w:pPr>
    </w:p>
    <w:p w:rsidR="0087674B" w:rsidRPr="005C2F3C" w:rsidRDefault="0087674B" w:rsidP="005C2F3C">
      <w:pPr>
        <w:tabs>
          <w:tab w:val="left" w:pos="-720"/>
        </w:tabs>
        <w:suppressAutoHyphens/>
        <w:rPr>
          <w:rFonts w:ascii="Book Antiqua" w:hAnsi="Book Antiqua" w:cs="Arial"/>
        </w:rPr>
      </w:pPr>
      <w:r w:rsidRPr="005C2F3C">
        <w:rPr>
          <w:rFonts w:ascii="Book Antiqua" w:hAnsi="Book Antiqua" w:cs="Arial"/>
        </w:rPr>
        <w:t>RECOGNITION OF STATES AND GOVERNMENTS IN ENGLISH COURTS</w:t>
      </w:r>
    </w:p>
    <w:p w:rsidR="0087674B" w:rsidRPr="005C2F3C" w:rsidRDefault="0087674B" w:rsidP="005C2F3C">
      <w:pPr>
        <w:tabs>
          <w:tab w:val="left" w:pos="-720"/>
        </w:tabs>
        <w:suppressAutoHyphens/>
        <w:rPr>
          <w:rFonts w:ascii="Book Antiqua" w:hAnsi="Book Antiqua" w:cs="Arial"/>
        </w:rPr>
      </w:pPr>
    </w:p>
    <w:p w:rsidR="0087674B" w:rsidRPr="005C2F3C" w:rsidRDefault="0087674B" w:rsidP="005C2F3C">
      <w:pPr>
        <w:pStyle w:val="ListParagraph"/>
        <w:numPr>
          <w:ilvl w:val="0"/>
          <w:numId w:val="13"/>
        </w:numPr>
        <w:tabs>
          <w:tab w:val="left" w:pos="-720"/>
        </w:tabs>
        <w:suppressAutoHyphens/>
        <w:rPr>
          <w:rFonts w:ascii="Book Antiqua" w:hAnsi="Book Antiqua" w:cs="Arial"/>
        </w:rPr>
      </w:pPr>
      <w:r w:rsidRPr="005C2F3C">
        <w:rPr>
          <w:rFonts w:ascii="Book Antiqua" w:hAnsi="Book Antiqua" w:cs="Arial"/>
        </w:rPr>
        <w:t>Government policy (e.g. Estrada doctrine</w:t>
      </w:r>
      <w:r w:rsidR="00E47FD7">
        <w:rPr>
          <w:rFonts w:ascii="Book Antiqua" w:hAnsi="Book Antiqua" w:cs="Arial"/>
        </w:rPr>
        <w:t xml:space="preserve"> (recognition seen as political approval)</w:t>
      </w:r>
      <w:r w:rsidRPr="005C2F3C">
        <w:rPr>
          <w:rFonts w:ascii="Book Antiqua" w:hAnsi="Book Antiqua" w:cs="Arial"/>
        </w:rPr>
        <w:t>, 1980 policy to refuse to recognise governments)</w:t>
      </w:r>
    </w:p>
    <w:p w:rsidR="0087674B" w:rsidRPr="005C2F3C" w:rsidRDefault="0087674B" w:rsidP="005C2F3C">
      <w:pPr>
        <w:pStyle w:val="ListParagraph"/>
        <w:tabs>
          <w:tab w:val="left" w:pos="-720"/>
        </w:tabs>
        <w:suppressAutoHyphens/>
        <w:ind w:left="0"/>
        <w:rPr>
          <w:rFonts w:ascii="Book Antiqua" w:hAnsi="Book Antiqua" w:cs="Arial"/>
        </w:rPr>
      </w:pPr>
    </w:p>
    <w:p w:rsidR="0087674B" w:rsidRPr="005C2F3C" w:rsidRDefault="0087674B" w:rsidP="005C2F3C">
      <w:pPr>
        <w:pStyle w:val="ListParagraph"/>
        <w:numPr>
          <w:ilvl w:val="0"/>
          <w:numId w:val="13"/>
        </w:numPr>
        <w:tabs>
          <w:tab w:val="left" w:pos="-720"/>
        </w:tabs>
        <w:suppressAutoHyphens/>
        <w:rPr>
          <w:rFonts w:ascii="Book Antiqua" w:hAnsi="Book Antiqua" w:cs="Arial"/>
        </w:rPr>
      </w:pPr>
      <w:r w:rsidRPr="005C2F3C">
        <w:rPr>
          <w:rFonts w:ascii="Book Antiqua" w:hAnsi="Book Antiqua" w:cs="Arial"/>
        </w:rPr>
        <w:t>Judicial reception (Declaratory and constitutive theory)</w:t>
      </w:r>
    </w:p>
    <w:p w:rsidR="0087674B" w:rsidRPr="005C2F3C" w:rsidRDefault="0087674B" w:rsidP="005C2F3C">
      <w:pPr>
        <w:tabs>
          <w:tab w:val="left" w:pos="-720"/>
        </w:tabs>
        <w:suppressAutoHyphens/>
        <w:rPr>
          <w:rFonts w:ascii="Book Antiqua" w:hAnsi="Book Antiqua" w:cs="Arial"/>
        </w:rPr>
      </w:pPr>
    </w:p>
    <w:p w:rsidR="0087674B" w:rsidRPr="005C2F3C" w:rsidRDefault="00F679D5" w:rsidP="005C2F3C">
      <w:pPr>
        <w:tabs>
          <w:tab w:val="left" w:pos="-720"/>
        </w:tabs>
        <w:suppressAutoHyphens/>
        <w:rPr>
          <w:rFonts w:ascii="Book Antiqua" w:hAnsi="Book Antiqua" w:cs="Arial"/>
        </w:rPr>
      </w:pPr>
      <w:r w:rsidRPr="005C2F3C">
        <w:rPr>
          <w:rFonts w:ascii="Book Antiqua" w:hAnsi="Book Antiqua" w:cs="Arial"/>
        </w:rPr>
        <w:t>RECOGNITION OF STATES</w:t>
      </w:r>
    </w:p>
    <w:p w:rsidR="00F679D5" w:rsidRPr="005C2F3C" w:rsidRDefault="00F679D5" w:rsidP="005C2F3C">
      <w:pPr>
        <w:tabs>
          <w:tab w:val="left" w:pos="-720"/>
        </w:tabs>
        <w:suppressAutoHyphens/>
        <w:rPr>
          <w:rFonts w:ascii="Book Antiqua" w:hAnsi="Book Antiqua" w:cs="Arial"/>
        </w:rPr>
      </w:pPr>
    </w:p>
    <w:p w:rsidR="00F679D5" w:rsidRDefault="00F679D5" w:rsidP="005C2F3C">
      <w:pPr>
        <w:pStyle w:val="ListParagraph"/>
        <w:numPr>
          <w:ilvl w:val="0"/>
          <w:numId w:val="14"/>
        </w:numPr>
        <w:tabs>
          <w:tab w:val="left" w:pos="-720"/>
        </w:tabs>
        <w:suppressAutoHyphens/>
        <w:rPr>
          <w:rFonts w:ascii="Book Antiqua" w:hAnsi="Book Antiqua" w:cs="Arial"/>
        </w:rPr>
      </w:pPr>
      <w:r w:rsidRPr="005C2F3C">
        <w:rPr>
          <w:rFonts w:ascii="Book Antiqua" w:hAnsi="Book Antiqua" w:cs="Arial"/>
        </w:rPr>
        <w:t xml:space="preserve">Under international law </w:t>
      </w:r>
    </w:p>
    <w:p w:rsidR="00B662B3" w:rsidRPr="005C2F3C" w:rsidRDefault="00B662B3" w:rsidP="00B662B3">
      <w:pPr>
        <w:pStyle w:val="ListParagraph"/>
        <w:tabs>
          <w:tab w:val="left" w:pos="-720"/>
        </w:tabs>
        <w:suppressAutoHyphens/>
        <w:rPr>
          <w:rFonts w:ascii="Book Antiqua" w:hAnsi="Book Antiqua" w:cs="Arial"/>
        </w:rPr>
      </w:pPr>
    </w:p>
    <w:p w:rsidR="00F679D5" w:rsidRPr="005C2F3C" w:rsidRDefault="00F679D5"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rPr>
        <w:t>Constitutive/declaratory theory</w:t>
      </w:r>
    </w:p>
    <w:p w:rsidR="00F679D5" w:rsidRPr="005C2F3C" w:rsidRDefault="00F679D5"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rPr>
        <w:t>Legal effects of non-recognition (Talmon)</w:t>
      </w:r>
      <w:r w:rsidR="00B662B3">
        <w:rPr>
          <w:rFonts w:ascii="Book Antiqua" w:hAnsi="Book Antiqua" w:cs="Arial"/>
        </w:rPr>
        <w:t xml:space="preserve"> (constitutive – state does not exist with regard to non-recognising state</w:t>
      </w:r>
      <w:r w:rsidR="00EB6092">
        <w:rPr>
          <w:rFonts w:ascii="Book Antiqua" w:hAnsi="Book Antiqua" w:cs="Arial"/>
        </w:rPr>
        <w:t xml:space="preserve"> – therefore, no rights and duties</w:t>
      </w:r>
      <w:r w:rsidR="00B662B3">
        <w:rPr>
          <w:rFonts w:ascii="Book Antiqua" w:hAnsi="Book Antiqua" w:cs="Arial"/>
        </w:rPr>
        <w:t>; declaratory – potentially wrongful under international law)</w:t>
      </w:r>
    </w:p>
    <w:p w:rsidR="00F679D5" w:rsidRPr="005C2F3C" w:rsidRDefault="00F679D5" w:rsidP="005C2F3C">
      <w:pPr>
        <w:pStyle w:val="ListParagraph"/>
        <w:tabs>
          <w:tab w:val="left" w:pos="-720"/>
        </w:tabs>
        <w:suppressAutoHyphens/>
        <w:ind w:left="0"/>
        <w:rPr>
          <w:rFonts w:ascii="Book Antiqua" w:hAnsi="Book Antiqua" w:cs="Arial"/>
        </w:rPr>
      </w:pPr>
    </w:p>
    <w:p w:rsidR="00F679D5" w:rsidRDefault="00F679D5" w:rsidP="005C2F3C">
      <w:pPr>
        <w:pStyle w:val="ListParagraph"/>
        <w:numPr>
          <w:ilvl w:val="0"/>
          <w:numId w:val="14"/>
        </w:numPr>
        <w:tabs>
          <w:tab w:val="left" w:pos="-720"/>
        </w:tabs>
        <w:suppressAutoHyphens/>
        <w:rPr>
          <w:rFonts w:ascii="Book Antiqua" w:hAnsi="Book Antiqua" w:cs="Arial"/>
        </w:rPr>
      </w:pPr>
      <w:r w:rsidRPr="005C2F3C">
        <w:rPr>
          <w:rFonts w:ascii="Book Antiqua" w:hAnsi="Book Antiqua" w:cs="Arial"/>
        </w:rPr>
        <w:t>In English courts</w:t>
      </w:r>
    </w:p>
    <w:p w:rsidR="00B662B3" w:rsidRPr="005C2F3C" w:rsidRDefault="00B662B3" w:rsidP="00B662B3">
      <w:pPr>
        <w:pStyle w:val="ListParagraph"/>
        <w:tabs>
          <w:tab w:val="left" w:pos="-720"/>
        </w:tabs>
        <w:suppressAutoHyphens/>
        <w:rPr>
          <w:rFonts w:ascii="Book Antiqua" w:hAnsi="Book Antiqua" w:cs="Arial"/>
        </w:rPr>
      </w:pPr>
    </w:p>
    <w:p w:rsidR="00F679D5" w:rsidRPr="005C2F3C" w:rsidRDefault="00F679D5"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rPr>
        <w:t>FCO certificate recognising foreign states: criteria (</w:t>
      </w:r>
      <w:proofErr w:type="spellStart"/>
      <w:r w:rsidRPr="005C2F3C">
        <w:rPr>
          <w:rFonts w:ascii="Book Antiqua" w:hAnsi="Book Antiqua" w:cs="Arial"/>
        </w:rPr>
        <w:t>i</w:t>
      </w:r>
      <w:proofErr w:type="spellEnd"/>
      <w:r w:rsidRPr="005C2F3C">
        <w:rPr>
          <w:rFonts w:ascii="Book Antiqua" w:hAnsi="Book Antiqua" w:cs="Arial"/>
        </w:rPr>
        <w:t>) effectiveness; (ii) self-determination; (iii) other criteria of legitimacy (</w:t>
      </w:r>
      <w:r w:rsidRPr="005C2F3C">
        <w:rPr>
          <w:rFonts w:ascii="Book Antiqua" w:hAnsi="Book Antiqua" w:cs="Arial"/>
          <w:spacing w:val="-3"/>
        </w:rPr>
        <w:t>EC Guidelines on the Recognition of New States in Eastern Europe and in the Soviet Union, 1991)</w:t>
      </w:r>
      <w:r w:rsidR="00EB6092">
        <w:rPr>
          <w:rFonts w:ascii="Book Antiqua" w:hAnsi="Book Antiqua" w:cs="Arial"/>
          <w:spacing w:val="-3"/>
        </w:rPr>
        <w:t xml:space="preserve"> (may lead to premature recognition).</w:t>
      </w:r>
    </w:p>
    <w:p w:rsidR="005C2F3C" w:rsidRPr="005C2F3C" w:rsidRDefault="00F679D5"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rPr>
        <w:t>Judicial reception: Immune field model/Judicial competence model</w:t>
      </w:r>
      <w:r w:rsidR="0081395D" w:rsidRPr="005C2F3C">
        <w:rPr>
          <w:rFonts w:ascii="Book Antiqua" w:hAnsi="Book Antiqua" w:cs="Arial"/>
        </w:rPr>
        <w:t xml:space="preserve">: </w:t>
      </w:r>
      <w:r w:rsidR="0081395D" w:rsidRPr="005C2F3C">
        <w:rPr>
          <w:rFonts w:ascii="Book Antiqua" w:hAnsi="Book Antiqua"/>
        </w:rPr>
        <w:t xml:space="preserve">Lord Reid (in </w:t>
      </w:r>
      <w:r w:rsidR="0081395D" w:rsidRPr="005C2F3C">
        <w:rPr>
          <w:rFonts w:ascii="Book Antiqua" w:hAnsi="Book Antiqua"/>
          <w:i/>
        </w:rPr>
        <w:t xml:space="preserve">Carl Zeiss </w:t>
      </w:r>
      <w:proofErr w:type="spellStart"/>
      <w:r w:rsidR="0081395D" w:rsidRPr="005C2F3C">
        <w:rPr>
          <w:rFonts w:ascii="Book Antiqua" w:hAnsi="Book Antiqua"/>
          <w:i/>
        </w:rPr>
        <w:t>Stiftung</w:t>
      </w:r>
      <w:proofErr w:type="spellEnd"/>
      <w:r w:rsidR="0081395D" w:rsidRPr="005C2F3C">
        <w:rPr>
          <w:rFonts w:ascii="Book Antiqua" w:hAnsi="Book Antiqua"/>
          <w:i/>
        </w:rPr>
        <w:t xml:space="preserve"> v. Rayner and Keeler Ltd. and others (No. 2)</w:t>
      </w:r>
      <w:r w:rsidR="0081395D" w:rsidRPr="005C2F3C">
        <w:rPr>
          <w:rFonts w:ascii="Book Antiqua" w:hAnsi="Book Antiqua"/>
        </w:rPr>
        <w:t xml:space="preserve"> [1967] 1 AC 853 at 901): ‘It is a firmly established practice that the question whether a foreign State, ruler or Government is or is not sovereign is one on which our courts accept as conclusive information provided by Her Majesty's Government: no evidence is admissible to contradict that information.’</w:t>
      </w:r>
    </w:p>
    <w:p w:rsidR="005C2F3C" w:rsidRDefault="005C2F3C" w:rsidP="005C2F3C">
      <w:pPr>
        <w:pStyle w:val="ListParagraph"/>
        <w:tabs>
          <w:tab w:val="left" w:pos="-720"/>
        </w:tabs>
        <w:suppressAutoHyphens/>
        <w:ind w:left="1440"/>
        <w:rPr>
          <w:rFonts w:ascii="Book Antiqua" w:hAnsi="Book Antiqua" w:cs="Arial"/>
        </w:rPr>
      </w:pPr>
    </w:p>
    <w:p w:rsidR="00B662B3" w:rsidRDefault="00B662B3" w:rsidP="005C2F3C">
      <w:pPr>
        <w:pStyle w:val="ListParagraph"/>
        <w:tabs>
          <w:tab w:val="left" w:pos="-720"/>
        </w:tabs>
        <w:suppressAutoHyphens/>
        <w:ind w:left="1440"/>
        <w:rPr>
          <w:rFonts w:ascii="Book Antiqua" w:hAnsi="Book Antiqua" w:cs="Arial"/>
        </w:rPr>
      </w:pPr>
    </w:p>
    <w:p w:rsidR="00B662B3" w:rsidRDefault="00B662B3" w:rsidP="005C2F3C">
      <w:pPr>
        <w:pStyle w:val="ListParagraph"/>
        <w:tabs>
          <w:tab w:val="left" w:pos="-720"/>
        </w:tabs>
        <w:suppressAutoHyphens/>
        <w:ind w:left="1440"/>
        <w:rPr>
          <w:rFonts w:ascii="Book Antiqua" w:hAnsi="Book Antiqua" w:cs="Arial"/>
        </w:rPr>
      </w:pPr>
    </w:p>
    <w:p w:rsidR="00B662B3" w:rsidRPr="005C2F3C" w:rsidRDefault="00B662B3" w:rsidP="005C2F3C">
      <w:pPr>
        <w:pStyle w:val="ListParagraph"/>
        <w:tabs>
          <w:tab w:val="left" w:pos="-720"/>
        </w:tabs>
        <w:suppressAutoHyphens/>
        <w:ind w:left="1440"/>
        <w:rPr>
          <w:rFonts w:ascii="Book Antiqua" w:hAnsi="Book Antiqua" w:cs="Arial"/>
        </w:rPr>
      </w:pPr>
    </w:p>
    <w:p w:rsidR="00F679D5" w:rsidRDefault="00B662B3" w:rsidP="005C2F3C">
      <w:pPr>
        <w:pStyle w:val="ListParagraph"/>
        <w:numPr>
          <w:ilvl w:val="0"/>
          <w:numId w:val="14"/>
        </w:numPr>
        <w:tabs>
          <w:tab w:val="left" w:pos="-720"/>
        </w:tabs>
        <w:suppressAutoHyphens/>
        <w:rPr>
          <w:rFonts w:ascii="Book Antiqua" w:hAnsi="Book Antiqua" w:cs="Arial"/>
        </w:rPr>
      </w:pPr>
      <w:r>
        <w:rPr>
          <w:rFonts w:ascii="Book Antiqua" w:hAnsi="Book Antiqua" w:cs="Arial"/>
        </w:rPr>
        <w:lastRenderedPageBreak/>
        <w:t>Effective g</w:t>
      </w:r>
      <w:r w:rsidR="00F679D5" w:rsidRPr="005C2F3C">
        <w:rPr>
          <w:rFonts w:ascii="Book Antiqua" w:hAnsi="Book Antiqua" w:cs="Arial"/>
        </w:rPr>
        <w:t>overnments in unrecognised states</w:t>
      </w:r>
    </w:p>
    <w:p w:rsidR="00B662B3" w:rsidRPr="005C2F3C" w:rsidRDefault="00B662B3" w:rsidP="00B662B3">
      <w:pPr>
        <w:pStyle w:val="ListParagraph"/>
        <w:tabs>
          <w:tab w:val="left" w:pos="-720"/>
        </w:tabs>
        <w:suppressAutoHyphens/>
        <w:rPr>
          <w:rFonts w:ascii="Book Antiqua" w:hAnsi="Book Antiqua" w:cs="Arial"/>
        </w:rPr>
      </w:pPr>
    </w:p>
    <w:p w:rsidR="00F679D5" w:rsidRPr="005C2F3C" w:rsidRDefault="00F679D5"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rPr>
        <w:t xml:space="preserve">Solution 1: practical exceptions (Lord Wilberforce </w:t>
      </w:r>
      <w:r w:rsidRPr="005C2F3C">
        <w:rPr>
          <w:rFonts w:ascii="Book Antiqua" w:hAnsi="Book Antiqua" w:cs="Arial"/>
          <w:i/>
          <w:iCs/>
          <w:lang w:val="en-US"/>
        </w:rPr>
        <w:t>Carl-Zeiss-</w:t>
      </w:r>
      <w:proofErr w:type="spellStart"/>
      <w:r w:rsidRPr="005C2F3C">
        <w:rPr>
          <w:rFonts w:ascii="Book Antiqua" w:hAnsi="Book Antiqua" w:cs="Arial"/>
          <w:i/>
          <w:iCs/>
          <w:lang w:val="en-US"/>
        </w:rPr>
        <w:t>Stiftung</w:t>
      </w:r>
      <w:proofErr w:type="spellEnd"/>
      <w:r w:rsidRPr="005C2F3C">
        <w:rPr>
          <w:rFonts w:ascii="Book Antiqua" w:hAnsi="Book Antiqua" w:cs="Arial"/>
          <w:i/>
          <w:iCs/>
          <w:lang w:val="en-US"/>
        </w:rPr>
        <w:t xml:space="preserve"> v. Rayner &amp; Keeler</w:t>
      </w:r>
      <w:r w:rsidRPr="005C2F3C">
        <w:rPr>
          <w:rFonts w:ascii="Book Antiqua" w:hAnsi="Book Antiqua" w:cs="Arial"/>
          <w:lang w:val="en-US"/>
        </w:rPr>
        <w:t xml:space="preserve">, [1967] 1 AC 853; Denning MR in </w:t>
      </w:r>
      <w:r w:rsidRPr="005C2F3C">
        <w:rPr>
          <w:rFonts w:ascii="Book Antiqua" w:hAnsi="Book Antiqua" w:cs="Arial"/>
          <w:i/>
          <w:iCs/>
          <w:lang w:val="en-US"/>
        </w:rPr>
        <w:t>Hesperides Hotel v. Aegean Turkish Holidays</w:t>
      </w:r>
      <w:r w:rsidRPr="005C2F3C">
        <w:rPr>
          <w:rFonts w:ascii="Book Antiqua" w:hAnsi="Book Antiqua" w:cs="Arial"/>
          <w:lang w:val="en-US"/>
        </w:rPr>
        <w:t xml:space="preserve"> [1978] 1 All ER 277) </w:t>
      </w:r>
    </w:p>
    <w:p w:rsidR="005C2F3C" w:rsidRPr="005C2F3C" w:rsidRDefault="00F679D5"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rPr>
        <w:t>Solution 2: subordinate authority (</w:t>
      </w:r>
      <w:r w:rsidRPr="005C2F3C">
        <w:rPr>
          <w:rFonts w:ascii="Book Antiqua" w:hAnsi="Book Antiqua" w:cs="Arial"/>
          <w:i/>
          <w:iCs/>
          <w:lang w:val="en-US"/>
        </w:rPr>
        <w:t>Gur v. Trust Bank of Africa</w:t>
      </w:r>
      <w:r w:rsidRPr="005C2F3C">
        <w:rPr>
          <w:rFonts w:ascii="Book Antiqua" w:hAnsi="Book Antiqua" w:cs="Arial"/>
          <w:lang w:val="en-US"/>
        </w:rPr>
        <w:t xml:space="preserve">, [1986] 3 All ER 449; </w:t>
      </w:r>
      <w:r w:rsidRPr="005C2F3C">
        <w:rPr>
          <w:rFonts w:ascii="Book Antiqua" w:hAnsi="Book Antiqua" w:cs="Arial"/>
          <w:i/>
          <w:iCs/>
          <w:lang w:val="en-US"/>
        </w:rPr>
        <w:t>Carl-Zeiss-</w:t>
      </w:r>
      <w:proofErr w:type="spellStart"/>
      <w:r w:rsidRPr="005C2F3C">
        <w:rPr>
          <w:rFonts w:ascii="Book Antiqua" w:hAnsi="Book Antiqua" w:cs="Arial"/>
          <w:i/>
          <w:iCs/>
          <w:lang w:val="en-US"/>
        </w:rPr>
        <w:t>Stiftung</w:t>
      </w:r>
      <w:proofErr w:type="spellEnd"/>
      <w:r w:rsidRPr="005C2F3C">
        <w:rPr>
          <w:rFonts w:ascii="Book Antiqua" w:hAnsi="Book Antiqua" w:cs="Arial"/>
          <w:i/>
          <w:iCs/>
          <w:lang w:val="en-US"/>
        </w:rPr>
        <w:t xml:space="preserve"> v. Rayner &amp; Keeler</w:t>
      </w:r>
      <w:r w:rsidRPr="005C2F3C">
        <w:rPr>
          <w:rFonts w:ascii="Book Antiqua" w:hAnsi="Book Antiqua" w:cs="Arial"/>
          <w:lang w:val="en-US"/>
        </w:rPr>
        <w:t>, [1967] 1 AC 853)</w:t>
      </w:r>
    </w:p>
    <w:p w:rsidR="00EF05B2" w:rsidRPr="005C2F3C" w:rsidRDefault="00EF05B2" w:rsidP="005C2F3C">
      <w:pPr>
        <w:pStyle w:val="ListParagraph"/>
        <w:numPr>
          <w:ilvl w:val="1"/>
          <w:numId w:val="14"/>
        </w:numPr>
        <w:tabs>
          <w:tab w:val="left" w:pos="-720"/>
        </w:tabs>
        <w:suppressAutoHyphens/>
        <w:rPr>
          <w:rFonts w:ascii="Book Antiqua" w:hAnsi="Book Antiqua" w:cs="Arial"/>
        </w:rPr>
      </w:pPr>
      <w:r w:rsidRPr="005C2F3C">
        <w:rPr>
          <w:rFonts w:ascii="Book Antiqua" w:hAnsi="Book Antiqua" w:cs="Arial"/>
          <w:lang w:val="en-US"/>
        </w:rPr>
        <w:t>Policy implications</w:t>
      </w:r>
    </w:p>
    <w:p w:rsidR="0087674B" w:rsidRPr="005C2F3C" w:rsidRDefault="0087674B" w:rsidP="005C2F3C">
      <w:pPr>
        <w:tabs>
          <w:tab w:val="left" w:pos="-720"/>
        </w:tabs>
        <w:suppressAutoHyphens/>
        <w:rPr>
          <w:rFonts w:ascii="Book Antiqua" w:hAnsi="Book Antiqua" w:cs="Arial"/>
        </w:rPr>
      </w:pPr>
    </w:p>
    <w:p w:rsidR="00EF05B2" w:rsidRPr="005C2F3C" w:rsidRDefault="00EF05B2" w:rsidP="005C2F3C">
      <w:pPr>
        <w:tabs>
          <w:tab w:val="left" w:pos="-720"/>
        </w:tabs>
        <w:suppressAutoHyphens/>
        <w:rPr>
          <w:rFonts w:ascii="Book Antiqua" w:hAnsi="Book Antiqua" w:cs="Arial"/>
        </w:rPr>
      </w:pPr>
      <w:r w:rsidRPr="005C2F3C">
        <w:rPr>
          <w:rFonts w:ascii="Book Antiqua" w:hAnsi="Book Antiqua" w:cs="Arial"/>
        </w:rPr>
        <w:t>RECOGNITION OF GOVERNMENTS</w:t>
      </w:r>
    </w:p>
    <w:p w:rsidR="00EF05B2" w:rsidRPr="005C2F3C" w:rsidRDefault="00EF05B2" w:rsidP="005C2F3C">
      <w:pPr>
        <w:tabs>
          <w:tab w:val="left" w:pos="-720"/>
        </w:tabs>
        <w:suppressAutoHyphens/>
        <w:rPr>
          <w:rFonts w:ascii="Book Antiqua" w:hAnsi="Book Antiqua" w:cs="Arial"/>
        </w:rPr>
      </w:pPr>
    </w:p>
    <w:p w:rsidR="00B662B3" w:rsidRPr="00B662B3" w:rsidRDefault="00B662B3" w:rsidP="005C2F3C">
      <w:pPr>
        <w:pStyle w:val="ListParagraph"/>
        <w:numPr>
          <w:ilvl w:val="0"/>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Pr>
          <w:rFonts w:ascii="Book Antiqua" w:hAnsi="Book Antiqua" w:cs="Arial"/>
          <w:lang w:val="en-US"/>
        </w:rPr>
        <w:t xml:space="preserve">When? </w:t>
      </w:r>
    </w:p>
    <w:p w:rsidR="00B662B3" w:rsidRPr="00B662B3" w:rsidRDefault="00B662B3" w:rsidP="00B662B3">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p>
    <w:p w:rsidR="00EF05B2" w:rsidRPr="005C2F3C" w:rsidRDefault="00EF05B2" w:rsidP="005C2F3C">
      <w:pPr>
        <w:pStyle w:val="ListParagraph"/>
        <w:numPr>
          <w:ilvl w:val="0"/>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cs="Arial"/>
        </w:rPr>
        <w:t xml:space="preserve">Under international law: ‘premature recognition’ </w:t>
      </w:r>
      <w:r w:rsidR="0081395D" w:rsidRPr="005C2F3C">
        <w:rPr>
          <w:rFonts w:ascii="Book Antiqua" w:hAnsi="Book Antiqua" w:cs="Arial"/>
        </w:rPr>
        <w:t xml:space="preserve">is </w:t>
      </w:r>
      <w:r w:rsidRPr="005C2F3C">
        <w:rPr>
          <w:rFonts w:ascii="Book Antiqua" w:hAnsi="Book Antiqua" w:cs="Arial"/>
        </w:rPr>
        <w:t xml:space="preserve">a wrongful act; </w:t>
      </w:r>
      <w:proofErr w:type="spellStart"/>
      <w:r w:rsidRPr="005C2F3C">
        <w:rPr>
          <w:rFonts w:ascii="Book Antiqua" w:hAnsi="Book Antiqua" w:cs="Arial"/>
          <w:i/>
          <w:spacing w:val="-3"/>
        </w:rPr>
        <w:t>Tinoco</w:t>
      </w:r>
      <w:proofErr w:type="spellEnd"/>
      <w:r w:rsidRPr="005C2F3C">
        <w:rPr>
          <w:rFonts w:ascii="Book Antiqua" w:hAnsi="Book Antiqua" w:cs="Arial"/>
          <w:i/>
          <w:spacing w:val="-3"/>
        </w:rPr>
        <w:t xml:space="preserve"> Arbitration case</w:t>
      </w:r>
      <w:r w:rsidRPr="005C2F3C">
        <w:rPr>
          <w:rFonts w:ascii="Book Antiqua" w:hAnsi="Book Antiqua" w:cs="Arial"/>
          <w:spacing w:val="-3"/>
        </w:rPr>
        <w:t xml:space="preserve"> (1923) 1 RIAA 369</w:t>
      </w:r>
    </w:p>
    <w:p w:rsidR="00EF05B2" w:rsidRPr="005C2F3C" w:rsidRDefault="00EF05B2"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EF05B2" w:rsidRPr="005C2F3C" w:rsidRDefault="00EF05B2" w:rsidP="005C2F3C">
      <w:pPr>
        <w:pStyle w:val="ListParagraph"/>
        <w:numPr>
          <w:ilvl w:val="0"/>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cs="Arial"/>
        </w:rPr>
        <w:t>British policy</w:t>
      </w:r>
    </w:p>
    <w:p w:rsidR="0081395D" w:rsidRPr="005C2F3C" w:rsidRDefault="0081395D"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81395D" w:rsidRPr="005C2F3C" w:rsidRDefault="00EF05B2" w:rsidP="005C2F3C">
      <w:pPr>
        <w:pStyle w:val="ListParagraph"/>
        <w:numPr>
          <w:ilvl w:val="1"/>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cs="Arial"/>
        </w:rPr>
        <w:t>Pre-1980 policy (as with recognition of states)</w:t>
      </w:r>
      <w:r w:rsidR="005C2F3C">
        <w:rPr>
          <w:rFonts w:ascii="Book Antiqua" w:hAnsi="Book Antiqua" w:cs="Arial"/>
        </w:rPr>
        <w:t xml:space="preserve"> </w:t>
      </w:r>
      <w:r w:rsidR="0081395D" w:rsidRPr="005C2F3C">
        <w:rPr>
          <w:rFonts w:ascii="Book Antiqua" w:hAnsi="Book Antiqua" w:cs="Arial"/>
        </w:rPr>
        <w:t xml:space="preserve">In 1951 the Foreign Secretary, Herbert Morrison stated before the House of Commons that ‘...it is international law which defines the conditions under which a Government should be recognized </w:t>
      </w:r>
      <w:r w:rsidR="0081395D" w:rsidRPr="005C2F3C">
        <w:rPr>
          <w:rFonts w:ascii="Book Antiqua" w:hAnsi="Book Antiqua" w:cs="Arial"/>
          <w:i/>
          <w:iCs/>
        </w:rPr>
        <w:t xml:space="preserve">de jure </w:t>
      </w:r>
      <w:r w:rsidR="0081395D" w:rsidRPr="005C2F3C">
        <w:rPr>
          <w:rFonts w:ascii="Book Antiqua" w:hAnsi="Book Antiqua" w:cs="Arial"/>
        </w:rPr>
        <w:t xml:space="preserve">or </w:t>
      </w:r>
      <w:r w:rsidR="0081395D" w:rsidRPr="005C2F3C">
        <w:rPr>
          <w:rFonts w:ascii="Book Antiqua" w:hAnsi="Book Antiqua" w:cs="Arial"/>
          <w:i/>
          <w:iCs/>
        </w:rPr>
        <w:t xml:space="preserve">de facto </w:t>
      </w:r>
      <w:r w:rsidR="0081395D" w:rsidRPr="005C2F3C">
        <w:rPr>
          <w:rFonts w:ascii="Book Antiqua" w:hAnsi="Book Antiqua" w:cs="Arial"/>
        </w:rPr>
        <w:t xml:space="preserve">and it is a matter of judgement in each particular case whether a regime fulfils the conditions. The conditions under international law for the recognition of a new regime as the </w:t>
      </w:r>
      <w:r w:rsidR="0081395D" w:rsidRPr="005C2F3C">
        <w:rPr>
          <w:rFonts w:ascii="Book Antiqua" w:hAnsi="Book Antiqua" w:cs="Arial"/>
          <w:i/>
          <w:iCs/>
        </w:rPr>
        <w:t xml:space="preserve">de facto </w:t>
      </w:r>
      <w:r w:rsidR="0081395D" w:rsidRPr="005C2F3C">
        <w:rPr>
          <w:rFonts w:ascii="Book Antiqua" w:hAnsi="Book Antiqua" w:cs="Arial"/>
        </w:rPr>
        <w:t xml:space="preserve">Government of a State are that the new regime has in fact effective control over most of the State's territory and that this control seems likely to continue. The conditions for the recognition of a new regime as the </w:t>
      </w:r>
      <w:r w:rsidR="0081395D" w:rsidRPr="005C2F3C">
        <w:rPr>
          <w:rFonts w:ascii="Book Antiqua" w:hAnsi="Book Antiqua" w:cs="Arial"/>
          <w:i/>
          <w:iCs/>
        </w:rPr>
        <w:t xml:space="preserve">de jure </w:t>
      </w:r>
      <w:r w:rsidR="0081395D" w:rsidRPr="005C2F3C">
        <w:rPr>
          <w:rFonts w:ascii="Book Antiqua" w:hAnsi="Book Antiqua" w:cs="Arial"/>
        </w:rPr>
        <w:t xml:space="preserve">Government of a State are that the new regime should not merely have effective control over most of the State's territory, but that it should, in fact, be firmly established. His Majesty's Government consider that recognition </w:t>
      </w:r>
      <w:r w:rsidR="0081395D" w:rsidRPr="005C2F3C">
        <w:rPr>
          <w:rFonts w:ascii="Book Antiqua" w:hAnsi="Book Antiqua" w:cs="Arial"/>
          <w:i/>
          <w:iCs/>
        </w:rPr>
        <w:t xml:space="preserve">should be accorded </w:t>
      </w:r>
      <w:r w:rsidR="0081395D" w:rsidRPr="005C2F3C">
        <w:rPr>
          <w:rFonts w:ascii="Book Antiqua" w:hAnsi="Book Antiqua" w:cs="Arial"/>
        </w:rPr>
        <w:t xml:space="preserve">when the conditions specified by international law are, in fact, fulfilled and that recognition should not be given when these conditions are not fulfilled. The recognition of a Government </w:t>
      </w:r>
      <w:r w:rsidR="0081395D" w:rsidRPr="005C2F3C">
        <w:rPr>
          <w:rFonts w:ascii="Book Antiqua" w:hAnsi="Book Antiqua" w:cs="Arial"/>
          <w:i/>
          <w:iCs/>
        </w:rPr>
        <w:t xml:space="preserve">de jure </w:t>
      </w:r>
      <w:r w:rsidR="0081395D" w:rsidRPr="005C2F3C">
        <w:rPr>
          <w:rFonts w:ascii="Book Antiqua" w:hAnsi="Book Antiqua" w:cs="Arial"/>
        </w:rPr>
        <w:t xml:space="preserve">or </w:t>
      </w:r>
      <w:r w:rsidR="0081395D" w:rsidRPr="005C2F3C">
        <w:rPr>
          <w:rFonts w:ascii="Book Antiqua" w:hAnsi="Book Antiqua" w:cs="Arial"/>
          <w:i/>
          <w:iCs/>
        </w:rPr>
        <w:t xml:space="preserve">de facto </w:t>
      </w:r>
      <w:r w:rsidR="0081395D" w:rsidRPr="005C2F3C">
        <w:rPr>
          <w:rFonts w:ascii="Book Antiqua" w:hAnsi="Book Antiqua" w:cs="Arial"/>
        </w:rPr>
        <w:t>should not depend on whether the character of the regime is such as to command His Majesty's Government's approval.’ (</w:t>
      </w:r>
      <w:r w:rsidR="0081395D" w:rsidRPr="005C2F3C">
        <w:rPr>
          <w:rFonts w:ascii="Book Antiqua" w:hAnsi="Book Antiqua" w:cs="Arial"/>
          <w:i/>
          <w:iCs/>
        </w:rPr>
        <w:t xml:space="preserve">Parliamentary Debates (Commons), </w:t>
      </w:r>
      <w:r w:rsidR="0081395D" w:rsidRPr="005C2F3C">
        <w:rPr>
          <w:rFonts w:ascii="Book Antiqua" w:hAnsi="Book Antiqua" w:cs="Arial"/>
        </w:rPr>
        <w:t>vol. 485, cols. 2410-11: 21 March 1951).</w:t>
      </w:r>
      <w:r w:rsidR="00B662B3">
        <w:rPr>
          <w:rFonts w:ascii="Book Antiqua" w:hAnsi="Book Antiqua" w:cs="Arial"/>
        </w:rPr>
        <w:t xml:space="preserve"> Therefore, NOT Estrada doctrine.</w:t>
      </w:r>
    </w:p>
    <w:p w:rsidR="0081395D" w:rsidRPr="005C2F3C" w:rsidRDefault="0081395D" w:rsidP="005C2F3C">
      <w:p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p>
    <w:p w:rsidR="0081395D" w:rsidRPr="005C2F3C" w:rsidRDefault="00EF05B2" w:rsidP="005C2F3C">
      <w:pPr>
        <w:pStyle w:val="ListParagraph"/>
        <w:numPr>
          <w:ilvl w:val="1"/>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cs="Arial"/>
        </w:rPr>
        <w:t>Post-1980 policy (refusal to recognise governments)</w:t>
      </w:r>
      <w:r w:rsidR="005C2F3C">
        <w:rPr>
          <w:rFonts w:ascii="Book Antiqua" w:hAnsi="Book Antiqua" w:cs="Arial"/>
        </w:rPr>
        <w:t xml:space="preserve">. </w:t>
      </w:r>
      <w:r w:rsidR="0081395D" w:rsidRPr="005C2F3C">
        <w:rPr>
          <w:rFonts w:ascii="Book Antiqua" w:hAnsi="Book Antiqua" w:cs="Arial"/>
        </w:rPr>
        <w:t>On 25 April 1980, the Lord Privy Seal, Sir Ian Gilmour delivered the following written answer in the House of Commons: ‘… we have conducted a re-examination of British policy and practice concerning the recognition of Governments. This has included a comparison with the practice of our partners and allies. On the basis of this review we have decided that we shall no longer accord recognition to Governments. The British Government recognise</w:t>
      </w:r>
      <w:r w:rsidR="002D297A">
        <w:rPr>
          <w:rFonts w:ascii="Book Antiqua" w:hAnsi="Book Antiqua" w:cs="Arial"/>
        </w:rPr>
        <w:t>s</w:t>
      </w:r>
      <w:r w:rsidR="0081395D" w:rsidRPr="005C2F3C">
        <w:rPr>
          <w:rFonts w:ascii="Book Antiqua" w:hAnsi="Book Antiqua" w:cs="Arial"/>
        </w:rPr>
        <w:t xml:space="preserve"> States in accordance with common international doctrine....Where an unconstitutional change of regime </w:t>
      </w:r>
      <w:r w:rsidR="0081395D" w:rsidRPr="005C2F3C">
        <w:rPr>
          <w:rFonts w:ascii="Book Antiqua" w:hAnsi="Book Antiqua" w:cs="Arial"/>
        </w:rPr>
        <w:lastRenderedPageBreak/>
        <w:t xml:space="preserve">takes place in a recognised State, Governments of other States must necessarily consider what dealings, if any, they should have with the new regime, and whether and to what extent it qualifies to be treated as the Government of the State concerned. Many of our partners and allies take the position that they do not recognise Governments and that therefore no question of recognition arises in such cases. By contrast, the policy of successive British Governments has been that we should make and announce a decision formally “recognising” the new Government....This practice has sometimes been misunderstood, and, despite explanations to the contrary, our “recognition” interpreted as implying approval. For example, in circumstances where there may be legitimate public concern about the violation of human rights by the new regime, or the manner in which it achieved power, it has not sufficed to say that an announcement of “recognition” is simply a neutral formality....We have therefore concluded that there are practical advantages in following the policy of many other countries in not according recognition to Governments. Like them, we shall continue to decide the nature of our dealings with regimes which come to power unconstitutionally in the light of our assessment of whether they are able of themselves to exercise effective control of the territory of the State concerned, and seem likely to continue to do so’ (See 983 HC Official Report (5th series) written answers cols </w:t>
      </w:r>
      <w:r w:rsidR="0081395D" w:rsidRPr="005C2F3C">
        <w:rPr>
          <w:rFonts w:ascii="Book Antiqua" w:hAnsi="Book Antiqua" w:cs="Arial"/>
          <w:i/>
          <w:iCs/>
        </w:rPr>
        <w:t>278–279</w:t>
      </w:r>
      <w:r w:rsidR="0081395D" w:rsidRPr="005C2F3C">
        <w:rPr>
          <w:rFonts w:ascii="Book Antiqua" w:hAnsi="Book Antiqua" w:cs="Arial"/>
        </w:rPr>
        <w:t xml:space="preserve"> and (1980) 51 </w:t>
      </w:r>
      <w:r w:rsidR="0081395D" w:rsidRPr="005C2F3C">
        <w:rPr>
          <w:rFonts w:ascii="Book Antiqua" w:hAnsi="Book Antiqua" w:cs="Arial"/>
          <w:i/>
        </w:rPr>
        <w:t>BYIL</w:t>
      </w:r>
      <w:r w:rsidR="0081395D" w:rsidRPr="005C2F3C">
        <w:rPr>
          <w:rFonts w:ascii="Book Antiqua" w:hAnsi="Book Antiqua" w:cs="Arial"/>
        </w:rPr>
        <w:t xml:space="preserve"> 367). Lord Carrington on 23 May 1980 added in ‘[</w:t>
      </w:r>
      <w:proofErr w:type="spellStart"/>
      <w:r w:rsidR="0081395D" w:rsidRPr="005C2F3C">
        <w:rPr>
          <w:rFonts w:ascii="Book Antiqua" w:hAnsi="Book Antiqua" w:cs="Arial"/>
        </w:rPr>
        <w:t>i</w:t>
      </w:r>
      <w:proofErr w:type="spellEnd"/>
      <w:r w:rsidR="0081395D" w:rsidRPr="005C2F3C">
        <w:rPr>
          <w:rFonts w:ascii="Book Antiqua" w:hAnsi="Book Antiqua" w:cs="Arial"/>
        </w:rPr>
        <w:t xml:space="preserve">]n future cases where a new </w:t>
      </w:r>
      <w:proofErr w:type="spellStart"/>
      <w:r w:rsidR="0081395D" w:rsidRPr="005C2F3C">
        <w:rPr>
          <w:rFonts w:ascii="Book Antiqua" w:hAnsi="Book Antiqua" w:cs="Arial"/>
        </w:rPr>
        <w:t>régime</w:t>
      </w:r>
      <w:proofErr w:type="spellEnd"/>
      <w:r w:rsidR="0081395D" w:rsidRPr="005C2F3C">
        <w:rPr>
          <w:rFonts w:ascii="Book Antiqua" w:hAnsi="Book Antiqua" w:cs="Arial"/>
        </w:rPr>
        <w:t xml:space="preserve"> comes to power unconstitutionally our attitude on the question whether it qualifies to be treated as a Government will be left to be inferred from the nature of the dealings, if any, which we may have with it, and in particular on whether we are dealing with it on a normal Government to Government basis.’ (See 985 HC Official Report (5th series) written answers col </w:t>
      </w:r>
      <w:r w:rsidR="0081395D" w:rsidRPr="005C2F3C">
        <w:rPr>
          <w:rFonts w:ascii="Book Antiqua" w:hAnsi="Book Antiqua" w:cs="Arial"/>
          <w:i/>
          <w:iCs/>
        </w:rPr>
        <w:t>385</w:t>
      </w:r>
      <w:r w:rsidR="0081395D" w:rsidRPr="005C2F3C">
        <w:rPr>
          <w:rFonts w:ascii="Book Antiqua" w:hAnsi="Book Antiqua" w:cs="Arial"/>
        </w:rPr>
        <w:t xml:space="preserve"> and (1980) 51 </w:t>
      </w:r>
      <w:r w:rsidR="0081395D" w:rsidRPr="005C2F3C">
        <w:rPr>
          <w:rFonts w:ascii="Book Antiqua" w:hAnsi="Book Antiqua" w:cs="Arial"/>
          <w:i/>
        </w:rPr>
        <w:t>BYIL</w:t>
      </w:r>
      <w:r w:rsidR="0081395D" w:rsidRPr="005C2F3C">
        <w:rPr>
          <w:rFonts w:ascii="Book Antiqua" w:hAnsi="Book Antiqua" w:cs="Arial"/>
        </w:rPr>
        <w:t xml:space="preserve"> 368).</w:t>
      </w:r>
    </w:p>
    <w:p w:rsidR="0081395D" w:rsidRPr="005C2F3C" w:rsidRDefault="0081395D" w:rsidP="005C2F3C">
      <w:p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p>
    <w:p w:rsidR="00EF05B2" w:rsidRPr="005C2F3C" w:rsidRDefault="00EF05B2" w:rsidP="005C2F3C">
      <w:pPr>
        <w:pStyle w:val="FootnoteText"/>
        <w:numPr>
          <w:ilvl w:val="1"/>
          <w:numId w:val="15"/>
        </w:numPr>
        <w:rPr>
          <w:sz w:val="24"/>
          <w:szCs w:val="24"/>
        </w:rPr>
      </w:pPr>
      <w:r w:rsidRPr="005C2F3C">
        <w:rPr>
          <w:rFonts w:cs="Arial"/>
          <w:sz w:val="24"/>
          <w:szCs w:val="24"/>
        </w:rPr>
        <w:t>Recognition of NTC in Libya (August 2011) and National Coalition for Syrian Revolutionary and Opposition Forces in Syria (November 2012)</w:t>
      </w:r>
      <w:r w:rsidR="0081395D" w:rsidRPr="005C2F3C">
        <w:rPr>
          <w:sz w:val="24"/>
          <w:szCs w:val="24"/>
        </w:rPr>
        <w:t xml:space="preserve"> ‘</w:t>
      </w:r>
      <w:r w:rsidR="0081395D" w:rsidRPr="005C2F3C">
        <w:rPr>
          <w:sz w:val="24"/>
          <w:szCs w:val="24"/>
          <w:lang w:val="en-US"/>
        </w:rPr>
        <w:t xml:space="preserve">[T]he UK recognises and is now dealing with the National Transitional Council (NTC) as the sole governmental authority in Libya.’ (8 August 2011) </w:t>
      </w:r>
      <w:r w:rsidR="0081395D" w:rsidRPr="005C2F3C">
        <w:rPr>
          <w:sz w:val="24"/>
          <w:szCs w:val="24"/>
        </w:rPr>
        <w:t xml:space="preserve"> ‘</w:t>
      </w:r>
      <w:r w:rsidR="0081395D" w:rsidRPr="005C2F3C">
        <w:rPr>
          <w:sz w:val="24"/>
          <w:szCs w:val="24"/>
          <w:lang w:val="en-US"/>
        </w:rPr>
        <w:t>We therefore no longer have diplomatic relations with the Qadhafi regime, nor do we accept that they have the authority to accredit diplomatic representatives of Libya to the UK.’ (8 August 2011)</w:t>
      </w:r>
    </w:p>
    <w:p w:rsidR="0081395D" w:rsidRDefault="0081395D"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B662B3" w:rsidRDefault="00B662B3"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2D297A" w:rsidRDefault="002D297A"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2D297A" w:rsidRDefault="002D297A"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B662B3" w:rsidRPr="005C2F3C" w:rsidRDefault="00B662B3"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EF05B2" w:rsidRPr="005C2F3C" w:rsidRDefault="00EF05B2" w:rsidP="005C2F3C">
      <w:pPr>
        <w:pStyle w:val="ListParagraph"/>
        <w:numPr>
          <w:ilvl w:val="0"/>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cs="Arial"/>
        </w:rPr>
        <w:t>Judicial reception</w:t>
      </w:r>
    </w:p>
    <w:p w:rsidR="0081395D" w:rsidRPr="005C2F3C" w:rsidRDefault="0081395D" w:rsidP="005C2F3C">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0"/>
        <w:rPr>
          <w:rFonts w:ascii="Book Antiqua" w:hAnsi="Book Antiqua" w:cs="Arial"/>
          <w:lang w:val="en-US"/>
        </w:rPr>
      </w:pPr>
    </w:p>
    <w:p w:rsidR="00EF05B2" w:rsidRPr="005C2F3C" w:rsidRDefault="005C2F3C" w:rsidP="005C2F3C">
      <w:pPr>
        <w:pStyle w:val="ListParagraph"/>
        <w:numPr>
          <w:ilvl w:val="1"/>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Pr>
          <w:rFonts w:ascii="Book Antiqua" w:hAnsi="Book Antiqua" w:cs="Arial"/>
          <w:iCs/>
          <w:lang w:val="en-US"/>
        </w:rPr>
        <w:t>Pre-1980 policy:</w:t>
      </w:r>
      <w:r>
        <w:rPr>
          <w:rFonts w:ascii="Book Antiqua" w:hAnsi="Book Antiqua" w:cs="Arial"/>
          <w:lang w:val="en-US"/>
        </w:rPr>
        <w:t xml:space="preserve"> </w:t>
      </w:r>
      <w:r w:rsidRPr="005C2F3C">
        <w:rPr>
          <w:rFonts w:ascii="Book Antiqua" w:hAnsi="Book Antiqua"/>
          <w:i/>
        </w:rPr>
        <w:t>Government of the Republic of Spain and SS “Arantzazu Mendi” (The Arantzazu Mendi)</w:t>
      </w:r>
      <w:r w:rsidRPr="005C2F3C">
        <w:rPr>
          <w:rFonts w:ascii="Book Antiqua" w:hAnsi="Book Antiqua"/>
        </w:rPr>
        <w:t xml:space="preserve"> [1939] AC 256 (“one voice” doctrine)</w:t>
      </w:r>
      <w:r w:rsidR="00E47FD7">
        <w:rPr>
          <w:rFonts w:ascii="Book Antiqua" w:hAnsi="Book Antiqua"/>
        </w:rPr>
        <w:t xml:space="preserve">; </w:t>
      </w:r>
      <w:r w:rsidR="00EF05B2" w:rsidRPr="005C2F3C">
        <w:rPr>
          <w:rFonts w:ascii="Book Antiqua" w:hAnsi="Book Antiqua" w:cs="Arial"/>
          <w:i/>
          <w:iCs/>
          <w:lang w:val="en-US"/>
        </w:rPr>
        <w:lastRenderedPageBreak/>
        <w:t xml:space="preserve">Luther v </w:t>
      </w:r>
      <w:proofErr w:type="spellStart"/>
      <w:r w:rsidR="00EF05B2" w:rsidRPr="005C2F3C">
        <w:rPr>
          <w:rFonts w:ascii="Book Antiqua" w:hAnsi="Book Antiqua" w:cs="Arial"/>
          <w:i/>
          <w:iCs/>
          <w:lang w:val="en-US"/>
        </w:rPr>
        <w:t>Sagor</w:t>
      </w:r>
      <w:proofErr w:type="spellEnd"/>
      <w:r w:rsidR="00EF05B2" w:rsidRPr="005C2F3C">
        <w:rPr>
          <w:rFonts w:ascii="Book Antiqua" w:hAnsi="Book Antiqua" w:cs="Arial"/>
          <w:lang w:val="en-US"/>
        </w:rPr>
        <w:t xml:space="preserve"> [1921] 3 KB 532 (de facto/de jure recognition)</w:t>
      </w:r>
      <w:r w:rsidR="0081395D" w:rsidRPr="005C2F3C">
        <w:rPr>
          <w:rFonts w:ascii="Book Antiqua" w:hAnsi="Book Antiqua" w:cs="Arial"/>
          <w:lang w:val="en-US"/>
        </w:rPr>
        <w:t xml:space="preserve"> (</w:t>
      </w:r>
      <w:r w:rsidR="00E47FD7">
        <w:rPr>
          <w:rFonts w:ascii="Book Antiqua" w:hAnsi="Book Antiqua" w:cs="Arial"/>
          <w:lang w:val="en-US"/>
        </w:rPr>
        <w:t xml:space="preserve">are these </w:t>
      </w:r>
      <w:r w:rsidR="0081395D" w:rsidRPr="005C2F3C">
        <w:rPr>
          <w:rFonts w:ascii="Book Antiqua" w:hAnsi="Book Antiqua" w:cs="Arial"/>
          <w:lang w:val="en-US"/>
        </w:rPr>
        <w:t>wrongful act</w:t>
      </w:r>
      <w:r w:rsidR="00E47FD7">
        <w:rPr>
          <w:rFonts w:ascii="Book Antiqua" w:hAnsi="Book Antiqua" w:cs="Arial"/>
          <w:lang w:val="en-US"/>
        </w:rPr>
        <w:t>s</w:t>
      </w:r>
      <w:r w:rsidR="0081395D" w:rsidRPr="005C2F3C">
        <w:rPr>
          <w:rFonts w:ascii="Book Antiqua" w:hAnsi="Book Antiqua" w:cs="Arial"/>
          <w:lang w:val="en-US"/>
        </w:rPr>
        <w:t xml:space="preserve"> under international law?)</w:t>
      </w:r>
    </w:p>
    <w:p w:rsidR="0081395D" w:rsidRPr="00E47FD7" w:rsidRDefault="005C2F3C" w:rsidP="005C2F3C">
      <w:pPr>
        <w:pStyle w:val="ListParagraph"/>
        <w:numPr>
          <w:ilvl w:val="1"/>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Pr>
          <w:rFonts w:ascii="Book Antiqua" w:hAnsi="Book Antiqua" w:cs="Arial"/>
          <w:iCs/>
          <w:lang w:val="en-US"/>
        </w:rPr>
        <w:t xml:space="preserve">Post-1980 policy: </w:t>
      </w:r>
      <w:r w:rsidR="00EF05B2" w:rsidRPr="005C2F3C">
        <w:rPr>
          <w:rFonts w:ascii="Book Antiqua" w:hAnsi="Book Antiqua" w:cs="Arial"/>
          <w:i/>
          <w:iCs/>
          <w:lang w:val="en-US"/>
        </w:rPr>
        <w:t>Republic of Somalia V. Woodhouse Drake &amp; Carey Suisse SA</w:t>
      </w:r>
      <w:r w:rsidR="00EF05B2" w:rsidRPr="005C2F3C">
        <w:rPr>
          <w:rFonts w:ascii="Book Antiqua" w:hAnsi="Book Antiqua" w:cs="Arial"/>
          <w:lang w:val="en-US"/>
        </w:rPr>
        <w:t xml:space="preserve"> [1993] 1 All ER 1; </w:t>
      </w:r>
      <w:r w:rsidR="00EF05B2" w:rsidRPr="005C2F3C">
        <w:rPr>
          <w:rFonts w:ascii="Book Antiqua" w:hAnsi="Book Antiqua" w:cs="Arial"/>
          <w:i/>
          <w:iCs/>
          <w:lang w:val="en-US"/>
        </w:rPr>
        <w:t>Sierra Leone Telecommunications Co v. Barclays Bank</w:t>
      </w:r>
      <w:r w:rsidR="00EF05B2" w:rsidRPr="005C2F3C">
        <w:rPr>
          <w:rFonts w:ascii="Book Antiqua" w:hAnsi="Book Antiqua" w:cs="Arial"/>
          <w:lang w:val="en-US"/>
        </w:rPr>
        <w:t>, [1998] 2 All ER 821</w:t>
      </w:r>
      <w:r>
        <w:rPr>
          <w:rFonts w:ascii="Book Antiqua" w:hAnsi="Book Antiqua" w:cs="Arial"/>
          <w:lang w:val="en-US"/>
        </w:rPr>
        <w:t xml:space="preserve">. </w:t>
      </w:r>
      <w:r w:rsidR="0081395D" w:rsidRPr="005C2F3C">
        <w:rPr>
          <w:rFonts w:ascii="Book Antiqua" w:hAnsi="Book Antiqua"/>
        </w:rPr>
        <w:t>There are two tests of whether a regime is a government: ‘</w:t>
      </w:r>
      <w:r w:rsidR="0081395D" w:rsidRPr="005C2F3C">
        <w:rPr>
          <w:rStyle w:val="verdana"/>
          <w:rFonts w:ascii="Book Antiqua" w:hAnsi="Book Antiqua"/>
        </w:rPr>
        <w:t>(a) whether it is the constitutional government of the state; (b) the degree, nature and stability of administrative control, if any, that it of itself exercises over the territory of the state.’ Two other criteria – ‘(c) whether Her Majesty's Government has any dealings with it and if so what is the nature of those dealings; and (d) in marginal cases, the extent of international recognition that it has as the government of the state.’</w:t>
      </w:r>
      <w:r w:rsidR="0081395D" w:rsidRPr="005C2F3C">
        <w:rPr>
          <w:rFonts w:ascii="Book Antiqua" w:hAnsi="Book Antiqua"/>
        </w:rPr>
        <w:t xml:space="preserve"> – are matters of evidence.</w:t>
      </w:r>
      <w:r>
        <w:rPr>
          <w:rFonts w:ascii="Book Antiqua" w:hAnsi="Book Antiqua"/>
        </w:rPr>
        <w:t xml:space="preserve"> </w:t>
      </w:r>
      <w:r w:rsidR="0081395D" w:rsidRPr="005C2F3C">
        <w:rPr>
          <w:rFonts w:ascii="Book Antiqua" w:hAnsi="Book Antiqua" w:cs="Arial"/>
        </w:rPr>
        <w:t xml:space="preserve">While the executive’s factual assessments of a state of affairs were important, any evidence, or lack of it, was not ‘...conclusive because their absence may be explained by some extraneous consideration—for example lack of occasion, the attitude of the regime to human rights, its relationship to another state.’ Any evidence was given ‘weight’. </w:t>
      </w:r>
      <w:r>
        <w:rPr>
          <w:rFonts w:ascii="Book Antiqua" w:hAnsi="Book Antiqua" w:cs="Arial"/>
        </w:rPr>
        <w:t>T</w:t>
      </w:r>
      <w:r w:rsidR="0081395D" w:rsidRPr="005C2F3C">
        <w:rPr>
          <w:rFonts w:ascii="Book Antiqua" w:hAnsi="Book Antiqua" w:cs="Arial"/>
        </w:rPr>
        <w:t xml:space="preserve">he court then held that the Foreign and Commonwealth Office’s letters </w:t>
      </w:r>
      <w:r>
        <w:rPr>
          <w:rFonts w:ascii="Book Antiqua" w:hAnsi="Book Antiqua" w:cs="Arial"/>
        </w:rPr>
        <w:t>‘</w:t>
      </w:r>
      <w:r w:rsidR="0081395D" w:rsidRPr="005C2F3C">
        <w:rPr>
          <w:rFonts w:ascii="Book Antiqua" w:hAnsi="Book Antiqua" w:cs="Arial"/>
        </w:rPr>
        <w:t>...may not be the best evidence; but as regards the question whether Her Majesty's government has dealings with the foreign government it will almost certainly be the best and only conclusive evidence of that fact. Where Her Majesty's government is dealing with the foreign government on a normal government to government basis as the government of the relevant foreign state, it is unlikely in the extreme that the inference that the foreign government is the government of that state will be capable of being rebutted and questions of public policy and considerations of the interrelationship of the judicial and executive arms of Government may be paramount...But now that the question has ceased to be one of recognition, the theoretical possibility of rebuttal must exist.</w:t>
      </w:r>
      <w:r>
        <w:rPr>
          <w:rFonts w:ascii="Book Antiqua" w:hAnsi="Book Antiqua" w:cs="Arial"/>
        </w:rPr>
        <w:t>’</w:t>
      </w:r>
    </w:p>
    <w:p w:rsidR="00E47FD7" w:rsidRPr="005C2F3C" w:rsidRDefault="00E47FD7" w:rsidP="00E47FD7">
      <w:pPr>
        <w:pStyle w:val="ListParagraph"/>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1440"/>
        <w:rPr>
          <w:rFonts w:ascii="Book Antiqua" w:hAnsi="Book Antiqua" w:cs="Arial"/>
          <w:lang w:val="en-US"/>
        </w:rPr>
      </w:pPr>
    </w:p>
    <w:p w:rsidR="00B662B3" w:rsidRPr="00E47FD7" w:rsidRDefault="00EF05B2" w:rsidP="00E47FD7">
      <w:pPr>
        <w:pStyle w:val="ListParagraph"/>
        <w:numPr>
          <w:ilvl w:val="1"/>
          <w:numId w:val="15"/>
        </w:numPr>
        <w:tabs>
          <w:tab w:val="left" w:pos="-720"/>
          <w:tab w:val="left" w:pos="0"/>
          <w:tab w:val="left" w:pos="709"/>
          <w:tab w:val="left" w:pos="993"/>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i/>
        </w:rPr>
        <w:t>British Arab Commercial Bank v National Transitional Council of the State of Libya</w:t>
      </w:r>
      <w:r w:rsidRPr="005C2F3C">
        <w:rPr>
          <w:rFonts w:ascii="Book Antiqua" w:hAnsi="Book Antiqua"/>
        </w:rPr>
        <w:t xml:space="preserve"> [2011] EWHC 2274</w:t>
      </w:r>
    </w:p>
    <w:p w:rsidR="00B662B3" w:rsidRDefault="00B662B3" w:rsidP="005C2F3C">
      <w:pPr>
        <w:tabs>
          <w:tab w:val="left" w:pos="-72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spacing w:val="-3"/>
        </w:rPr>
      </w:pPr>
    </w:p>
    <w:p w:rsidR="00E47FD7" w:rsidRPr="005C2F3C" w:rsidRDefault="00E47FD7" w:rsidP="005C2F3C">
      <w:pPr>
        <w:tabs>
          <w:tab w:val="left" w:pos="-72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spacing w:val="-3"/>
        </w:rPr>
      </w:pPr>
    </w:p>
    <w:p w:rsidR="0087674B" w:rsidRPr="005C2F3C" w:rsidRDefault="005C2F3C" w:rsidP="005C2F3C">
      <w:pPr>
        <w:tabs>
          <w:tab w:val="left" w:pos="-720"/>
          <w:tab w:val="left" w:pos="36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r w:rsidRPr="005C2F3C">
        <w:rPr>
          <w:rFonts w:ascii="Book Antiqua" w:hAnsi="Book Antiqua" w:cs="Arial"/>
          <w:lang w:val="en-US"/>
        </w:rPr>
        <w:t>RECOGNITION AND THE EXISTENCE OF INTERNATIONAL CORPORATIONS.</w:t>
      </w:r>
    </w:p>
    <w:p w:rsidR="0087674B" w:rsidRPr="005C2F3C" w:rsidRDefault="0087674B" w:rsidP="005C2F3C">
      <w:pPr>
        <w:tabs>
          <w:tab w:val="left" w:pos="-72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lang w:val="en-US"/>
        </w:rPr>
      </w:pPr>
    </w:p>
    <w:p w:rsidR="0087674B" w:rsidRPr="0000689F" w:rsidRDefault="005C2F3C" w:rsidP="0000689F">
      <w:pPr>
        <w:numPr>
          <w:ilvl w:val="0"/>
          <w:numId w:val="16"/>
        </w:numPr>
        <w:tabs>
          <w:tab w:val="left" w:pos="-720"/>
          <w:tab w:val="left" w:pos="36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iCs/>
          <w:lang w:val="en-US"/>
        </w:rPr>
      </w:pPr>
      <w:r w:rsidRPr="005C2F3C">
        <w:rPr>
          <w:rFonts w:ascii="Book Antiqua" w:hAnsi="Book Antiqua" w:cs="Arial"/>
          <w:iCs/>
          <w:lang w:val="en-US"/>
        </w:rPr>
        <w:t>No recognition of international entities (</w:t>
      </w:r>
      <w:r w:rsidR="0087674B" w:rsidRPr="005C2F3C">
        <w:rPr>
          <w:rFonts w:ascii="Book Antiqua" w:hAnsi="Book Antiqua" w:cs="Arial"/>
          <w:i/>
          <w:iCs/>
          <w:lang w:val="en-US"/>
        </w:rPr>
        <w:t>JH Rayner (Mincing Lane) Ltd. v Department of Trade and Industry</w:t>
      </w:r>
      <w:r w:rsidR="0087674B" w:rsidRPr="005C2F3C">
        <w:rPr>
          <w:rFonts w:ascii="Book Antiqua" w:hAnsi="Book Antiqua" w:cs="Arial"/>
          <w:lang w:val="en-US"/>
        </w:rPr>
        <w:t xml:space="preserve"> [1990] 2 AC 418 (pe</w:t>
      </w:r>
      <w:r w:rsidR="002D297A">
        <w:rPr>
          <w:rFonts w:ascii="Book Antiqua" w:hAnsi="Book Antiqua" w:cs="Arial"/>
          <w:lang w:val="en-US"/>
        </w:rPr>
        <w:t>r. Lord Oliver; Lord Templeman)</w:t>
      </w:r>
    </w:p>
    <w:p w:rsidR="0000689F" w:rsidRPr="005C2F3C" w:rsidRDefault="0000689F" w:rsidP="0000689F">
      <w:pPr>
        <w:tabs>
          <w:tab w:val="left" w:pos="-720"/>
          <w:tab w:val="left" w:pos="36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ind w:left="720"/>
        <w:rPr>
          <w:rFonts w:ascii="Book Antiqua" w:hAnsi="Book Antiqua" w:cs="Arial"/>
          <w:iCs/>
          <w:lang w:val="en-US"/>
        </w:rPr>
      </w:pPr>
    </w:p>
    <w:p w:rsidR="0087674B" w:rsidRPr="005C2F3C" w:rsidRDefault="005C2F3C" w:rsidP="0000689F">
      <w:pPr>
        <w:numPr>
          <w:ilvl w:val="0"/>
          <w:numId w:val="16"/>
        </w:numPr>
        <w:tabs>
          <w:tab w:val="left" w:pos="-720"/>
          <w:tab w:val="left" w:pos="360"/>
          <w:tab w:val="num"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069"/>
          <w:tab w:val="left" w:pos="10080"/>
        </w:tabs>
        <w:rPr>
          <w:rFonts w:ascii="Book Antiqua" w:hAnsi="Book Antiqua" w:cs="Arial"/>
          <w:iCs/>
          <w:lang w:val="en-US"/>
        </w:rPr>
      </w:pPr>
      <w:r w:rsidRPr="005C2F3C">
        <w:rPr>
          <w:rFonts w:ascii="Book Antiqua" w:hAnsi="Book Antiqua" w:cs="Arial"/>
          <w:iCs/>
          <w:lang w:val="en-US"/>
        </w:rPr>
        <w:t>Recognition of international entities because they are recognized under foreign state law (</w:t>
      </w:r>
      <w:r w:rsidR="0087674B" w:rsidRPr="005C2F3C">
        <w:rPr>
          <w:rFonts w:ascii="Book Antiqua" w:hAnsi="Book Antiqua" w:cs="Arial"/>
          <w:i/>
          <w:iCs/>
          <w:lang w:val="en-US"/>
        </w:rPr>
        <w:t xml:space="preserve">Westland Helicopters Ltd. v. Arab Organisation for </w:t>
      </w:r>
      <w:proofErr w:type="spellStart"/>
      <w:r w:rsidR="0087674B" w:rsidRPr="005C2F3C">
        <w:rPr>
          <w:rFonts w:ascii="Book Antiqua" w:hAnsi="Book Antiqua" w:cs="Arial"/>
          <w:i/>
          <w:iCs/>
          <w:lang w:val="en-US"/>
        </w:rPr>
        <w:t>Industrialisation</w:t>
      </w:r>
      <w:proofErr w:type="spellEnd"/>
      <w:r w:rsidR="0087674B" w:rsidRPr="005C2F3C">
        <w:rPr>
          <w:rFonts w:ascii="Book Antiqua" w:hAnsi="Book Antiqua" w:cs="Arial"/>
          <w:i/>
          <w:iCs/>
          <w:lang w:val="en-US"/>
        </w:rPr>
        <w:t xml:space="preserve"> </w:t>
      </w:r>
      <w:r w:rsidR="0087674B" w:rsidRPr="005C2F3C">
        <w:rPr>
          <w:rFonts w:ascii="Book Antiqua" w:hAnsi="Book Antiqua" w:cs="Arial"/>
          <w:lang w:val="en-US"/>
        </w:rPr>
        <w:t>[1995] 2 WLR 126</w:t>
      </w:r>
      <w:r w:rsidRPr="005C2F3C">
        <w:rPr>
          <w:rFonts w:ascii="Book Antiqua" w:hAnsi="Book Antiqua" w:cs="Arial"/>
          <w:lang w:val="en-US"/>
        </w:rPr>
        <w:t xml:space="preserve">; </w:t>
      </w:r>
      <w:r w:rsidR="0087674B" w:rsidRPr="005C2F3C">
        <w:rPr>
          <w:rFonts w:ascii="Book Antiqua" w:hAnsi="Book Antiqua" w:cs="Arial"/>
          <w:i/>
          <w:iCs/>
          <w:lang w:val="en-US"/>
        </w:rPr>
        <w:t xml:space="preserve">Arab Monetary Fund v </w:t>
      </w:r>
      <w:proofErr w:type="spellStart"/>
      <w:r w:rsidR="0087674B" w:rsidRPr="005C2F3C">
        <w:rPr>
          <w:rFonts w:ascii="Book Antiqua" w:hAnsi="Book Antiqua" w:cs="Arial"/>
          <w:i/>
          <w:iCs/>
          <w:lang w:val="en-US"/>
        </w:rPr>
        <w:t>Hashim</w:t>
      </w:r>
      <w:proofErr w:type="spellEnd"/>
      <w:r w:rsidR="0087674B" w:rsidRPr="005C2F3C">
        <w:rPr>
          <w:rFonts w:ascii="Book Antiqua" w:hAnsi="Book Antiqua" w:cs="Arial"/>
          <w:i/>
          <w:iCs/>
          <w:lang w:val="en-US"/>
        </w:rPr>
        <w:t xml:space="preserve"> (No. 3) </w:t>
      </w:r>
      <w:r w:rsidR="0087674B" w:rsidRPr="005C2F3C">
        <w:rPr>
          <w:rFonts w:ascii="Book Antiqua" w:hAnsi="Book Antiqua" w:cs="Arial"/>
          <w:lang w:val="en-US"/>
        </w:rPr>
        <w:t>[1991] 2 AC 114</w:t>
      </w:r>
      <w:r w:rsidRPr="005C2F3C">
        <w:rPr>
          <w:rFonts w:ascii="Book Antiqua" w:hAnsi="Book Antiqua" w:cs="Arial"/>
          <w:lang w:val="en-US"/>
        </w:rPr>
        <w:t xml:space="preserve"> (only one entity recognized in a number of different ways</w:t>
      </w:r>
      <w:r w:rsidR="002D297A">
        <w:rPr>
          <w:rFonts w:ascii="Book Antiqua" w:hAnsi="Book Antiqua" w:cs="Arial"/>
          <w:lang w:val="en-US"/>
        </w:rPr>
        <w:t xml:space="preserve"> by domestic law. Status under international law NOT relevant</w:t>
      </w:r>
      <w:r w:rsidRPr="005C2F3C">
        <w:rPr>
          <w:rFonts w:ascii="Book Antiqua" w:hAnsi="Book Antiqua" w:cs="Arial"/>
          <w:lang w:val="en-US"/>
        </w:rPr>
        <w:t>)</w:t>
      </w:r>
      <w:r w:rsidR="002D297A">
        <w:rPr>
          <w:rFonts w:ascii="Book Antiqua" w:hAnsi="Book Antiqua" w:cs="Arial"/>
          <w:lang w:val="en-US"/>
        </w:rPr>
        <w:t>.</w:t>
      </w:r>
    </w:p>
    <w:p w:rsidR="0087674B" w:rsidRPr="005C2F3C" w:rsidRDefault="0087674B" w:rsidP="005C2F3C">
      <w:pPr>
        <w:rPr>
          <w:rFonts w:ascii="Book Antiqua" w:hAnsi="Book Antiqua" w:cs="Arial"/>
        </w:rPr>
      </w:pPr>
    </w:p>
    <w:p w:rsidR="0087674B" w:rsidRPr="005C2F3C" w:rsidRDefault="0087674B" w:rsidP="005C2F3C">
      <w:pPr>
        <w:rPr>
          <w:rFonts w:ascii="Book Antiqua" w:hAnsi="Book Antiqua" w:cs="Arial"/>
        </w:rPr>
      </w:pPr>
    </w:p>
    <w:p w:rsidR="0087674B" w:rsidRPr="005C2F3C" w:rsidRDefault="0087674B" w:rsidP="005C2F3C">
      <w:pPr>
        <w:rPr>
          <w:rFonts w:ascii="Book Antiqua" w:hAnsi="Book Antiqua" w:cs="Arial"/>
        </w:rPr>
      </w:pPr>
    </w:p>
    <w:p w:rsidR="00EB6092" w:rsidRPr="005C2F3C" w:rsidRDefault="00EB6092" w:rsidP="005C2F3C">
      <w:pPr>
        <w:rPr>
          <w:rFonts w:ascii="Book Antiqua" w:hAnsi="Book Antiqua"/>
        </w:rPr>
      </w:pPr>
    </w:p>
    <w:sectPr w:rsidR="00EB6092" w:rsidRPr="005C2F3C" w:rsidSect="00E84BA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092" w:rsidRDefault="00EB6092" w:rsidP="0081395D">
      <w:r>
        <w:separator/>
      </w:r>
    </w:p>
  </w:endnote>
  <w:endnote w:type="continuationSeparator" w:id="0">
    <w:p w:rsidR="00EB6092" w:rsidRDefault="00EB6092" w:rsidP="00813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092" w:rsidRPr="005C2F3C" w:rsidRDefault="00EB6092">
    <w:pPr>
      <w:pStyle w:val="Footer"/>
      <w:jc w:val="right"/>
      <w:rPr>
        <w:rFonts w:ascii="Book Antiqua" w:hAnsi="Book Antiqua"/>
      </w:rPr>
    </w:pPr>
    <w:r w:rsidRPr="005C2F3C">
      <w:rPr>
        <w:rFonts w:ascii="Book Antiqua" w:hAnsi="Book Antiqua"/>
      </w:rPr>
      <w:fldChar w:fldCharType="begin"/>
    </w:r>
    <w:r w:rsidRPr="005C2F3C">
      <w:rPr>
        <w:rFonts w:ascii="Book Antiqua" w:hAnsi="Book Antiqua"/>
      </w:rPr>
      <w:instrText xml:space="preserve"> PAGE   \* MERGEFORMAT </w:instrText>
    </w:r>
    <w:r w:rsidRPr="005C2F3C">
      <w:rPr>
        <w:rFonts w:ascii="Book Antiqua" w:hAnsi="Book Antiqua"/>
      </w:rPr>
      <w:fldChar w:fldCharType="separate"/>
    </w:r>
    <w:r w:rsidR="00E8224D">
      <w:rPr>
        <w:rFonts w:ascii="Book Antiqua" w:hAnsi="Book Antiqua"/>
        <w:noProof/>
      </w:rPr>
      <w:t>2</w:t>
    </w:r>
    <w:r w:rsidRPr="005C2F3C">
      <w:rPr>
        <w:rFonts w:ascii="Book Antiqua" w:hAnsi="Book Antiqua"/>
      </w:rPr>
      <w:fldChar w:fldCharType="end"/>
    </w:r>
  </w:p>
  <w:p w:rsidR="00EB6092" w:rsidRDefault="00EB609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092" w:rsidRDefault="00EB6092" w:rsidP="0081395D">
      <w:r>
        <w:separator/>
      </w:r>
    </w:p>
  </w:footnote>
  <w:footnote w:type="continuationSeparator" w:id="0">
    <w:p w:rsidR="00EB6092" w:rsidRDefault="00EB6092" w:rsidP="0081395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E1571"/>
    <w:multiLevelType w:val="hybridMultilevel"/>
    <w:tmpl w:val="80022D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096699"/>
    <w:multiLevelType w:val="hybridMultilevel"/>
    <w:tmpl w:val="779032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1F46C2D"/>
    <w:multiLevelType w:val="hybridMultilevel"/>
    <w:tmpl w:val="6FDE31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180868"/>
    <w:multiLevelType w:val="hybridMultilevel"/>
    <w:tmpl w:val="4970B00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D6B1063"/>
    <w:multiLevelType w:val="hybridMultilevel"/>
    <w:tmpl w:val="B70013C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60C2C1E"/>
    <w:multiLevelType w:val="hybridMultilevel"/>
    <w:tmpl w:val="5DC4962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6BE4D84"/>
    <w:multiLevelType w:val="hybridMultilevel"/>
    <w:tmpl w:val="22FED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70448BB"/>
    <w:multiLevelType w:val="hybridMultilevel"/>
    <w:tmpl w:val="02BC4A4C"/>
    <w:lvl w:ilvl="0" w:tplc="08090019">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
    <w:nsid w:val="375E51D2"/>
    <w:multiLevelType w:val="hybridMultilevel"/>
    <w:tmpl w:val="A49222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FAC675A"/>
    <w:multiLevelType w:val="hybridMultilevel"/>
    <w:tmpl w:val="8206B75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nsid w:val="50ED6899"/>
    <w:multiLevelType w:val="hybridMultilevel"/>
    <w:tmpl w:val="EEC250D4"/>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57301896"/>
    <w:multiLevelType w:val="hybridMultilevel"/>
    <w:tmpl w:val="B1E4093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8533F6F"/>
    <w:multiLevelType w:val="hybridMultilevel"/>
    <w:tmpl w:val="A49222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7D4776B"/>
    <w:multiLevelType w:val="hybridMultilevel"/>
    <w:tmpl w:val="135C325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FFC78F2"/>
    <w:multiLevelType w:val="hybridMultilevel"/>
    <w:tmpl w:val="69266F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283626F"/>
    <w:multiLevelType w:val="hybridMultilevel"/>
    <w:tmpl w:val="116CDB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8"/>
  </w:num>
  <w:num w:numId="3">
    <w:abstractNumId w:val="9"/>
  </w:num>
  <w:num w:numId="4">
    <w:abstractNumId w:val="3"/>
  </w:num>
  <w:num w:numId="5">
    <w:abstractNumId w:val="2"/>
  </w:num>
  <w:num w:numId="6">
    <w:abstractNumId w:val="12"/>
  </w:num>
  <w:num w:numId="7">
    <w:abstractNumId w:val="10"/>
  </w:num>
  <w:num w:numId="8">
    <w:abstractNumId w:val="11"/>
  </w:num>
  <w:num w:numId="9">
    <w:abstractNumId w:val="7"/>
  </w:num>
  <w:num w:numId="10">
    <w:abstractNumId w:val="5"/>
  </w:num>
  <w:num w:numId="11">
    <w:abstractNumId w:val="6"/>
  </w:num>
  <w:num w:numId="12">
    <w:abstractNumId w:val="0"/>
  </w:num>
  <w:num w:numId="13">
    <w:abstractNumId w:val="1"/>
  </w:num>
  <w:num w:numId="14">
    <w:abstractNumId w:val="13"/>
  </w:num>
  <w:num w:numId="15">
    <w:abstractNumId w:val="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74B"/>
    <w:rsid w:val="0000689F"/>
    <w:rsid w:val="000E1536"/>
    <w:rsid w:val="001E4630"/>
    <w:rsid w:val="002D297A"/>
    <w:rsid w:val="00506D5D"/>
    <w:rsid w:val="005912FD"/>
    <w:rsid w:val="005C2F3C"/>
    <w:rsid w:val="00772297"/>
    <w:rsid w:val="0081395D"/>
    <w:rsid w:val="0087674B"/>
    <w:rsid w:val="008B475D"/>
    <w:rsid w:val="008F1F2B"/>
    <w:rsid w:val="00903EBA"/>
    <w:rsid w:val="00A9287D"/>
    <w:rsid w:val="00B662B3"/>
    <w:rsid w:val="00BA2CF4"/>
    <w:rsid w:val="00E47FD7"/>
    <w:rsid w:val="00E8224D"/>
    <w:rsid w:val="00E84BA9"/>
    <w:rsid w:val="00EB6092"/>
    <w:rsid w:val="00EF05B2"/>
    <w:rsid w:val="00F1543E"/>
    <w:rsid w:val="00F679D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Calibri" w:hAnsi="Book Antiqua"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74B"/>
    <w:pPr>
      <w:jc w:val="both"/>
    </w:pPr>
    <w:rPr>
      <w:rFonts w:ascii="Times New Roman" w:eastAsia="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674B"/>
    <w:pPr>
      <w:ind w:left="720"/>
    </w:pPr>
  </w:style>
  <w:style w:type="paragraph" w:styleId="FootnoteText">
    <w:name w:val="footnote text"/>
    <w:basedOn w:val="Normal"/>
    <w:link w:val="FootnoteTextChar"/>
    <w:uiPriority w:val="99"/>
    <w:unhideWhenUsed/>
    <w:rsid w:val="0081395D"/>
    <w:rPr>
      <w:rFonts w:ascii="Book Antiqua" w:hAnsi="Book Antiqua"/>
      <w:sz w:val="20"/>
      <w:szCs w:val="20"/>
      <w:lang w:bidi="en-US"/>
    </w:rPr>
  </w:style>
  <w:style w:type="character" w:customStyle="1" w:styleId="FootnoteTextChar">
    <w:name w:val="Footnote Text Char"/>
    <w:basedOn w:val="DefaultParagraphFont"/>
    <w:link w:val="FootnoteText"/>
    <w:uiPriority w:val="99"/>
    <w:rsid w:val="0081395D"/>
    <w:rPr>
      <w:rFonts w:eastAsia="Times New Roman" w:cs="Times New Roman"/>
      <w:sz w:val="20"/>
      <w:szCs w:val="20"/>
      <w:lang w:bidi="en-US"/>
    </w:rPr>
  </w:style>
  <w:style w:type="character" w:styleId="FootnoteReference">
    <w:name w:val="footnote reference"/>
    <w:basedOn w:val="DefaultParagraphFont"/>
    <w:uiPriority w:val="99"/>
    <w:semiHidden/>
    <w:unhideWhenUsed/>
    <w:rsid w:val="0081395D"/>
    <w:rPr>
      <w:vertAlign w:val="superscript"/>
    </w:rPr>
  </w:style>
  <w:style w:type="character" w:customStyle="1" w:styleId="verdana">
    <w:name w:val="verdana"/>
    <w:basedOn w:val="DefaultParagraphFont"/>
    <w:rsid w:val="0081395D"/>
  </w:style>
  <w:style w:type="character" w:styleId="Hyperlink">
    <w:name w:val="Hyperlink"/>
    <w:basedOn w:val="DefaultParagraphFont"/>
    <w:uiPriority w:val="99"/>
    <w:unhideWhenUsed/>
    <w:rsid w:val="0081395D"/>
    <w:rPr>
      <w:color w:val="0000FF"/>
      <w:u w:val="single"/>
    </w:rPr>
  </w:style>
  <w:style w:type="paragraph" w:styleId="Header">
    <w:name w:val="header"/>
    <w:basedOn w:val="Normal"/>
    <w:link w:val="HeaderChar"/>
    <w:uiPriority w:val="99"/>
    <w:semiHidden/>
    <w:unhideWhenUsed/>
    <w:rsid w:val="005C2F3C"/>
    <w:pPr>
      <w:tabs>
        <w:tab w:val="center" w:pos="4513"/>
        <w:tab w:val="right" w:pos="9026"/>
      </w:tabs>
    </w:pPr>
  </w:style>
  <w:style w:type="character" w:customStyle="1" w:styleId="HeaderChar">
    <w:name w:val="Header Char"/>
    <w:basedOn w:val="DefaultParagraphFont"/>
    <w:link w:val="Header"/>
    <w:uiPriority w:val="99"/>
    <w:semiHidden/>
    <w:rsid w:val="005C2F3C"/>
    <w:rPr>
      <w:rFonts w:ascii="Times New Roman" w:eastAsia="Times New Roman" w:hAnsi="Times New Roman" w:cs="Times New Roman"/>
      <w:szCs w:val="24"/>
    </w:rPr>
  </w:style>
  <w:style w:type="paragraph" w:styleId="Footer">
    <w:name w:val="footer"/>
    <w:basedOn w:val="Normal"/>
    <w:link w:val="FooterChar"/>
    <w:uiPriority w:val="99"/>
    <w:unhideWhenUsed/>
    <w:rsid w:val="005C2F3C"/>
    <w:pPr>
      <w:tabs>
        <w:tab w:val="center" w:pos="4513"/>
        <w:tab w:val="right" w:pos="9026"/>
      </w:tabs>
    </w:pPr>
  </w:style>
  <w:style w:type="character" w:customStyle="1" w:styleId="FooterChar">
    <w:name w:val="Footer Char"/>
    <w:basedOn w:val="DefaultParagraphFont"/>
    <w:link w:val="Footer"/>
    <w:uiPriority w:val="99"/>
    <w:rsid w:val="005C2F3C"/>
    <w:rPr>
      <w:rFonts w:ascii="Times New Roman" w:eastAsia="Times New Roman" w:hAnsi="Times New Roman" w:cs="Times New Roman"/>
      <w:szCs w:val="24"/>
    </w:rPr>
  </w:style>
  <w:style w:type="paragraph" w:styleId="BalloonText">
    <w:name w:val="Balloon Text"/>
    <w:basedOn w:val="Normal"/>
    <w:link w:val="BalloonTextChar"/>
    <w:uiPriority w:val="99"/>
    <w:semiHidden/>
    <w:unhideWhenUsed/>
    <w:rsid w:val="008F1F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1F2B"/>
    <w:rPr>
      <w:rFonts w:ascii="Segoe UI" w:eastAsia="Times New Roman" w:hAnsi="Segoe UI" w:cs="Segoe UI"/>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Calibri" w:hAnsi="Book Antiqua"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74B"/>
    <w:pPr>
      <w:jc w:val="both"/>
    </w:pPr>
    <w:rPr>
      <w:rFonts w:ascii="Times New Roman" w:eastAsia="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674B"/>
    <w:pPr>
      <w:ind w:left="720"/>
    </w:pPr>
  </w:style>
  <w:style w:type="paragraph" w:styleId="FootnoteText">
    <w:name w:val="footnote text"/>
    <w:basedOn w:val="Normal"/>
    <w:link w:val="FootnoteTextChar"/>
    <w:uiPriority w:val="99"/>
    <w:unhideWhenUsed/>
    <w:rsid w:val="0081395D"/>
    <w:rPr>
      <w:rFonts w:ascii="Book Antiqua" w:hAnsi="Book Antiqua"/>
      <w:sz w:val="20"/>
      <w:szCs w:val="20"/>
      <w:lang w:bidi="en-US"/>
    </w:rPr>
  </w:style>
  <w:style w:type="character" w:customStyle="1" w:styleId="FootnoteTextChar">
    <w:name w:val="Footnote Text Char"/>
    <w:basedOn w:val="DefaultParagraphFont"/>
    <w:link w:val="FootnoteText"/>
    <w:uiPriority w:val="99"/>
    <w:rsid w:val="0081395D"/>
    <w:rPr>
      <w:rFonts w:eastAsia="Times New Roman" w:cs="Times New Roman"/>
      <w:sz w:val="20"/>
      <w:szCs w:val="20"/>
      <w:lang w:bidi="en-US"/>
    </w:rPr>
  </w:style>
  <w:style w:type="character" w:styleId="FootnoteReference">
    <w:name w:val="footnote reference"/>
    <w:basedOn w:val="DefaultParagraphFont"/>
    <w:uiPriority w:val="99"/>
    <w:semiHidden/>
    <w:unhideWhenUsed/>
    <w:rsid w:val="0081395D"/>
    <w:rPr>
      <w:vertAlign w:val="superscript"/>
    </w:rPr>
  </w:style>
  <w:style w:type="character" w:customStyle="1" w:styleId="verdana">
    <w:name w:val="verdana"/>
    <w:basedOn w:val="DefaultParagraphFont"/>
    <w:rsid w:val="0081395D"/>
  </w:style>
  <w:style w:type="character" w:styleId="Hyperlink">
    <w:name w:val="Hyperlink"/>
    <w:basedOn w:val="DefaultParagraphFont"/>
    <w:uiPriority w:val="99"/>
    <w:unhideWhenUsed/>
    <w:rsid w:val="0081395D"/>
    <w:rPr>
      <w:color w:val="0000FF"/>
      <w:u w:val="single"/>
    </w:rPr>
  </w:style>
  <w:style w:type="paragraph" w:styleId="Header">
    <w:name w:val="header"/>
    <w:basedOn w:val="Normal"/>
    <w:link w:val="HeaderChar"/>
    <w:uiPriority w:val="99"/>
    <w:semiHidden/>
    <w:unhideWhenUsed/>
    <w:rsid w:val="005C2F3C"/>
    <w:pPr>
      <w:tabs>
        <w:tab w:val="center" w:pos="4513"/>
        <w:tab w:val="right" w:pos="9026"/>
      </w:tabs>
    </w:pPr>
  </w:style>
  <w:style w:type="character" w:customStyle="1" w:styleId="HeaderChar">
    <w:name w:val="Header Char"/>
    <w:basedOn w:val="DefaultParagraphFont"/>
    <w:link w:val="Header"/>
    <w:uiPriority w:val="99"/>
    <w:semiHidden/>
    <w:rsid w:val="005C2F3C"/>
    <w:rPr>
      <w:rFonts w:ascii="Times New Roman" w:eastAsia="Times New Roman" w:hAnsi="Times New Roman" w:cs="Times New Roman"/>
      <w:szCs w:val="24"/>
    </w:rPr>
  </w:style>
  <w:style w:type="paragraph" w:styleId="Footer">
    <w:name w:val="footer"/>
    <w:basedOn w:val="Normal"/>
    <w:link w:val="FooterChar"/>
    <w:uiPriority w:val="99"/>
    <w:unhideWhenUsed/>
    <w:rsid w:val="005C2F3C"/>
    <w:pPr>
      <w:tabs>
        <w:tab w:val="center" w:pos="4513"/>
        <w:tab w:val="right" w:pos="9026"/>
      </w:tabs>
    </w:pPr>
  </w:style>
  <w:style w:type="character" w:customStyle="1" w:styleId="FooterChar">
    <w:name w:val="Footer Char"/>
    <w:basedOn w:val="DefaultParagraphFont"/>
    <w:link w:val="Footer"/>
    <w:uiPriority w:val="99"/>
    <w:rsid w:val="005C2F3C"/>
    <w:rPr>
      <w:rFonts w:ascii="Times New Roman" w:eastAsia="Times New Roman" w:hAnsi="Times New Roman" w:cs="Times New Roman"/>
      <w:szCs w:val="24"/>
    </w:rPr>
  </w:style>
  <w:style w:type="paragraph" w:styleId="BalloonText">
    <w:name w:val="Balloon Text"/>
    <w:basedOn w:val="Normal"/>
    <w:link w:val="BalloonTextChar"/>
    <w:uiPriority w:val="99"/>
    <w:semiHidden/>
    <w:unhideWhenUsed/>
    <w:rsid w:val="008F1F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1F2B"/>
    <w:rPr>
      <w:rFonts w:ascii="Segoe UI" w:eastAsia="Times New Roma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1395</Words>
  <Characters>7953</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9330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lwpmac</dc:creator>
  <cp:lastModifiedBy>Christopher Olsen</cp:lastModifiedBy>
  <cp:revision>2</cp:revision>
  <cp:lastPrinted>2015-11-19T10:51:00Z</cp:lastPrinted>
  <dcterms:created xsi:type="dcterms:W3CDTF">2017-05-03T15:19:00Z</dcterms:created>
  <dcterms:modified xsi:type="dcterms:W3CDTF">2017-05-03T15:19:00Z</dcterms:modified>
</cp:coreProperties>
</file>