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E0183C" w14:textId="77777777" w:rsidR="003F003D" w:rsidRDefault="00990511" w:rsidP="00990511">
      <w:pPr>
        <w:jc w:val="center"/>
        <w:rPr>
          <w:rFonts w:ascii="Baskerville" w:hAnsi="Baskerville"/>
          <w:sz w:val="32"/>
          <w:szCs w:val="32"/>
          <w:u w:val="single"/>
        </w:rPr>
      </w:pPr>
      <w:r>
        <w:rPr>
          <w:rFonts w:ascii="Baskerville" w:hAnsi="Baskerville"/>
          <w:sz w:val="32"/>
          <w:szCs w:val="32"/>
          <w:u w:val="single"/>
        </w:rPr>
        <w:t>General Principles of International Law:</w:t>
      </w:r>
    </w:p>
    <w:p w14:paraId="0B0E7B69" w14:textId="77777777" w:rsidR="00990511" w:rsidRDefault="00990511" w:rsidP="00990511">
      <w:pPr>
        <w:jc w:val="center"/>
        <w:rPr>
          <w:rFonts w:ascii="Baskerville" w:hAnsi="Baskerville"/>
          <w:sz w:val="32"/>
          <w:szCs w:val="32"/>
          <w:u w:val="single"/>
        </w:rPr>
      </w:pPr>
      <w:r>
        <w:rPr>
          <w:rFonts w:ascii="Baskerville" w:hAnsi="Baskerville"/>
          <w:sz w:val="32"/>
          <w:szCs w:val="32"/>
          <w:u w:val="single"/>
        </w:rPr>
        <w:t>Seminar 2</w:t>
      </w:r>
    </w:p>
    <w:p w14:paraId="274ADCEC" w14:textId="77777777" w:rsidR="00C23408" w:rsidRDefault="00C23408" w:rsidP="00990511">
      <w:pPr>
        <w:jc w:val="center"/>
        <w:rPr>
          <w:rFonts w:ascii="Baskerville" w:hAnsi="Baskerville"/>
          <w:sz w:val="32"/>
          <w:szCs w:val="32"/>
          <w:u w:val="single"/>
        </w:rPr>
      </w:pPr>
    </w:p>
    <w:p w14:paraId="1800D13C" w14:textId="77777777" w:rsidR="00D84C37" w:rsidRDefault="00C23408" w:rsidP="00C23408">
      <w:pPr>
        <w:numPr>
          <w:ilvl w:val="0"/>
          <w:numId w:val="1"/>
        </w:numPr>
        <w:rPr>
          <w:rFonts w:ascii="Baskerville" w:hAnsi="Baskerville"/>
          <w:b/>
          <w:lang w:val="en-US"/>
        </w:rPr>
      </w:pPr>
      <w:r w:rsidRPr="00C23408">
        <w:rPr>
          <w:rFonts w:ascii="Baskerville" w:hAnsi="Baskerville"/>
          <w:b/>
          <w:lang w:val="en-US"/>
        </w:rPr>
        <w:t>What is a state? Is the definition provided in Article 1 of the Montevideo Convention comprehensive? Is it relevant today?</w:t>
      </w:r>
    </w:p>
    <w:p w14:paraId="0B2FE09D" w14:textId="77777777" w:rsidR="00D84C37" w:rsidRDefault="00D84C37" w:rsidP="00D84C37">
      <w:pPr>
        <w:rPr>
          <w:rFonts w:ascii="Baskerville" w:hAnsi="Baskerville"/>
          <w:b/>
          <w:lang w:val="en-US"/>
        </w:rPr>
      </w:pPr>
    </w:p>
    <w:p w14:paraId="696607EC" w14:textId="45AFBD2F" w:rsidR="003E4D20" w:rsidRDefault="003E4D20" w:rsidP="00D84C37">
      <w:pPr>
        <w:rPr>
          <w:rFonts w:ascii="Baskerville" w:hAnsi="Baskerville"/>
          <w:lang w:val="en-US"/>
        </w:rPr>
      </w:pPr>
      <w:r>
        <w:rPr>
          <w:rFonts w:ascii="Baskerville" w:hAnsi="Baskerville"/>
          <w:lang w:val="en-US"/>
        </w:rPr>
        <w:t xml:space="preserve">Article 1 of the Montevideo Convention 1933 defines a state ‘as a person of international law’ that possesses ‘the following qualifications: </w:t>
      </w:r>
    </w:p>
    <w:p w14:paraId="25242258" w14:textId="4B03B7DD" w:rsidR="003E4D20" w:rsidRDefault="003E4D20" w:rsidP="003E4D20">
      <w:pPr>
        <w:pStyle w:val="ListParagraph"/>
        <w:numPr>
          <w:ilvl w:val="0"/>
          <w:numId w:val="2"/>
        </w:numPr>
        <w:rPr>
          <w:rFonts w:ascii="Baskerville" w:hAnsi="Baskerville"/>
          <w:lang w:val="en-US"/>
        </w:rPr>
      </w:pPr>
      <w:r>
        <w:rPr>
          <w:rFonts w:ascii="Baskerville" w:hAnsi="Baskerville"/>
          <w:lang w:val="en-US"/>
        </w:rPr>
        <w:t>a permanent population;</w:t>
      </w:r>
    </w:p>
    <w:p w14:paraId="42E0F42A" w14:textId="7AA8C3A6" w:rsidR="003E4D20" w:rsidRDefault="003E4D20" w:rsidP="003E4D20">
      <w:pPr>
        <w:pStyle w:val="ListParagraph"/>
        <w:numPr>
          <w:ilvl w:val="0"/>
          <w:numId w:val="2"/>
        </w:numPr>
        <w:rPr>
          <w:rFonts w:ascii="Baskerville" w:hAnsi="Baskerville"/>
          <w:lang w:val="en-US"/>
        </w:rPr>
      </w:pPr>
      <w:r>
        <w:rPr>
          <w:rFonts w:ascii="Baskerville" w:hAnsi="Baskerville"/>
          <w:lang w:val="en-US"/>
        </w:rPr>
        <w:t>a defined territory;</w:t>
      </w:r>
    </w:p>
    <w:p w14:paraId="68B1737F" w14:textId="13AF206A" w:rsidR="003E4D20" w:rsidRDefault="003E4D20" w:rsidP="003E4D20">
      <w:pPr>
        <w:pStyle w:val="ListParagraph"/>
        <w:numPr>
          <w:ilvl w:val="0"/>
          <w:numId w:val="2"/>
        </w:numPr>
        <w:rPr>
          <w:rFonts w:ascii="Baskerville" w:hAnsi="Baskerville"/>
          <w:lang w:val="en-US"/>
        </w:rPr>
      </w:pPr>
      <w:r>
        <w:rPr>
          <w:rFonts w:ascii="Baskerville" w:hAnsi="Baskerville"/>
          <w:lang w:val="en-US"/>
        </w:rPr>
        <w:t>government; and</w:t>
      </w:r>
    </w:p>
    <w:p w14:paraId="3766A274" w14:textId="3DE59F1F" w:rsidR="003E4D20" w:rsidRDefault="003E4D20" w:rsidP="003E4D20">
      <w:pPr>
        <w:pStyle w:val="ListParagraph"/>
        <w:numPr>
          <w:ilvl w:val="0"/>
          <w:numId w:val="2"/>
        </w:numPr>
        <w:rPr>
          <w:rFonts w:ascii="Baskerville" w:hAnsi="Baskerville"/>
          <w:lang w:val="en-US"/>
        </w:rPr>
      </w:pPr>
      <w:r>
        <w:rPr>
          <w:rFonts w:ascii="Baskerville" w:hAnsi="Baskerville"/>
          <w:lang w:val="en-US"/>
        </w:rPr>
        <w:t>capacity to enter into relations with the other states.’</w:t>
      </w:r>
    </w:p>
    <w:p w14:paraId="384CA522" w14:textId="77777777" w:rsidR="00287AC2" w:rsidRDefault="00287AC2" w:rsidP="00287AC2">
      <w:pPr>
        <w:rPr>
          <w:rFonts w:ascii="Baskerville" w:hAnsi="Baskerville"/>
          <w:lang w:val="en-US"/>
        </w:rPr>
      </w:pPr>
    </w:p>
    <w:p w14:paraId="11EA424D" w14:textId="078516A7" w:rsidR="00287AC2" w:rsidRPr="00287AC2" w:rsidRDefault="00287AC2" w:rsidP="00287AC2">
      <w:pPr>
        <w:rPr>
          <w:rFonts w:ascii="Baskerville" w:hAnsi="Baskerville"/>
        </w:rPr>
      </w:pPr>
      <w:r w:rsidRPr="00287AC2">
        <w:rPr>
          <w:rFonts w:ascii="Baskerville" w:hAnsi="Baskerville"/>
        </w:rPr>
        <w:t xml:space="preserve">James Crawford, in his book, </w:t>
      </w:r>
      <w:r w:rsidRPr="00287AC2">
        <w:rPr>
          <w:rFonts w:ascii="Baskerville" w:hAnsi="Baskerville"/>
          <w:i/>
        </w:rPr>
        <w:t>The Creation of States in International Law</w:t>
      </w:r>
      <w:r w:rsidRPr="00287AC2">
        <w:rPr>
          <w:rFonts w:ascii="Baskerville" w:hAnsi="Baskerville"/>
        </w:rPr>
        <w:t xml:space="preserve">, calls Article 1 of the Convention the </w:t>
      </w:r>
      <w:r>
        <w:rPr>
          <w:rFonts w:ascii="Baskerville" w:hAnsi="Baskerville"/>
        </w:rPr>
        <w:t>“</w:t>
      </w:r>
      <w:r w:rsidRPr="00287AC2">
        <w:rPr>
          <w:rFonts w:ascii="Baskerville" w:hAnsi="Baskerville"/>
        </w:rPr>
        <w:t>best known formulation of the basic criteria for statehood</w:t>
      </w:r>
      <w:r>
        <w:rPr>
          <w:rFonts w:ascii="Baskerville" w:hAnsi="Baskerville"/>
        </w:rPr>
        <w:t>.”</w:t>
      </w:r>
      <w:r>
        <w:rPr>
          <w:rStyle w:val="FootnoteReference"/>
          <w:rFonts w:ascii="Baskerville" w:hAnsi="Baskerville"/>
        </w:rPr>
        <w:footnoteReference w:id="1"/>
      </w:r>
    </w:p>
    <w:p w14:paraId="18AABECA" w14:textId="77777777" w:rsidR="003E4D20" w:rsidRDefault="003E4D20" w:rsidP="00D84C37">
      <w:pPr>
        <w:rPr>
          <w:rFonts w:ascii="Baskerville" w:hAnsi="Baskerville"/>
          <w:lang w:val="en-US"/>
        </w:rPr>
      </w:pPr>
    </w:p>
    <w:p w14:paraId="0F715009" w14:textId="7CF84814" w:rsidR="00C66CD9" w:rsidRPr="00C66CD9" w:rsidRDefault="000D56D9" w:rsidP="00C66CD9">
      <w:pPr>
        <w:rPr>
          <w:rFonts w:ascii="Baskerville" w:hAnsi="Baskerville"/>
          <w:lang w:val="en-US"/>
        </w:rPr>
      </w:pPr>
      <w:r>
        <w:rPr>
          <w:rFonts w:ascii="Baskerville" w:hAnsi="Baskerville"/>
          <w:lang w:val="en-US"/>
        </w:rPr>
        <w:t>‘</w:t>
      </w:r>
      <w:r w:rsidR="00C66CD9" w:rsidRPr="00C66CD9">
        <w:rPr>
          <w:rFonts w:ascii="Baskerville" w:hAnsi="Baskerville"/>
          <w:lang w:val="en-US"/>
        </w:rPr>
        <w:t>But the fact that some development is of importance in international relations does not entail that it is regulated by international law. And</w:t>
      </w:r>
      <w:r w:rsidR="00C66CD9">
        <w:rPr>
          <w:rFonts w:ascii="Baskerville" w:hAnsi="Baskerville"/>
          <w:lang w:val="en-US"/>
        </w:rPr>
        <w:t xml:space="preserve"> it has long been asserted that </w:t>
      </w:r>
      <w:r w:rsidR="00C66CD9" w:rsidRPr="00C66CD9">
        <w:rPr>
          <w:rFonts w:ascii="Baskerville" w:hAnsi="Baskerville"/>
          <w:lang w:val="en-US"/>
        </w:rPr>
        <w:t>‘</w:t>
      </w:r>
      <w:r w:rsidR="00C66CD9">
        <w:rPr>
          <w:rFonts w:ascii="Baskerville" w:hAnsi="Baskerville"/>
          <w:lang w:val="en-US"/>
        </w:rPr>
        <w:t>t</w:t>
      </w:r>
      <w:r w:rsidR="00C66CD9" w:rsidRPr="00C66CD9">
        <w:rPr>
          <w:rFonts w:ascii="Baskerville" w:hAnsi="Baskerville"/>
          <w:lang w:val="en-US"/>
        </w:rPr>
        <w:t>he formation of a new State is . . . a matter of fact, and not of law.’</w:t>
      </w:r>
      <w:r w:rsidR="00C66CD9">
        <w:rPr>
          <w:rStyle w:val="FootnoteReference"/>
          <w:rFonts w:ascii="Baskerville" w:hAnsi="Baskerville"/>
          <w:lang w:val="en-US"/>
        </w:rPr>
        <w:footnoteReference w:id="2"/>
      </w:r>
      <w:r w:rsidR="00C66CD9" w:rsidRPr="00C66CD9">
        <w:rPr>
          <w:rFonts w:ascii="Baskerville" w:hAnsi="Baskerville"/>
          <w:lang w:val="en-US"/>
        </w:rPr>
        <w:t xml:space="preserve"> This position was supported by a wide spectrum of legal opinion. For example, one of the most common arguments of the declaratory theory (the theory that statehood is a legal status independent of recognition) is that, where a State actually exists, the legality of its creation or existence must be an abstract issue: the law must take account of the new situation, despite its illegality.</w:t>
      </w:r>
      <w:r w:rsidR="0089021F">
        <w:rPr>
          <w:rStyle w:val="FootnoteReference"/>
          <w:rFonts w:ascii="Baskerville" w:hAnsi="Baskerville"/>
          <w:lang w:val="en-US"/>
        </w:rPr>
        <w:footnoteReference w:id="3"/>
      </w:r>
      <w:r w:rsidR="00C66CD9" w:rsidRPr="00C66CD9">
        <w:rPr>
          <w:rFonts w:ascii="Baskerville" w:hAnsi="Baskerville"/>
          <w:lang w:val="en-US"/>
        </w:rPr>
        <w:t xml:space="preserve"> Equally, so it is said, where a State does not exist, rules treating it as existing are pointless, a denial of reality. The criterion must be effectiveness, not legitimacy. On the other hand, according to the constitutive theory </w:t>
      </w:r>
      <w:r w:rsidR="00C66CD9" w:rsidRPr="00C66CD9">
        <w:rPr>
          <w:rFonts w:ascii="Baskerville" w:hAnsi="Baskerville"/>
          <w:lang w:val="en-US"/>
        </w:rPr>
        <w:lastRenderedPageBreak/>
        <w:t>(the theory that the rights and duties pertaining to</w:t>
      </w:r>
      <w:r w:rsidR="00C66CD9">
        <w:rPr>
          <w:rFonts w:ascii="Baskerville" w:hAnsi="Baskerville"/>
          <w:lang w:val="en-US"/>
        </w:rPr>
        <w:t xml:space="preserve"> statehood derive from recogni</w:t>
      </w:r>
      <w:r w:rsidR="00C66CD9" w:rsidRPr="00C66CD9">
        <w:rPr>
          <w:rFonts w:ascii="Baskerville" w:hAnsi="Baskerville"/>
          <w:lang w:val="en-US"/>
        </w:rPr>
        <w:t>tion by other States), the proposition that the existence of a State is a matter of fact seems axiomatic. If ‘a State is, and becomes, an International Person</w:t>
      </w:r>
      <w:r w:rsidR="00C66CD9">
        <w:rPr>
          <w:rFonts w:ascii="Baskerville" w:hAnsi="Baskerville"/>
          <w:lang w:val="en-US"/>
        </w:rPr>
        <w:t xml:space="preserve"> </w:t>
      </w:r>
      <w:r w:rsidR="00C66CD9" w:rsidRPr="00C66CD9">
        <w:rPr>
          <w:rFonts w:ascii="Baskerville" w:hAnsi="Baskerville"/>
          <w:lang w:val="en-US"/>
        </w:rPr>
        <w:t>through recognition only and exclusively’,</w:t>
      </w:r>
      <w:r w:rsidR="00172B3C">
        <w:rPr>
          <w:rStyle w:val="FootnoteReference"/>
          <w:rFonts w:ascii="Baskerville" w:hAnsi="Baskerville"/>
          <w:lang w:val="en-US"/>
        </w:rPr>
        <w:footnoteReference w:id="4"/>
      </w:r>
      <w:r w:rsidR="00C66CD9" w:rsidRPr="00C66CD9">
        <w:rPr>
          <w:rFonts w:ascii="Baskerville" w:hAnsi="Baskerville"/>
          <w:lang w:val="en-US"/>
        </w:rPr>
        <w:t xml:space="preserve"> and if recognition is discretionary, then rules granting to an unrecognized community a ‘right to statehood’ are excluded.</w:t>
      </w:r>
      <w:r w:rsidR="00645A5F">
        <w:rPr>
          <w:rFonts w:ascii="Baskerville" w:hAnsi="Baskerville"/>
          <w:lang w:val="en-US"/>
        </w:rPr>
        <w:t>’</w:t>
      </w:r>
      <w:r w:rsidR="005E57AB">
        <w:rPr>
          <w:rStyle w:val="FootnoteReference"/>
          <w:rFonts w:ascii="Baskerville" w:hAnsi="Baskerville"/>
          <w:lang w:val="en-US"/>
        </w:rPr>
        <w:footnoteReference w:id="5"/>
      </w:r>
      <w:r w:rsidR="00C66CD9" w:rsidRPr="00C66CD9">
        <w:rPr>
          <w:rFonts w:ascii="Baskerville" w:hAnsi="Baskerville"/>
          <w:lang w:val="en-US"/>
        </w:rPr>
        <w:t xml:space="preserve"> </w:t>
      </w:r>
    </w:p>
    <w:p w14:paraId="6655736C" w14:textId="1499160B" w:rsidR="00C66CD9" w:rsidRDefault="00C66CD9" w:rsidP="000D56D9">
      <w:pPr>
        <w:rPr>
          <w:rFonts w:ascii="Baskerville" w:hAnsi="Baskerville"/>
          <w:lang w:val="en-US"/>
        </w:rPr>
      </w:pPr>
      <w:r w:rsidRPr="00C66CD9">
        <w:rPr>
          <w:rFonts w:ascii="Baskerville" w:hAnsi="Baskerville"/>
          <w:lang w:val="en-US"/>
        </w:rPr>
        <w:t xml:space="preserve"> </w:t>
      </w:r>
    </w:p>
    <w:p w14:paraId="194E4AF4" w14:textId="6BCB0396" w:rsidR="00C66CD9" w:rsidRDefault="000D56D9" w:rsidP="000D56D9">
      <w:pPr>
        <w:rPr>
          <w:rFonts w:ascii="Baskerville" w:hAnsi="Baskerville"/>
          <w:lang w:val="en-US"/>
        </w:rPr>
      </w:pPr>
      <w:r w:rsidRPr="000D56D9">
        <w:rPr>
          <w:rFonts w:ascii="Baskerville" w:hAnsi="Baskerville"/>
          <w:lang w:val="en-US"/>
        </w:rPr>
        <w:t>Although the early writers occasionally dealt with problems of recognition, it had no separate place in the law of nations before the middle of the eighteenth century. The reason for this was clear: sovereignty,</w:t>
      </w:r>
      <w:r>
        <w:rPr>
          <w:rFonts w:ascii="Baskerville" w:hAnsi="Baskerville"/>
          <w:lang w:val="en-US"/>
        </w:rPr>
        <w:t xml:space="preserve"> in its origin merely the loca</w:t>
      </w:r>
      <w:r w:rsidRPr="000D56D9">
        <w:rPr>
          <w:rFonts w:ascii="Baskerville" w:hAnsi="Baskerville"/>
          <w:lang w:val="en-US"/>
        </w:rPr>
        <w:t>tion of supreme power within a particular territorial unit (</w:t>
      </w:r>
      <w:r w:rsidRPr="000D56D9">
        <w:rPr>
          <w:rFonts w:ascii="Baskerville" w:hAnsi="Baskerville"/>
          <w:i/>
          <w:iCs/>
          <w:lang w:val="en-US"/>
        </w:rPr>
        <w:t>suprema potestas</w:t>
      </w:r>
      <w:r w:rsidRPr="000D56D9">
        <w:rPr>
          <w:rFonts w:ascii="Baskerville" w:hAnsi="Baskerville"/>
          <w:lang w:val="en-US"/>
        </w:rPr>
        <w:t xml:space="preserve">), necessarily came from within and did not require the recognition of other States or princes. As Pufendorf stated: </w:t>
      </w:r>
      <w:r>
        <w:rPr>
          <w:rFonts w:ascii="Baskerville" w:hAnsi="Baskerville"/>
          <w:lang w:val="en-US"/>
        </w:rPr>
        <w:t>“…</w:t>
      </w:r>
      <w:r w:rsidRPr="000D56D9">
        <w:rPr>
          <w:rFonts w:ascii="Baskerville" w:hAnsi="Baskerville"/>
          <w:lang w:val="en-US"/>
        </w:rPr>
        <w:t>just as a king owes his sovereignty and majesty to no one outside his realm, so he need not obtain the consent and approval of other kings or states, before he may carry himself like a king and be regarded as such . . . [I]t would entail an injury for the sovereignty of such a king to be called in question by a foreigner.</w:t>
      </w:r>
      <w:r>
        <w:rPr>
          <w:rFonts w:ascii="Baskerville" w:hAnsi="Baskerville"/>
          <w:lang w:val="en-US"/>
        </w:rPr>
        <w:t>”</w:t>
      </w:r>
      <w:r>
        <w:rPr>
          <w:rStyle w:val="FootnoteReference"/>
          <w:rFonts w:ascii="Baskerville" w:hAnsi="Baskerville"/>
          <w:lang w:val="en-US"/>
        </w:rPr>
        <w:footnoteReference w:id="6"/>
      </w:r>
    </w:p>
    <w:p w14:paraId="1D36090F" w14:textId="007B4880" w:rsidR="000D56D9" w:rsidRDefault="000D56D9" w:rsidP="00D84C37">
      <w:pPr>
        <w:rPr>
          <w:rFonts w:ascii="Baskerville" w:hAnsi="Baskerville"/>
          <w:lang w:val="en-US"/>
        </w:rPr>
      </w:pPr>
    </w:p>
    <w:p w14:paraId="4BB4AA8F" w14:textId="01DD4A7F" w:rsidR="00D84C37" w:rsidRDefault="00D84C37" w:rsidP="00D84C37">
      <w:pPr>
        <w:rPr>
          <w:rFonts w:ascii="Baskerville" w:hAnsi="Baskerville"/>
          <w:lang w:val="en-US"/>
        </w:rPr>
      </w:pPr>
      <w:r>
        <w:rPr>
          <w:rFonts w:ascii="Baskerville" w:hAnsi="Baskerville"/>
          <w:lang w:val="en-US"/>
        </w:rPr>
        <w:t>‘1</w:t>
      </w:r>
      <w:r w:rsidRPr="00D84C37">
        <w:rPr>
          <w:rFonts w:ascii="Baskerville" w:hAnsi="Baskerville"/>
          <w:lang w:val="en-US"/>
        </w:rPr>
        <w:t>9. Thus, to assert that an advisory opinion deals with a legal question</w:t>
      </w:r>
      <w:r>
        <w:rPr>
          <w:rFonts w:ascii="Baskerville" w:hAnsi="Baskerville"/>
          <w:lang w:val="en-US"/>
        </w:rPr>
        <w:t xml:space="preserve"> within the meaning of th</w:t>
      </w:r>
      <w:r w:rsidRPr="00D84C37">
        <w:rPr>
          <w:rFonts w:ascii="Baskerville" w:hAnsi="Baskerville"/>
          <w:lang w:val="en-US"/>
        </w:rPr>
        <w:t>e Statute only when it pronounces directly upon the</w:t>
      </w:r>
      <w:r>
        <w:rPr>
          <w:rFonts w:ascii="Baskerville" w:hAnsi="Baskerville"/>
          <w:lang w:val="en-US"/>
        </w:rPr>
        <w:t xml:space="preserve"> </w:t>
      </w:r>
      <w:r w:rsidRPr="00D84C37">
        <w:rPr>
          <w:rFonts w:ascii="Baskerville" w:hAnsi="Baskerville"/>
          <w:lang w:val="en-US"/>
        </w:rPr>
        <w:t>rights and obligations of the States or parties concerned, or upon the</w:t>
      </w:r>
      <w:r>
        <w:rPr>
          <w:rFonts w:ascii="Baskerville" w:hAnsi="Baskerville"/>
          <w:lang w:val="en-US"/>
        </w:rPr>
        <w:t xml:space="preserve"> </w:t>
      </w:r>
      <w:r w:rsidRPr="00D84C37">
        <w:rPr>
          <w:rFonts w:ascii="Baskerville" w:hAnsi="Baskerville"/>
          <w:lang w:val="en-US"/>
        </w:rPr>
        <w:t>conditions which, if fulfilled, would result in the coming into existence,</w:t>
      </w:r>
      <w:r>
        <w:rPr>
          <w:rFonts w:ascii="Baskerville" w:hAnsi="Baskerville"/>
          <w:lang w:val="en-US"/>
        </w:rPr>
        <w:t xml:space="preserve"> </w:t>
      </w:r>
      <w:r w:rsidRPr="00D84C37">
        <w:rPr>
          <w:rFonts w:ascii="Baskerville" w:hAnsi="Baskerville"/>
          <w:lang w:val="en-US"/>
        </w:rPr>
        <w:t>modification or termination of such a right or obligation, would be to take too</w:t>
      </w:r>
      <w:r>
        <w:rPr>
          <w:rFonts w:ascii="Baskerville" w:hAnsi="Baskerville"/>
          <w:lang w:val="en-US"/>
        </w:rPr>
        <w:t xml:space="preserve"> </w:t>
      </w:r>
      <w:r w:rsidRPr="00D84C37">
        <w:rPr>
          <w:rFonts w:ascii="Baskerville" w:hAnsi="Baskerville"/>
          <w:lang w:val="en-US"/>
        </w:rPr>
        <w:t>restrictive a view of the scope of the Court's advisory jurisdiction. It has</w:t>
      </w:r>
      <w:r>
        <w:rPr>
          <w:rFonts w:ascii="Baskerville" w:hAnsi="Baskerville"/>
          <w:lang w:val="en-US"/>
        </w:rPr>
        <w:t xml:space="preserve"> </w:t>
      </w:r>
      <w:r w:rsidRPr="00D84C37">
        <w:rPr>
          <w:rFonts w:ascii="Baskerville" w:hAnsi="Baskerville"/>
          <w:lang w:val="en-US"/>
        </w:rPr>
        <w:t>undoubtedly been the usual situation for an advisory opinion of the Court to</w:t>
      </w:r>
      <w:r>
        <w:rPr>
          <w:rFonts w:ascii="Baskerville" w:hAnsi="Baskerville"/>
          <w:lang w:val="en-US"/>
        </w:rPr>
        <w:t xml:space="preserve"> </w:t>
      </w:r>
      <w:r w:rsidRPr="00D84C37">
        <w:rPr>
          <w:rFonts w:ascii="Baskerville" w:hAnsi="Baskerville"/>
          <w:lang w:val="en-US"/>
        </w:rPr>
        <w:t>pronounce on existing rights and obligations, or on their coming into</w:t>
      </w:r>
      <w:r>
        <w:rPr>
          <w:rFonts w:ascii="Baskerville" w:hAnsi="Baskerville"/>
          <w:lang w:val="en-US"/>
        </w:rPr>
        <w:t xml:space="preserve"> </w:t>
      </w:r>
      <w:r w:rsidRPr="00D84C37">
        <w:rPr>
          <w:rFonts w:ascii="Baskerville" w:hAnsi="Baskerville"/>
          <w:lang w:val="en-US"/>
        </w:rPr>
        <w:t>existence, modification or termination, or on the powers of international</w:t>
      </w:r>
      <w:r>
        <w:rPr>
          <w:rFonts w:ascii="Baskerville" w:hAnsi="Baskerville"/>
          <w:lang w:val="en-US"/>
        </w:rPr>
        <w:t xml:space="preserve"> </w:t>
      </w:r>
      <w:r w:rsidRPr="00D84C37">
        <w:rPr>
          <w:rFonts w:ascii="Baskerville" w:hAnsi="Baskerville"/>
          <w:lang w:val="en-US"/>
        </w:rPr>
        <w:t>organs. However, the Court may also be requested to give its opinion on</w:t>
      </w:r>
      <w:r>
        <w:rPr>
          <w:rFonts w:ascii="Baskerville" w:hAnsi="Baskerville"/>
          <w:lang w:val="en-US"/>
        </w:rPr>
        <w:t xml:space="preserve"> </w:t>
      </w:r>
      <w:r w:rsidRPr="00D84C37">
        <w:rPr>
          <w:rFonts w:ascii="Baskerville" w:hAnsi="Baskerville"/>
          <w:lang w:val="en-US"/>
        </w:rPr>
        <w:t>questions of law</w:t>
      </w:r>
      <w:r>
        <w:rPr>
          <w:rFonts w:ascii="Baskerville" w:hAnsi="Baskerville"/>
          <w:lang w:val="en-US"/>
        </w:rPr>
        <w:t>,</w:t>
      </w:r>
      <w:r w:rsidRPr="00D84C37">
        <w:rPr>
          <w:rFonts w:ascii="Baskerville" w:hAnsi="Baskerville"/>
          <w:lang w:val="en-US"/>
        </w:rPr>
        <w:t xml:space="preserve"> which do not cal</w:t>
      </w:r>
      <w:r>
        <w:rPr>
          <w:rFonts w:ascii="Baskerville" w:hAnsi="Baskerville"/>
          <w:lang w:val="en-US"/>
        </w:rPr>
        <w:t>l</w:t>
      </w:r>
      <w:r w:rsidRPr="00D84C37">
        <w:rPr>
          <w:rFonts w:ascii="Baskerville" w:hAnsi="Baskerville"/>
          <w:lang w:val="en-US"/>
        </w:rPr>
        <w:t xml:space="preserve"> for any pronouncement of that kind,</w:t>
      </w:r>
      <w:r>
        <w:rPr>
          <w:rFonts w:ascii="Baskerville" w:hAnsi="Baskerville"/>
          <w:lang w:val="en-US"/>
        </w:rPr>
        <w:t xml:space="preserve"> </w:t>
      </w:r>
      <w:r w:rsidRPr="00D84C37">
        <w:rPr>
          <w:rFonts w:ascii="Baskerville" w:hAnsi="Baskerville"/>
          <w:lang w:val="en-US"/>
        </w:rPr>
        <w:t>though they may have their place within a wider problem the solution of</w:t>
      </w:r>
      <w:r>
        <w:rPr>
          <w:rFonts w:ascii="Baskerville" w:hAnsi="Baskerville"/>
          <w:lang w:val="en-US"/>
        </w:rPr>
        <w:t xml:space="preserve"> </w:t>
      </w:r>
      <w:r w:rsidRPr="00D84C37">
        <w:rPr>
          <w:rFonts w:ascii="Baskerville" w:hAnsi="Baskerville"/>
          <w:lang w:val="en-US"/>
        </w:rPr>
        <w:t>which could involve such matters. This does not signify that the Court is any</w:t>
      </w:r>
      <w:r>
        <w:rPr>
          <w:rFonts w:ascii="Baskerville" w:hAnsi="Baskerville"/>
          <w:lang w:val="en-US"/>
        </w:rPr>
        <w:t xml:space="preserve"> </w:t>
      </w:r>
      <w:r w:rsidRPr="00D84C37">
        <w:rPr>
          <w:rFonts w:ascii="Baskerville" w:hAnsi="Baskerville"/>
          <w:lang w:val="en-US"/>
        </w:rPr>
        <w:t>the less competent to entertain the request if it is satisfied that the questions</w:t>
      </w:r>
      <w:r>
        <w:rPr>
          <w:rFonts w:ascii="Baskerville" w:hAnsi="Baskerville"/>
          <w:lang w:val="en-US"/>
        </w:rPr>
        <w:t xml:space="preserve"> </w:t>
      </w:r>
      <w:r w:rsidRPr="00D84C37">
        <w:rPr>
          <w:rFonts w:ascii="Baskerville" w:hAnsi="Baskerville"/>
          <w:lang w:val="en-US"/>
        </w:rPr>
        <w:t>are in fact legal ones, and to give an opinion once it is satisfied that there is no</w:t>
      </w:r>
      <w:r>
        <w:rPr>
          <w:rFonts w:ascii="Baskerville" w:hAnsi="Baskerville"/>
          <w:lang w:val="en-US"/>
        </w:rPr>
        <w:t xml:space="preserve"> </w:t>
      </w:r>
      <w:r w:rsidRPr="00D84C37">
        <w:rPr>
          <w:rFonts w:ascii="Baskerville" w:hAnsi="Baskerville"/>
          <w:lang w:val="en-US"/>
        </w:rPr>
        <w:t xml:space="preserve">compelling reason for declining to do so. </w:t>
      </w:r>
    </w:p>
    <w:p w14:paraId="6EB6C8C4" w14:textId="77777777" w:rsidR="00D84C37" w:rsidRPr="00D84C37" w:rsidRDefault="00D84C37" w:rsidP="00D84C37">
      <w:pPr>
        <w:rPr>
          <w:rFonts w:ascii="Baskerville" w:hAnsi="Baskerville"/>
          <w:lang w:val="en-US"/>
        </w:rPr>
      </w:pPr>
    </w:p>
    <w:p w14:paraId="00280B09" w14:textId="6062D0E8" w:rsidR="00D84C37" w:rsidRDefault="00D84C37" w:rsidP="00D84C37">
      <w:pPr>
        <w:rPr>
          <w:rFonts w:ascii="Baskerville" w:hAnsi="Baskerville"/>
          <w:lang w:val="en-US"/>
        </w:rPr>
      </w:pPr>
      <w:r w:rsidRPr="00D84C37">
        <w:rPr>
          <w:rFonts w:ascii="Baskerville" w:hAnsi="Baskerville"/>
          <w:lang w:val="en-US"/>
        </w:rPr>
        <w:t>20. The Court accordingly finds that it</w:t>
      </w:r>
      <w:r>
        <w:rPr>
          <w:rFonts w:ascii="Baskerville" w:hAnsi="Baskerville"/>
          <w:lang w:val="en-US"/>
        </w:rPr>
        <w:t xml:space="preserve"> is competent under Article 65, </w:t>
      </w:r>
      <w:r w:rsidRPr="00D84C37">
        <w:rPr>
          <w:rFonts w:ascii="Baskerville" w:hAnsi="Baskerville"/>
          <w:lang w:val="en-US"/>
        </w:rPr>
        <w:t>paragraph 1, of its Statute to entertain the present request, by which the</w:t>
      </w:r>
      <w:r>
        <w:rPr>
          <w:rFonts w:ascii="Baskerville" w:hAnsi="Baskerville"/>
          <w:lang w:val="en-US"/>
        </w:rPr>
        <w:t xml:space="preserve"> </w:t>
      </w:r>
      <w:r w:rsidRPr="00D84C37">
        <w:rPr>
          <w:rFonts w:ascii="Baskerville" w:hAnsi="Baskerville"/>
          <w:lang w:val="en-US"/>
        </w:rPr>
        <w:t>General Assembly has referred to it quest</w:t>
      </w:r>
      <w:r>
        <w:rPr>
          <w:rFonts w:ascii="Baskerville" w:hAnsi="Baskerville"/>
          <w:lang w:val="en-US"/>
        </w:rPr>
        <w:t xml:space="preserve">ions embodying such concepts of </w:t>
      </w:r>
      <w:r w:rsidRPr="00D84C37">
        <w:rPr>
          <w:rFonts w:ascii="Baskerville" w:hAnsi="Baskerville"/>
          <w:lang w:val="en-US"/>
        </w:rPr>
        <w:t>law as terra nullius and legal ties, regardless of the fact that the Assembly has</w:t>
      </w:r>
      <w:r>
        <w:rPr>
          <w:rFonts w:ascii="Baskerville" w:hAnsi="Baskerville"/>
          <w:lang w:val="en-US"/>
        </w:rPr>
        <w:t xml:space="preserve"> </w:t>
      </w:r>
      <w:r w:rsidRPr="00D84C37">
        <w:rPr>
          <w:rFonts w:ascii="Baskerville" w:hAnsi="Baskerville"/>
          <w:lang w:val="en-US"/>
        </w:rPr>
        <w:t>not requested the determination of existing rights and obligations. At the</w:t>
      </w:r>
      <w:r>
        <w:rPr>
          <w:rFonts w:ascii="Baskerville" w:hAnsi="Baskerville"/>
          <w:lang w:val="en-US"/>
        </w:rPr>
        <w:t xml:space="preserve"> </w:t>
      </w:r>
      <w:r w:rsidRPr="00D84C37">
        <w:rPr>
          <w:rFonts w:ascii="Baskerville" w:hAnsi="Baskerville"/>
          <w:lang w:val="en-US"/>
        </w:rPr>
        <w:t>same time it appears from resolution 3292 (XXIX) that the opinion is sought</w:t>
      </w:r>
      <w:r>
        <w:rPr>
          <w:rFonts w:ascii="Baskerville" w:hAnsi="Baskerville"/>
          <w:lang w:val="en-US"/>
        </w:rPr>
        <w:t xml:space="preserve"> </w:t>
      </w:r>
      <w:r w:rsidRPr="00D84C37">
        <w:rPr>
          <w:rFonts w:ascii="Baskerville" w:hAnsi="Baskerville"/>
          <w:lang w:val="en-US"/>
        </w:rPr>
        <w:t>for a practical and contemporary purpose, namely, in order that the General</w:t>
      </w:r>
      <w:r>
        <w:rPr>
          <w:rFonts w:ascii="Baskerville" w:hAnsi="Baskerville"/>
          <w:lang w:val="en-US"/>
        </w:rPr>
        <w:t xml:space="preserve"> </w:t>
      </w:r>
      <w:r w:rsidRPr="00D84C37">
        <w:rPr>
          <w:rFonts w:ascii="Baskerville" w:hAnsi="Baskerville"/>
          <w:lang w:val="en-US"/>
        </w:rPr>
        <w:t>Assembly should be in a better position to decide at its thirtieth session on the</w:t>
      </w:r>
      <w:r>
        <w:rPr>
          <w:rFonts w:ascii="Baskerville" w:hAnsi="Baskerville"/>
          <w:lang w:val="en-US"/>
        </w:rPr>
        <w:t xml:space="preserve"> </w:t>
      </w:r>
      <w:r w:rsidRPr="00D84C37">
        <w:rPr>
          <w:rFonts w:ascii="Baskerville" w:hAnsi="Baskerville"/>
          <w:lang w:val="en-US"/>
        </w:rPr>
        <w:t>policy to be followed for the decolonization of Western Sahara. However, the</w:t>
      </w:r>
      <w:r>
        <w:rPr>
          <w:rFonts w:ascii="Baskerville" w:hAnsi="Baskerville"/>
          <w:lang w:val="en-US"/>
        </w:rPr>
        <w:t xml:space="preserve"> </w:t>
      </w:r>
      <w:r w:rsidRPr="00D84C37">
        <w:rPr>
          <w:rFonts w:ascii="Baskerville" w:hAnsi="Baskerville"/>
          <w:lang w:val="en-US"/>
        </w:rPr>
        <w:t>issue of the relevance and practical interest of the questions posed concerns,</w:t>
      </w:r>
      <w:r>
        <w:rPr>
          <w:rFonts w:ascii="Baskerville" w:hAnsi="Baskerville"/>
          <w:lang w:val="en-US"/>
        </w:rPr>
        <w:t xml:space="preserve"> </w:t>
      </w:r>
      <w:r w:rsidRPr="00D84C37">
        <w:rPr>
          <w:rFonts w:ascii="Baskerville" w:hAnsi="Baskerville"/>
          <w:lang w:val="en-US"/>
        </w:rPr>
        <w:t>not the competence of the Court, but the propriety of its exercise. It is</w:t>
      </w:r>
      <w:r>
        <w:rPr>
          <w:rFonts w:ascii="Baskerville" w:hAnsi="Baskerville"/>
          <w:lang w:val="en-US"/>
        </w:rPr>
        <w:t xml:space="preserve"> </w:t>
      </w:r>
      <w:r w:rsidRPr="00D84C37">
        <w:rPr>
          <w:rFonts w:ascii="Baskerville" w:hAnsi="Baskerville"/>
          <w:lang w:val="en-US"/>
        </w:rPr>
        <w:t>therefore in considering the subject of judicial propriety that the Court will</w:t>
      </w:r>
      <w:r>
        <w:rPr>
          <w:rFonts w:ascii="Baskerville" w:hAnsi="Baskerville"/>
          <w:lang w:val="en-US"/>
        </w:rPr>
        <w:t xml:space="preserve"> </w:t>
      </w:r>
      <w:r w:rsidRPr="00D84C37">
        <w:rPr>
          <w:rFonts w:ascii="Baskerville" w:hAnsi="Baskerville"/>
          <w:lang w:val="en-US"/>
        </w:rPr>
        <w:t>examine the objection</w:t>
      </w:r>
      <w:r>
        <w:rPr>
          <w:rFonts w:ascii="Baskerville" w:hAnsi="Baskerville"/>
          <w:lang w:val="en-US"/>
        </w:rPr>
        <w:t>,</w:t>
      </w:r>
      <w:r w:rsidRPr="00D84C37">
        <w:rPr>
          <w:rFonts w:ascii="Baskerville" w:hAnsi="Baskerville"/>
          <w:lang w:val="en-US"/>
        </w:rPr>
        <w:t xml:space="preserve"> which has been raised in this connection, alleging that</w:t>
      </w:r>
      <w:r>
        <w:rPr>
          <w:rFonts w:ascii="Baskerville" w:hAnsi="Baskerville"/>
          <w:lang w:val="en-US"/>
        </w:rPr>
        <w:t xml:space="preserve"> </w:t>
      </w:r>
      <w:r w:rsidRPr="00D84C37">
        <w:rPr>
          <w:rFonts w:ascii="Baskerville" w:hAnsi="Baskerville"/>
          <w:lang w:val="en-US"/>
        </w:rPr>
        <w:t>the questions are devoid of any useful object.</w:t>
      </w:r>
    </w:p>
    <w:p w14:paraId="49F54C17" w14:textId="77777777" w:rsidR="00D84C37" w:rsidRPr="00D84C37" w:rsidRDefault="00D84C37" w:rsidP="00D84C37">
      <w:pPr>
        <w:rPr>
          <w:rFonts w:ascii="Baskerville" w:hAnsi="Baskerville"/>
          <w:lang w:val="en-US"/>
        </w:rPr>
      </w:pPr>
    </w:p>
    <w:p w14:paraId="46C8AFA4" w14:textId="7BDC7951" w:rsidR="00D84C37" w:rsidRPr="00D84C37" w:rsidRDefault="00D84C37" w:rsidP="00D84C37">
      <w:pPr>
        <w:rPr>
          <w:rFonts w:ascii="Baskerville" w:hAnsi="Baskerville"/>
          <w:lang w:val="en-US"/>
        </w:rPr>
      </w:pPr>
      <w:r w:rsidRPr="00D84C37">
        <w:rPr>
          <w:rFonts w:ascii="Baskerville" w:hAnsi="Baskerville"/>
          <w:lang w:val="en-US"/>
        </w:rPr>
        <w:t>21. Similarly, the absence of an interested State's consent to the exercise of</w:t>
      </w:r>
      <w:r>
        <w:rPr>
          <w:rFonts w:ascii="Baskerville" w:hAnsi="Baskerville"/>
          <w:lang w:val="en-US"/>
        </w:rPr>
        <w:t xml:space="preserve"> </w:t>
      </w:r>
      <w:r w:rsidRPr="00D84C37">
        <w:rPr>
          <w:rFonts w:ascii="Baskerville" w:hAnsi="Baskerville"/>
          <w:lang w:val="en-US"/>
        </w:rPr>
        <w:t>the Court's advisory jurisdiction does not concern the competence of the</w:t>
      </w:r>
      <w:r>
        <w:rPr>
          <w:rFonts w:ascii="Baskerville" w:hAnsi="Baskerville"/>
          <w:lang w:val="en-US"/>
        </w:rPr>
        <w:t xml:space="preserve"> </w:t>
      </w:r>
      <w:r w:rsidRPr="00D84C37">
        <w:rPr>
          <w:rFonts w:ascii="Baskerville" w:hAnsi="Baskerville"/>
          <w:lang w:val="en-US"/>
        </w:rPr>
        <w:t>Court but the propriety of its exercise, as clearly appears from the Advisory</w:t>
      </w:r>
      <w:r>
        <w:rPr>
          <w:rFonts w:ascii="Baskerville" w:hAnsi="Baskerville"/>
          <w:lang w:val="en-US"/>
        </w:rPr>
        <w:t xml:space="preserve"> </w:t>
      </w:r>
      <w:r w:rsidRPr="00D84C37">
        <w:rPr>
          <w:rFonts w:ascii="Baskerville" w:hAnsi="Baskerville"/>
          <w:lang w:val="en-US"/>
        </w:rPr>
        <w:t>Opinion concerning the Interpretation of Peace Treaties with Bulgaria,</w:t>
      </w:r>
      <w:r>
        <w:rPr>
          <w:rFonts w:ascii="Baskerville" w:hAnsi="Baskerville"/>
          <w:lang w:val="en-US"/>
        </w:rPr>
        <w:t xml:space="preserve"> </w:t>
      </w:r>
      <w:r w:rsidRPr="00D84C37">
        <w:rPr>
          <w:rFonts w:ascii="Baskerville" w:hAnsi="Baskerville"/>
          <w:lang w:val="en-US"/>
        </w:rPr>
        <w:t>Hungary and Romania, First Phase, to which reference will be made later.</w:t>
      </w:r>
      <w:r>
        <w:rPr>
          <w:rFonts w:ascii="Baskerville" w:hAnsi="Baskerville"/>
          <w:lang w:val="en-US"/>
        </w:rPr>
        <w:t xml:space="preserve"> </w:t>
      </w:r>
      <w:r w:rsidRPr="00D84C37">
        <w:rPr>
          <w:rFonts w:ascii="Baskerville" w:hAnsi="Baskerville"/>
          <w:lang w:val="en-US"/>
        </w:rPr>
        <w:t>Hence, notwithstanding the fact that Spain has based on the absence of its</w:t>
      </w:r>
      <w:r>
        <w:rPr>
          <w:rFonts w:ascii="Baskerville" w:hAnsi="Baskerville"/>
          <w:lang w:val="en-US"/>
        </w:rPr>
        <w:t xml:space="preserve"> </w:t>
      </w:r>
      <w:r w:rsidRPr="00D84C37">
        <w:rPr>
          <w:rFonts w:ascii="Baskerville" w:hAnsi="Baskerville"/>
          <w:lang w:val="en-US"/>
        </w:rPr>
        <w:t>consent an objection against the competence of the Court as well as the</w:t>
      </w:r>
      <w:r>
        <w:rPr>
          <w:rFonts w:ascii="Baskerville" w:hAnsi="Baskerville"/>
          <w:lang w:val="en-US"/>
        </w:rPr>
        <w:t xml:space="preserve"> </w:t>
      </w:r>
      <w:r w:rsidRPr="00D84C37">
        <w:rPr>
          <w:rFonts w:ascii="Baskerville" w:hAnsi="Baskerville"/>
          <w:lang w:val="en-US"/>
        </w:rPr>
        <w:t>propriety of its exercise, it is in dealing with the latter that the Court will</w:t>
      </w:r>
      <w:r>
        <w:rPr>
          <w:rFonts w:ascii="Baskerville" w:hAnsi="Baskerville"/>
          <w:lang w:val="en-US"/>
        </w:rPr>
        <w:t xml:space="preserve"> </w:t>
      </w:r>
      <w:r w:rsidRPr="00D84C37">
        <w:rPr>
          <w:rFonts w:ascii="Baskerville" w:hAnsi="Baskerville"/>
          <w:lang w:val="en-US"/>
        </w:rPr>
        <w:t>examine the issues raised by that lack of consent.</w:t>
      </w:r>
      <w:r>
        <w:rPr>
          <w:rFonts w:ascii="Baskerville" w:hAnsi="Baskerville"/>
          <w:lang w:val="en-US"/>
        </w:rPr>
        <w:t>’</w:t>
      </w:r>
      <w:r>
        <w:rPr>
          <w:rStyle w:val="FootnoteReference"/>
          <w:rFonts w:ascii="Baskerville" w:hAnsi="Baskerville"/>
          <w:lang w:val="en-US"/>
        </w:rPr>
        <w:footnoteReference w:id="7"/>
      </w:r>
    </w:p>
    <w:p w14:paraId="6EDE5D1A" w14:textId="63A692C6" w:rsidR="005416C7" w:rsidRDefault="00C23408" w:rsidP="00D84C37">
      <w:pPr>
        <w:rPr>
          <w:rFonts w:ascii="Baskerville" w:hAnsi="Baskerville"/>
          <w:b/>
          <w:lang w:val="en-US"/>
        </w:rPr>
      </w:pPr>
      <w:r w:rsidRPr="00C23408">
        <w:rPr>
          <w:rFonts w:ascii="Baskerville" w:hAnsi="Baskerville"/>
          <w:b/>
          <w:lang w:val="en-US"/>
        </w:rPr>
        <w:t xml:space="preserve">  </w:t>
      </w:r>
    </w:p>
    <w:p w14:paraId="0859982A" w14:textId="4C4B7CC0" w:rsidR="005416C7" w:rsidRDefault="005416C7" w:rsidP="005416C7">
      <w:pPr>
        <w:rPr>
          <w:rFonts w:ascii="Baskerville" w:hAnsi="Baskerville"/>
          <w:lang w:val="en-US"/>
        </w:rPr>
      </w:pPr>
      <w:r w:rsidRPr="005416C7">
        <w:rPr>
          <w:rFonts w:ascii="Baskerville" w:hAnsi="Baskerville"/>
          <w:lang w:val="en-US"/>
        </w:rPr>
        <w:t>The Court first recalls that, pursuant to Article 2, paragraph 4, of</w:t>
      </w:r>
      <w:r>
        <w:rPr>
          <w:rFonts w:ascii="Baskerville" w:hAnsi="Baskerville"/>
          <w:lang w:val="en-US"/>
        </w:rPr>
        <w:t xml:space="preserve"> </w:t>
      </w:r>
      <w:r w:rsidRPr="005416C7">
        <w:rPr>
          <w:rFonts w:ascii="Baskerville" w:hAnsi="Baskerville"/>
          <w:lang w:val="en-US"/>
        </w:rPr>
        <w:t>the United Nations Charter:</w:t>
      </w:r>
      <w:r>
        <w:rPr>
          <w:rFonts w:ascii="Baskerville" w:hAnsi="Baskerville"/>
          <w:lang w:val="en-US"/>
        </w:rPr>
        <w:t xml:space="preserve"> “</w:t>
      </w:r>
      <w:r w:rsidRPr="005416C7">
        <w:rPr>
          <w:rFonts w:ascii="Baskerville" w:hAnsi="Baskerville"/>
          <w:lang w:val="en-US"/>
        </w:rPr>
        <w:t>All Members shall refrain in their international relations from</w:t>
      </w:r>
      <w:r>
        <w:rPr>
          <w:rFonts w:ascii="Baskerville" w:hAnsi="Baskerville"/>
          <w:lang w:val="en-US"/>
        </w:rPr>
        <w:t xml:space="preserve"> </w:t>
      </w:r>
      <w:r w:rsidRPr="005416C7">
        <w:rPr>
          <w:rFonts w:ascii="Baskerville" w:hAnsi="Baskerville"/>
          <w:lang w:val="en-US"/>
        </w:rPr>
        <w:t>the threat or use of force against the territorial integrity or political</w:t>
      </w:r>
      <w:r>
        <w:rPr>
          <w:rFonts w:ascii="Baskerville" w:hAnsi="Baskerville"/>
          <w:lang w:val="en-US"/>
        </w:rPr>
        <w:t xml:space="preserve"> </w:t>
      </w:r>
      <w:r w:rsidRPr="005416C7">
        <w:rPr>
          <w:rFonts w:ascii="Baskerville" w:hAnsi="Baskerville"/>
          <w:lang w:val="en-US"/>
        </w:rPr>
        <w:t>independence of</w:t>
      </w:r>
      <w:r>
        <w:rPr>
          <w:rFonts w:ascii="Baskerville" w:hAnsi="Baskerville"/>
          <w:lang w:val="en-US"/>
        </w:rPr>
        <w:t xml:space="preserve"> </w:t>
      </w:r>
      <w:r w:rsidRPr="005416C7">
        <w:rPr>
          <w:rFonts w:ascii="Baskerville" w:hAnsi="Baskerville"/>
          <w:lang w:val="en-US"/>
        </w:rPr>
        <w:t>any State, or in any other manner inconsistent with</w:t>
      </w:r>
      <w:r>
        <w:rPr>
          <w:rFonts w:ascii="Baskerville" w:hAnsi="Baskerville"/>
          <w:lang w:val="en-US"/>
        </w:rPr>
        <w:t xml:space="preserve"> </w:t>
      </w:r>
      <w:r w:rsidRPr="005416C7">
        <w:rPr>
          <w:rFonts w:ascii="Baskerville" w:hAnsi="Baskerville"/>
          <w:lang w:val="en-US"/>
        </w:rPr>
        <w:t>the Purposes of the United Nations.</w:t>
      </w:r>
      <w:r>
        <w:rPr>
          <w:rFonts w:ascii="Baskerville" w:hAnsi="Baskerville"/>
          <w:lang w:val="en-US"/>
        </w:rPr>
        <w:t>”</w:t>
      </w:r>
      <w:r w:rsidR="0014765B">
        <w:rPr>
          <w:rStyle w:val="FootnoteReference"/>
          <w:rFonts w:ascii="Baskerville" w:hAnsi="Baskerville"/>
          <w:lang w:val="en-US"/>
        </w:rPr>
        <w:footnoteReference w:id="8"/>
      </w:r>
    </w:p>
    <w:p w14:paraId="07477C91" w14:textId="77777777" w:rsidR="006F5D7B" w:rsidRDefault="006F5D7B" w:rsidP="005416C7">
      <w:pPr>
        <w:rPr>
          <w:rFonts w:ascii="Baskerville" w:hAnsi="Baskerville"/>
          <w:lang w:val="en-US"/>
        </w:rPr>
      </w:pPr>
    </w:p>
    <w:p w14:paraId="0E9B62F1" w14:textId="6BA142A8" w:rsidR="006F5D7B" w:rsidRDefault="006F5D7B" w:rsidP="006F5D7B">
      <w:pPr>
        <w:rPr>
          <w:rFonts w:ascii="Baskerville" w:hAnsi="Baskerville"/>
          <w:lang w:val="en-US"/>
        </w:rPr>
      </w:pPr>
      <w:r>
        <w:rPr>
          <w:rFonts w:ascii="Baskerville" w:hAnsi="Baskerville"/>
          <w:lang w:val="en-US"/>
        </w:rPr>
        <w:t>‘</w:t>
      </w:r>
      <w:r w:rsidRPr="006F5D7B">
        <w:rPr>
          <w:rFonts w:ascii="Baskerville" w:hAnsi="Baskerville"/>
          <w:lang w:val="en-US"/>
        </w:rPr>
        <w:t>During the eighteenth, nineteenth and early twentieth centuries, there were numerous instances of declarations of independence, often strenuously opposed by the State from which independence was being declared. Sometimes a declaration resulted in the creation of a new State, at others it did not. In no case, however, does the practice of States as a whole suggest that the act of promulgating the declaration was regarded as contrary to international law. On the contrary, State practice during this period points clearly to the conclus</w:t>
      </w:r>
      <w:r>
        <w:rPr>
          <w:rFonts w:ascii="Baskerville" w:hAnsi="Baskerville"/>
          <w:lang w:val="en-US"/>
        </w:rPr>
        <w:t>ion that international law con</w:t>
      </w:r>
      <w:r w:rsidRPr="006F5D7B">
        <w:rPr>
          <w:rFonts w:ascii="Baskerville" w:hAnsi="Baskerville"/>
          <w:lang w:val="en-US"/>
        </w:rPr>
        <w:t>tained no prohibition of declarations of independence. During the second half of the twentieth century, the international law of self-determination developed in such a way as to create a right to independence for the peoples of non-self-governing territories and peoples subject to alien subjugati</w:t>
      </w:r>
      <w:r>
        <w:rPr>
          <w:rFonts w:ascii="Baskerville" w:hAnsi="Baskerville"/>
          <w:lang w:val="en-US"/>
        </w:rPr>
        <w:t>on, domination and exploitation.’</w:t>
      </w:r>
      <w:r w:rsidR="00EC7A42">
        <w:rPr>
          <w:rStyle w:val="FootnoteReference"/>
          <w:rFonts w:ascii="Baskerville" w:hAnsi="Baskerville"/>
          <w:lang w:val="en-US"/>
        </w:rPr>
        <w:footnoteReference w:id="9"/>
      </w:r>
    </w:p>
    <w:p w14:paraId="69E3DC4E" w14:textId="77777777" w:rsidR="00D848E3" w:rsidRDefault="00D848E3" w:rsidP="006F5D7B">
      <w:pPr>
        <w:rPr>
          <w:rFonts w:ascii="Baskerville" w:hAnsi="Baskerville"/>
          <w:lang w:val="en-US"/>
        </w:rPr>
      </w:pPr>
    </w:p>
    <w:p w14:paraId="05DF3EBE" w14:textId="69B4B7EB" w:rsidR="00D848E3" w:rsidRPr="00D848E3" w:rsidRDefault="00D848E3" w:rsidP="00D848E3">
      <w:pPr>
        <w:rPr>
          <w:rFonts w:ascii="Baskerville" w:hAnsi="Baskerville"/>
          <w:lang w:val="en-US"/>
        </w:rPr>
      </w:pPr>
      <w:r>
        <w:rPr>
          <w:rFonts w:ascii="Baskerville" w:hAnsi="Baskerville"/>
          <w:lang w:val="en-US"/>
        </w:rPr>
        <w:t>Kosovo: ‘</w:t>
      </w:r>
      <w:r w:rsidRPr="00D848E3">
        <w:rPr>
          <w:rFonts w:ascii="Baskerville" w:hAnsi="Baskerville"/>
          <w:lang w:val="en-US"/>
        </w:rPr>
        <w:t>The declaration of independence reflects the awareness of its authors that the final status negotiations had failed and that a critical moment for the future of Kosovo had been reached. The preamble of the declaration refers to the “years of internationally-sponsored negotiations between Belgrade and Pristina over the question of our future political status” and expressly puts the declaration in the context of the failure of the final status negotiations, inasmuch as it states that “no mutually- acceptable status outcome was possible” (tenth and eleventh preambular paragraphs). Proceeding from there, the authors of the declaration of independence emphasize their determination to “resolve” the status of Kosovo and to give the people of Kosovo “clarity about their future” (thirteenth preambular paragraph). This language indicates that the authors of the declaration did not seek to act within the standard frame- work of interim self-administration of Kosovo, but aimed at establishing Kosovo “as an independent and sovereign</w:t>
      </w:r>
      <w:r>
        <w:rPr>
          <w:rFonts w:ascii="Baskerville" w:hAnsi="Baskerville"/>
          <w:lang w:val="en-US"/>
        </w:rPr>
        <w:t xml:space="preserve"> State” (para. 1). The declara</w:t>
      </w:r>
      <w:r w:rsidRPr="00D848E3">
        <w:rPr>
          <w:rFonts w:ascii="Baskerville" w:hAnsi="Baskerville"/>
          <w:lang w:val="en-US"/>
        </w:rPr>
        <w:t xml:space="preserve">tion of independence, therefore, was not intended by those who adopted it to take effect within the legal order created for the interim phase, </w:t>
      </w:r>
      <w:r>
        <w:rPr>
          <w:rFonts w:ascii="Baskerville" w:hAnsi="Baskerville"/>
          <w:lang w:val="en-US"/>
        </w:rPr>
        <w:t>nor was it capable of doing so.’</w:t>
      </w:r>
      <w:r w:rsidR="00942F48">
        <w:rPr>
          <w:rStyle w:val="FootnoteReference"/>
          <w:rFonts w:ascii="Baskerville" w:hAnsi="Baskerville"/>
          <w:lang w:val="en-US"/>
        </w:rPr>
        <w:footnoteReference w:id="10"/>
      </w:r>
    </w:p>
    <w:p w14:paraId="65879844" w14:textId="1DE9532E" w:rsidR="00D848E3" w:rsidRPr="006F5D7B" w:rsidRDefault="00D848E3" w:rsidP="006F5D7B">
      <w:pPr>
        <w:rPr>
          <w:rFonts w:ascii="Baskerville" w:hAnsi="Baskerville"/>
          <w:lang w:val="en-US"/>
        </w:rPr>
      </w:pPr>
    </w:p>
    <w:p w14:paraId="0C18C7E4" w14:textId="47153CC7" w:rsidR="006F5D7B" w:rsidRPr="005416C7" w:rsidRDefault="006F5D7B" w:rsidP="005416C7">
      <w:pPr>
        <w:rPr>
          <w:rFonts w:ascii="Baskerville" w:hAnsi="Baskerville"/>
          <w:lang w:val="en-US"/>
        </w:rPr>
      </w:pPr>
    </w:p>
    <w:p w14:paraId="7E0A1F13" w14:textId="77777777" w:rsidR="00C23408" w:rsidRPr="00C23408" w:rsidRDefault="00C23408" w:rsidP="00C23408">
      <w:pPr>
        <w:ind w:left="720"/>
        <w:rPr>
          <w:rFonts w:ascii="Baskerville" w:hAnsi="Baskerville"/>
          <w:b/>
          <w:lang w:val="en-US"/>
        </w:rPr>
      </w:pPr>
    </w:p>
    <w:p w14:paraId="764B0213" w14:textId="77777777" w:rsidR="00C23408" w:rsidRDefault="00C23408" w:rsidP="00C23408">
      <w:pPr>
        <w:numPr>
          <w:ilvl w:val="0"/>
          <w:numId w:val="1"/>
        </w:numPr>
        <w:rPr>
          <w:rFonts w:ascii="Baskerville" w:hAnsi="Baskerville"/>
          <w:b/>
          <w:lang w:val="en-US"/>
        </w:rPr>
      </w:pPr>
      <w:r w:rsidRPr="00C23408">
        <w:rPr>
          <w:rFonts w:ascii="Baskerville" w:hAnsi="Baskerville"/>
          <w:b/>
          <w:lang w:val="en-US"/>
        </w:rPr>
        <w:t>What role do non-state actors play in international law?  </w:t>
      </w:r>
    </w:p>
    <w:p w14:paraId="59235543" w14:textId="77777777" w:rsidR="00B45E04" w:rsidRDefault="00B45E04" w:rsidP="00B45E04">
      <w:pPr>
        <w:rPr>
          <w:rFonts w:ascii="Baskerville" w:hAnsi="Baskerville"/>
          <w:b/>
          <w:lang w:val="en-US"/>
        </w:rPr>
      </w:pPr>
    </w:p>
    <w:p w14:paraId="577B0127" w14:textId="77777777" w:rsidR="00B80D99" w:rsidRDefault="00B80D99" w:rsidP="00B80D99">
      <w:pPr>
        <w:rPr>
          <w:rFonts w:ascii="Baskerville" w:hAnsi="Baskerville"/>
        </w:rPr>
      </w:pPr>
      <w:r w:rsidRPr="00B80D99">
        <w:rPr>
          <w:rFonts w:ascii="Baskerville" w:hAnsi="Baskerville"/>
          <w:b/>
          <w:bCs/>
        </w:rPr>
        <w:t>Non</w:t>
      </w:r>
      <w:r w:rsidRPr="00B80D99">
        <w:rPr>
          <w:rFonts w:ascii="Baskerville" w:hAnsi="Baskerville"/>
        </w:rPr>
        <w:t>-</w:t>
      </w:r>
      <w:r w:rsidRPr="00B80D99">
        <w:rPr>
          <w:rFonts w:ascii="Baskerville" w:hAnsi="Baskerville"/>
          <w:b/>
          <w:bCs/>
        </w:rPr>
        <w:t>state actors</w:t>
      </w:r>
      <w:r w:rsidRPr="00B80D99">
        <w:rPr>
          <w:rFonts w:ascii="Baskerville" w:hAnsi="Baskerville"/>
        </w:rPr>
        <w:t> (NSA) are entities that participate or </w:t>
      </w:r>
      <w:r w:rsidRPr="00B80D99">
        <w:rPr>
          <w:rFonts w:ascii="Baskerville" w:hAnsi="Baskerville"/>
          <w:b/>
          <w:bCs/>
        </w:rPr>
        <w:t>act</w:t>
      </w:r>
      <w:r w:rsidRPr="00B80D99">
        <w:rPr>
          <w:rFonts w:ascii="Baskerville" w:hAnsi="Baskerville"/>
        </w:rPr>
        <w:t> in </w:t>
      </w:r>
      <w:r w:rsidRPr="00B80D99">
        <w:rPr>
          <w:rFonts w:ascii="Baskerville" w:hAnsi="Baskerville"/>
          <w:b/>
          <w:bCs/>
        </w:rPr>
        <w:t>international</w:t>
      </w:r>
      <w:r w:rsidRPr="00B80D99">
        <w:rPr>
          <w:rFonts w:ascii="Baskerville" w:hAnsi="Baskerville"/>
        </w:rPr>
        <w:t> relations. They are organizations with sufficient power to influence and cause a change even though they do not belong to any established institution of a </w:t>
      </w:r>
      <w:r w:rsidRPr="00B80D99">
        <w:rPr>
          <w:rFonts w:ascii="Baskerville" w:hAnsi="Baskerville"/>
          <w:b/>
          <w:bCs/>
        </w:rPr>
        <w:t>state</w:t>
      </w:r>
      <w:r w:rsidRPr="00B80D99">
        <w:rPr>
          <w:rFonts w:ascii="Baskerville" w:hAnsi="Baskerville"/>
        </w:rPr>
        <w:t>.</w:t>
      </w:r>
    </w:p>
    <w:p w14:paraId="369B59CF" w14:textId="77777777" w:rsidR="00530E21" w:rsidRDefault="00530E21" w:rsidP="00B80D99">
      <w:pPr>
        <w:rPr>
          <w:rFonts w:ascii="Baskerville" w:hAnsi="Baskerville"/>
        </w:rPr>
      </w:pPr>
    </w:p>
    <w:p w14:paraId="00D11F36" w14:textId="4CBADB88" w:rsidR="00530E21" w:rsidRPr="00B80D99" w:rsidRDefault="00530E21" w:rsidP="00B80D99">
      <w:pPr>
        <w:rPr>
          <w:rFonts w:ascii="Baskerville" w:hAnsi="Baskerville"/>
        </w:rPr>
      </w:pPr>
      <w:r w:rsidRPr="00530E21">
        <w:rPr>
          <w:rFonts w:ascii="Baskerville" w:hAnsi="Baskerville"/>
        </w:rPr>
        <w:t>One of the significant reasons for not endowing NSAs with legal personality in traditional state-centred international law is that the states would be reluctant to share their powers and authorities with NSAs. Furthermore, there is a fear of legitimizing the NSAs’ unlawful actions by recognizing their legal status and personality. This may in turn lead to the legitimization of their use of violence.</w:t>
      </w:r>
      <w:r>
        <w:rPr>
          <w:rStyle w:val="FootnoteReference"/>
          <w:rFonts w:ascii="Baskerville" w:hAnsi="Baskerville"/>
        </w:rPr>
        <w:footnoteReference w:id="11"/>
      </w:r>
    </w:p>
    <w:p w14:paraId="667457BA" w14:textId="77777777" w:rsidR="00B80D99" w:rsidRDefault="00B80D99" w:rsidP="00B418E2">
      <w:pPr>
        <w:rPr>
          <w:rFonts w:ascii="Baskerville" w:hAnsi="Baskerville"/>
          <w:lang w:val="en-US"/>
        </w:rPr>
      </w:pPr>
    </w:p>
    <w:p w14:paraId="34383221" w14:textId="18947379" w:rsidR="00B418E2" w:rsidRDefault="00B45E04" w:rsidP="00B418E2">
      <w:pPr>
        <w:rPr>
          <w:rFonts w:ascii="Baskerville" w:hAnsi="Baskerville"/>
        </w:rPr>
      </w:pPr>
      <w:r>
        <w:rPr>
          <w:rFonts w:ascii="Baskerville" w:hAnsi="Baskerville"/>
          <w:lang w:val="en-US"/>
        </w:rPr>
        <w:t xml:space="preserve">ISIS is a </w:t>
      </w:r>
      <w:r w:rsidR="0044281A">
        <w:rPr>
          <w:rFonts w:ascii="Baskerville" w:hAnsi="Baskerville"/>
          <w:lang w:val="en-US"/>
        </w:rPr>
        <w:t xml:space="preserve">violent </w:t>
      </w:r>
      <w:r>
        <w:rPr>
          <w:rFonts w:ascii="Baskerville" w:hAnsi="Baskerville"/>
          <w:lang w:val="en-US"/>
        </w:rPr>
        <w:t>non-state actor in international law. The debate a</w:t>
      </w:r>
      <w:r w:rsidR="005F7B0C">
        <w:rPr>
          <w:rFonts w:ascii="Baskerville" w:hAnsi="Baskerville"/>
          <w:lang w:val="en-US"/>
        </w:rPr>
        <w:t xml:space="preserve">s to </w:t>
      </w:r>
      <w:r>
        <w:rPr>
          <w:rFonts w:ascii="Baskerville" w:hAnsi="Baskerville"/>
          <w:lang w:val="en-US"/>
        </w:rPr>
        <w:t xml:space="preserve">whether there is therefore a right to self-defence </w:t>
      </w:r>
      <w:r w:rsidR="004E777D">
        <w:rPr>
          <w:rFonts w:ascii="Baskerville" w:hAnsi="Baskerville"/>
          <w:lang w:val="en-US"/>
        </w:rPr>
        <w:t>against ISIS is ongoing.</w:t>
      </w:r>
      <w:r w:rsidR="00B418E2">
        <w:rPr>
          <w:rFonts w:ascii="Baskerville" w:hAnsi="Baskerville"/>
          <w:lang w:val="en-US"/>
        </w:rPr>
        <w:t xml:space="preserve"> </w:t>
      </w:r>
      <w:r w:rsidR="00B418E2">
        <w:rPr>
          <w:rFonts w:ascii="Baskerville" w:hAnsi="Baskerville"/>
        </w:rPr>
        <w:t>T</w:t>
      </w:r>
      <w:r w:rsidR="00B418E2" w:rsidRPr="00B418E2">
        <w:rPr>
          <w:rFonts w:ascii="Baskerville" w:hAnsi="Baskerville"/>
        </w:rPr>
        <w:t>he military interventions in Syria raise the question whether a right to self-defence against a non-state actor exists. Several states acting militarily in Syria have not been attacked by IS. Thus, the second question raised by the military actions in Syria is whether there is a right to self-defence in response to an armed attack that has not happened.</w:t>
      </w:r>
    </w:p>
    <w:p w14:paraId="74FDD160" w14:textId="77777777" w:rsidR="00A52116" w:rsidRDefault="00A52116" w:rsidP="00B418E2">
      <w:pPr>
        <w:rPr>
          <w:rFonts w:ascii="Baskerville" w:hAnsi="Baskerville"/>
        </w:rPr>
      </w:pPr>
    </w:p>
    <w:p w14:paraId="7D560CA5" w14:textId="77777777" w:rsidR="000D1D9E" w:rsidRDefault="00A52116" w:rsidP="00B418E2">
      <w:pPr>
        <w:rPr>
          <w:rFonts w:ascii="Baskerville" w:hAnsi="Baskerville"/>
        </w:rPr>
      </w:pPr>
      <w:r w:rsidRPr="00A52116">
        <w:rPr>
          <w:rFonts w:ascii="Baskerville" w:hAnsi="Baskerville"/>
        </w:rPr>
        <w:t>Some have argued that the ICJ performs as the judicial enforcement apparatus of international law and also may exercise the judicial review power over the other organs of the UN. To provide the ICJ with jurisdiction over disputes arising from UN instruments and over disputes between states is plausible. However, its jurisdiction is limited does not yet have a general jurisdiction to review the actions, decisions, or regulations made organs of the UN such as the Security Council or to hear and determine complaints from individuals, groups, and NSAs against states or other NSAs.</w:t>
      </w:r>
      <w:r w:rsidR="00A60F99">
        <w:rPr>
          <w:rFonts w:ascii="Baskerville" w:hAnsi="Baskerville"/>
        </w:rPr>
        <w:t xml:space="preserve"> </w:t>
      </w:r>
    </w:p>
    <w:p w14:paraId="7524974E" w14:textId="77777777" w:rsidR="000D1D9E" w:rsidRDefault="000D1D9E" w:rsidP="00B418E2">
      <w:pPr>
        <w:rPr>
          <w:rFonts w:ascii="Baskerville" w:hAnsi="Baskerville"/>
        </w:rPr>
      </w:pPr>
    </w:p>
    <w:p w14:paraId="19E2DD8D" w14:textId="06ADF2C7" w:rsidR="00A60F99" w:rsidRPr="00B418E2" w:rsidRDefault="00A60F99" w:rsidP="00B418E2">
      <w:pPr>
        <w:rPr>
          <w:rFonts w:ascii="Baskerville" w:hAnsi="Baskerville"/>
        </w:rPr>
      </w:pPr>
      <w:r w:rsidRPr="00A60F99">
        <w:rPr>
          <w:rFonts w:ascii="Baskerville" w:hAnsi="Baskerville"/>
        </w:rPr>
        <w:t>NSAs have both negative and positive functions. To benefit from the emergence of NSAs and to avoid their negative impacts, I</w:t>
      </w:r>
      <w:r w:rsidR="00424290">
        <w:rPr>
          <w:rFonts w:ascii="Baskerville" w:hAnsi="Baskerville"/>
        </w:rPr>
        <w:t xml:space="preserve">nternational </w:t>
      </w:r>
      <w:r w:rsidRPr="00A60F99">
        <w:rPr>
          <w:rFonts w:ascii="Baskerville" w:hAnsi="Baskerville"/>
        </w:rPr>
        <w:t>R</w:t>
      </w:r>
      <w:r w:rsidR="00424290">
        <w:rPr>
          <w:rFonts w:ascii="Baskerville" w:hAnsi="Baskerville"/>
        </w:rPr>
        <w:t xml:space="preserve">ule of </w:t>
      </w:r>
      <w:r w:rsidRPr="00A60F99">
        <w:rPr>
          <w:rFonts w:ascii="Baskerville" w:hAnsi="Baskerville"/>
        </w:rPr>
        <w:t>L</w:t>
      </w:r>
      <w:r w:rsidR="00424290">
        <w:rPr>
          <w:rFonts w:ascii="Baskerville" w:hAnsi="Baskerville"/>
        </w:rPr>
        <w:t>aw</w:t>
      </w:r>
      <w:r w:rsidRPr="00A60F99">
        <w:rPr>
          <w:rFonts w:ascii="Baskerville" w:hAnsi="Baskerville"/>
        </w:rPr>
        <w:t xml:space="preserve"> principles should regulate NSA behaviour just as traditional internati</w:t>
      </w:r>
      <w:bookmarkStart w:id="0" w:name="_GoBack"/>
      <w:bookmarkEnd w:id="0"/>
      <w:r w:rsidRPr="00A60F99">
        <w:rPr>
          <w:rFonts w:ascii="Baskerville" w:hAnsi="Baskerville"/>
        </w:rPr>
        <w:t>onal laws have governed the operation of states.</w:t>
      </w:r>
    </w:p>
    <w:p w14:paraId="126E6297" w14:textId="77777777" w:rsidR="00976A05" w:rsidRDefault="00976A05" w:rsidP="00B45E04">
      <w:pPr>
        <w:rPr>
          <w:rFonts w:ascii="Baskerville" w:hAnsi="Baskerville"/>
          <w:lang w:val="en-US"/>
        </w:rPr>
      </w:pPr>
    </w:p>
    <w:p w14:paraId="2235D127" w14:textId="21C97326" w:rsidR="00976A05" w:rsidRDefault="00136B41" w:rsidP="00976A05">
      <w:pPr>
        <w:rPr>
          <w:rFonts w:ascii="Baskerville" w:hAnsi="Baskerville"/>
        </w:rPr>
      </w:pPr>
      <w:r>
        <w:rPr>
          <w:rFonts w:ascii="Baskerville" w:hAnsi="Baskerville"/>
        </w:rPr>
        <w:t>‘</w:t>
      </w:r>
      <w:r w:rsidR="00976A05" w:rsidRPr="00976A05">
        <w:rPr>
          <w:rFonts w:ascii="Baskerville" w:hAnsi="Baskerville"/>
        </w:rPr>
        <w:t>The UN Charter and other regional defensive treaties do not envisage military defence against attacks committed by non-state actors. On the other hand, they do not exclude them. Could the state that is victim of an armed attack exercise its right to self-defence against a non-state actor, like IS, author of the attack? The ICJ has clearly stated that the Charter only ‘recognizes the existence of an inherent right of self-defence in the case of armed attack by one State against another State’ (</w:t>
      </w:r>
      <w:r w:rsidR="00976A05" w:rsidRPr="00976A05">
        <w:rPr>
          <w:rFonts w:ascii="Baskerville" w:hAnsi="Baskerville"/>
          <w:i/>
          <w:iCs/>
        </w:rPr>
        <w:t>Legal Consequences of the Construction of a Wall in the Occupied Palestinian Territory, </w:t>
      </w:r>
      <w:r w:rsidR="00976A05" w:rsidRPr="00976A05">
        <w:rPr>
          <w:rFonts w:ascii="Baskerville" w:hAnsi="Baskerville"/>
        </w:rPr>
        <w:t>ICJ Rep 2004 para 139). In another case, it declined to elaborate on whether actions by non-state actors would constitute an armed attack that would trigger an armed defensive response (</w:t>
      </w:r>
      <w:r w:rsidR="00976A05" w:rsidRPr="00976A05">
        <w:rPr>
          <w:rFonts w:ascii="Baskerville" w:hAnsi="Baskerville"/>
          <w:i/>
          <w:iCs/>
        </w:rPr>
        <w:t>Case Concerning Armed Activities on the Territory of the Congo (Democratic Republic of the Congo v. Uganda), </w:t>
      </w:r>
      <w:r w:rsidR="00976A05" w:rsidRPr="00976A05">
        <w:rPr>
          <w:rFonts w:ascii="Baskerville" w:hAnsi="Baskerville"/>
        </w:rPr>
        <w:t xml:space="preserve">ICJ Rep 2005 para 147). </w:t>
      </w:r>
    </w:p>
    <w:p w14:paraId="3C3C93A2" w14:textId="77777777" w:rsidR="00976A05" w:rsidRDefault="00976A05" w:rsidP="00976A05">
      <w:pPr>
        <w:rPr>
          <w:rFonts w:ascii="Baskerville" w:hAnsi="Baskerville"/>
        </w:rPr>
      </w:pPr>
    </w:p>
    <w:p w14:paraId="3A927606" w14:textId="1AA75780" w:rsidR="00976A05" w:rsidRPr="00976A05" w:rsidRDefault="00976A05" w:rsidP="00976A05">
      <w:pPr>
        <w:rPr>
          <w:rFonts w:ascii="Baskerville" w:hAnsi="Baskerville"/>
        </w:rPr>
      </w:pPr>
      <w:r w:rsidRPr="00976A05">
        <w:rPr>
          <w:rFonts w:ascii="Baskerville" w:hAnsi="Baskerville"/>
        </w:rPr>
        <w:t>States, and in particular the United States and Israel, have sometimes used force against non-state actors. After the defeat of the Taliban regime in November 2001, action in self-defence on the part of the United States and its allies was no longer directed against the state of Afghanistan that was not governed by the Taliban anymore, but directly against the Taliban forces and the Al-Qaeda terrorist organisation.</w:t>
      </w:r>
      <w:r w:rsidR="00136B41">
        <w:rPr>
          <w:rFonts w:ascii="Baskerville" w:hAnsi="Baskerville"/>
        </w:rPr>
        <w:t>’ (Couzigou)</w:t>
      </w:r>
      <w:r w:rsidRPr="00976A05">
        <w:rPr>
          <w:rFonts w:ascii="Baskerville" w:hAnsi="Baskerville"/>
        </w:rPr>
        <w:t> </w:t>
      </w:r>
    </w:p>
    <w:p w14:paraId="593A3100" w14:textId="77777777" w:rsidR="00C23408" w:rsidRDefault="00C23408" w:rsidP="00C23408">
      <w:pPr>
        <w:rPr>
          <w:rFonts w:ascii="Baskerville" w:hAnsi="Baskerville"/>
          <w:b/>
          <w:lang w:val="en-US"/>
        </w:rPr>
      </w:pPr>
    </w:p>
    <w:p w14:paraId="655717D5" w14:textId="14FCD4A6" w:rsidR="00C23408" w:rsidRPr="00C23408" w:rsidRDefault="005E57AB" w:rsidP="00C23408">
      <w:pPr>
        <w:rPr>
          <w:rFonts w:ascii="Baskerville" w:hAnsi="Baskerville"/>
          <w:lang w:val="en-US"/>
        </w:rPr>
      </w:pPr>
      <w:hyperlink r:id="rId8" w:history="1">
        <w:r w:rsidR="00C23408" w:rsidRPr="009B091F">
          <w:rPr>
            <w:rStyle w:val="Hyperlink"/>
            <w:rFonts w:ascii="Baskerville" w:hAnsi="Baskerville"/>
            <w:lang w:val="en-US"/>
          </w:rPr>
          <w:t>https://christopherolsenreviews.wordpress.com/2016/09/29/is-there-a-right-to-self-defence-against-isis/</w:t>
        </w:r>
      </w:hyperlink>
      <w:r w:rsidR="00C23408">
        <w:rPr>
          <w:rFonts w:ascii="Baskerville" w:hAnsi="Baskerville"/>
          <w:lang w:val="en-US"/>
        </w:rPr>
        <w:t xml:space="preserve"> </w:t>
      </w:r>
    </w:p>
    <w:p w14:paraId="5FEAECF8" w14:textId="77777777" w:rsidR="00C23408" w:rsidRPr="00C23408" w:rsidRDefault="00C23408" w:rsidP="00C23408">
      <w:pPr>
        <w:rPr>
          <w:rFonts w:ascii="Baskerville" w:hAnsi="Baskerville"/>
          <w:u w:val="single"/>
        </w:rPr>
      </w:pPr>
    </w:p>
    <w:p w14:paraId="5291CE2B" w14:textId="77777777" w:rsidR="00C23408" w:rsidRPr="00990511" w:rsidRDefault="00C23408" w:rsidP="00C23408">
      <w:pPr>
        <w:rPr>
          <w:rFonts w:ascii="Baskerville" w:hAnsi="Baskerville"/>
          <w:sz w:val="32"/>
          <w:szCs w:val="32"/>
          <w:u w:val="single"/>
        </w:rPr>
      </w:pPr>
    </w:p>
    <w:sectPr w:rsidR="00C23408" w:rsidRPr="00990511" w:rsidSect="00990511">
      <w:headerReference w:type="default" r:id="rId9"/>
      <w:footerReference w:type="even" r:id="rId10"/>
      <w:footerReference w:type="default" r:id="rId11"/>
      <w:pgSz w:w="11900" w:h="16840"/>
      <w:pgMar w:top="1134"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42123D" w14:textId="77777777" w:rsidR="00530E21" w:rsidRDefault="00530E21" w:rsidP="00990511">
      <w:r>
        <w:separator/>
      </w:r>
    </w:p>
  </w:endnote>
  <w:endnote w:type="continuationSeparator" w:id="0">
    <w:p w14:paraId="70B34B6D" w14:textId="77777777" w:rsidR="00530E21" w:rsidRDefault="00530E21" w:rsidP="00990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Baskerville">
    <w:panose1 w:val="02020502070401020303"/>
    <w:charset w:val="00"/>
    <w:family w:val="auto"/>
    <w:pitch w:val="variable"/>
    <w:sig w:usb0="80000067" w:usb1="00000000"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1229D2" w14:textId="77777777" w:rsidR="00530E21" w:rsidRDefault="00530E21" w:rsidP="00B45E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4D8A395" w14:textId="77777777" w:rsidR="00530E21" w:rsidRDefault="00530E2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DB3E05" w14:textId="77777777" w:rsidR="00530E21" w:rsidRPr="009D3E6C" w:rsidRDefault="00530E21" w:rsidP="00B45E04">
    <w:pPr>
      <w:pStyle w:val="Footer"/>
      <w:framePr w:wrap="around" w:vAnchor="text" w:hAnchor="margin" w:xAlign="center" w:y="1"/>
      <w:rPr>
        <w:rStyle w:val="PageNumber"/>
        <w:rFonts w:ascii="Baskerville" w:hAnsi="Baskerville"/>
      </w:rPr>
    </w:pPr>
    <w:r w:rsidRPr="009D3E6C">
      <w:rPr>
        <w:rStyle w:val="PageNumber"/>
        <w:rFonts w:ascii="Baskerville" w:hAnsi="Baskerville"/>
      </w:rPr>
      <w:fldChar w:fldCharType="begin"/>
    </w:r>
    <w:r w:rsidRPr="009D3E6C">
      <w:rPr>
        <w:rStyle w:val="PageNumber"/>
        <w:rFonts w:ascii="Baskerville" w:hAnsi="Baskerville"/>
      </w:rPr>
      <w:instrText xml:space="preserve">PAGE  </w:instrText>
    </w:r>
    <w:r w:rsidRPr="009D3E6C">
      <w:rPr>
        <w:rStyle w:val="PageNumber"/>
        <w:rFonts w:ascii="Baskerville" w:hAnsi="Baskerville"/>
      </w:rPr>
      <w:fldChar w:fldCharType="separate"/>
    </w:r>
    <w:r w:rsidR="00424290">
      <w:rPr>
        <w:rStyle w:val="PageNumber"/>
        <w:rFonts w:ascii="Baskerville" w:hAnsi="Baskerville"/>
        <w:noProof/>
      </w:rPr>
      <w:t>1</w:t>
    </w:r>
    <w:r w:rsidRPr="009D3E6C">
      <w:rPr>
        <w:rStyle w:val="PageNumber"/>
        <w:rFonts w:ascii="Baskerville" w:hAnsi="Baskerville"/>
      </w:rPr>
      <w:fldChar w:fldCharType="end"/>
    </w:r>
  </w:p>
  <w:p w14:paraId="37421BDE" w14:textId="77777777" w:rsidR="00530E21" w:rsidRDefault="00530E2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A114CE" w14:textId="77777777" w:rsidR="00530E21" w:rsidRDefault="00530E21" w:rsidP="00990511">
      <w:r>
        <w:separator/>
      </w:r>
    </w:p>
  </w:footnote>
  <w:footnote w:type="continuationSeparator" w:id="0">
    <w:p w14:paraId="7A89CB09" w14:textId="77777777" w:rsidR="00530E21" w:rsidRDefault="00530E21" w:rsidP="00990511">
      <w:r>
        <w:continuationSeparator/>
      </w:r>
    </w:p>
  </w:footnote>
  <w:footnote w:id="1">
    <w:p w14:paraId="5CFE6E10" w14:textId="18571F9F" w:rsidR="00530E21" w:rsidRPr="00287AC2" w:rsidRDefault="00530E21" w:rsidP="00287AC2">
      <w:pPr>
        <w:pStyle w:val="FootnoteText"/>
        <w:rPr>
          <w:rFonts w:ascii="Baskerville" w:hAnsi="Baskerville"/>
        </w:rPr>
      </w:pPr>
      <w:r w:rsidRPr="00287AC2">
        <w:rPr>
          <w:rStyle w:val="FootnoteReference"/>
          <w:rFonts w:ascii="Baskerville" w:hAnsi="Baskerville"/>
        </w:rPr>
        <w:footnoteRef/>
      </w:r>
      <w:r w:rsidRPr="00287AC2">
        <w:rPr>
          <w:rFonts w:ascii="Baskerville" w:hAnsi="Baskerville"/>
        </w:rPr>
        <w:t xml:space="preserve"> </w:t>
      </w:r>
      <w:r>
        <w:rPr>
          <w:rFonts w:ascii="Baskerville" w:hAnsi="Baskerville"/>
          <w:sz w:val="22"/>
        </w:rPr>
        <w:t>J</w:t>
      </w:r>
      <w:r w:rsidRPr="00287AC2">
        <w:rPr>
          <w:rFonts w:ascii="Baskerville" w:hAnsi="Baskerville"/>
          <w:sz w:val="22"/>
        </w:rPr>
        <w:t xml:space="preserve">ames </w:t>
      </w:r>
      <w:r>
        <w:rPr>
          <w:rFonts w:ascii="Baskerville" w:hAnsi="Baskerville"/>
          <w:sz w:val="22"/>
        </w:rPr>
        <w:t>C</w:t>
      </w:r>
      <w:r w:rsidRPr="00287AC2">
        <w:rPr>
          <w:rFonts w:ascii="Baskerville" w:hAnsi="Baskerville"/>
          <w:sz w:val="22"/>
        </w:rPr>
        <w:t>rawford</w:t>
      </w:r>
      <w:r w:rsidRPr="00287AC2">
        <w:rPr>
          <w:rFonts w:ascii="Baskerville" w:hAnsi="Baskerville"/>
        </w:rPr>
        <w:t xml:space="preserve">, </w:t>
      </w:r>
      <w:r w:rsidRPr="00287AC2">
        <w:rPr>
          <w:rFonts w:ascii="Baskerville" w:hAnsi="Baskerville"/>
          <w:i/>
        </w:rPr>
        <w:t>The Creation of States in International Law</w:t>
      </w:r>
      <w:r w:rsidRPr="00287AC2">
        <w:rPr>
          <w:rFonts w:ascii="Baskerville" w:hAnsi="Baskerville"/>
        </w:rPr>
        <w:t xml:space="preserve"> 31 n.1, </w:t>
      </w:r>
      <w:r>
        <w:rPr>
          <w:rFonts w:ascii="Baskerville" w:hAnsi="Baskerville"/>
        </w:rPr>
        <w:t xml:space="preserve">at </w:t>
      </w:r>
      <w:r w:rsidRPr="00287AC2">
        <w:rPr>
          <w:rFonts w:ascii="Baskerville" w:hAnsi="Baskerville"/>
        </w:rPr>
        <w:t>3</w:t>
      </w:r>
      <w:r>
        <w:rPr>
          <w:rFonts w:ascii="Baskerville" w:hAnsi="Baskerville"/>
        </w:rPr>
        <w:t>6</w:t>
      </w:r>
      <w:r w:rsidRPr="00287AC2">
        <w:rPr>
          <w:rFonts w:ascii="Baskerville" w:hAnsi="Baskerville"/>
        </w:rPr>
        <w:t xml:space="preserve"> (1979).</w:t>
      </w:r>
    </w:p>
  </w:footnote>
  <w:footnote w:id="2">
    <w:p w14:paraId="7C7DC835" w14:textId="514A7D5C" w:rsidR="00530E21" w:rsidRPr="00C66CD9" w:rsidRDefault="00530E21">
      <w:pPr>
        <w:pStyle w:val="FootnoteText"/>
        <w:rPr>
          <w:rFonts w:ascii="Baskerville" w:hAnsi="Baskerville"/>
          <w:lang w:val="en-US"/>
        </w:rPr>
      </w:pPr>
      <w:r w:rsidRPr="00C66CD9">
        <w:rPr>
          <w:rStyle w:val="FootnoteReference"/>
          <w:rFonts w:ascii="Baskerville" w:hAnsi="Baskerville"/>
        </w:rPr>
        <w:footnoteRef/>
      </w:r>
      <w:r w:rsidRPr="00C66CD9">
        <w:rPr>
          <w:rFonts w:ascii="Baskerville" w:hAnsi="Baskerville"/>
        </w:rPr>
        <w:t xml:space="preserve"> </w:t>
      </w:r>
      <w:r w:rsidRPr="00C66CD9">
        <w:rPr>
          <w:rFonts w:ascii="Baskerville" w:hAnsi="Baskerville"/>
          <w:lang w:val="en-US"/>
        </w:rPr>
        <w:t xml:space="preserve">Oppenheim (1st edn), vol 1, 264, §209(1); cf Erich (1926) 13 </w:t>
      </w:r>
      <w:r w:rsidRPr="00C66CD9">
        <w:rPr>
          <w:rFonts w:ascii="Baskerville" w:hAnsi="Baskerville"/>
          <w:i/>
          <w:iCs/>
          <w:lang w:val="en-US"/>
        </w:rPr>
        <w:t xml:space="preserve">HR </w:t>
      </w:r>
      <w:r w:rsidRPr="00C66CD9">
        <w:rPr>
          <w:rFonts w:ascii="Baskerville" w:hAnsi="Baskerville"/>
          <w:lang w:val="en-US"/>
        </w:rPr>
        <w:t xml:space="preserve">427, 442; Jones (1935) 16 </w:t>
      </w:r>
      <w:r w:rsidRPr="00C66CD9">
        <w:rPr>
          <w:rFonts w:ascii="Baskerville" w:hAnsi="Baskerville"/>
          <w:i/>
          <w:iCs/>
          <w:lang w:val="en-US"/>
        </w:rPr>
        <w:t xml:space="preserve">BY </w:t>
      </w:r>
      <w:r w:rsidRPr="00C66CD9">
        <w:rPr>
          <w:rFonts w:ascii="Baskerville" w:hAnsi="Baskerville"/>
          <w:lang w:val="en-US"/>
        </w:rPr>
        <w:t xml:space="preserve">5, 15–16; Marston (1969) 18 </w:t>
      </w:r>
      <w:r w:rsidRPr="00C66CD9">
        <w:rPr>
          <w:rFonts w:ascii="Baskerville" w:hAnsi="Baskerville"/>
          <w:i/>
          <w:iCs/>
          <w:lang w:val="en-US"/>
        </w:rPr>
        <w:t xml:space="preserve">ICLQ </w:t>
      </w:r>
      <w:r w:rsidRPr="00C66CD9">
        <w:rPr>
          <w:rFonts w:ascii="Baskerville" w:hAnsi="Baskerville"/>
          <w:lang w:val="en-US"/>
        </w:rPr>
        <w:t xml:space="preserve">1, 33; Arangio-Ruiz (1975–6) 26 </w:t>
      </w:r>
      <w:r w:rsidRPr="00C66CD9">
        <w:rPr>
          <w:rFonts w:ascii="Baskerville" w:hAnsi="Baskerville"/>
          <w:i/>
          <w:iCs/>
          <w:lang w:val="en-US"/>
        </w:rPr>
        <w:t xml:space="preserve">OzföR </w:t>
      </w:r>
      <w:r w:rsidRPr="00C66CD9">
        <w:rPr>
          <w:rFonts w:ascii="Baskerville" w:hAnsi="Baskerville"/>
          <w:lang w:val="en-US"/>
        </w:rPr>
        <w:t xml:space="preserve">265, 284–5, 332. See also the formulation in Willoughby, </w:t>
      </w:r>
      <w:r w:rsidRPr="00C66CD9">
        <w:rPr>
          <w:rFonts w:ascii="Baskerville" w:hAnsi="Baskerville"/>
          <w:i/>
          <w:iCs/>
          <w:lang w:val="en-US"/>
        </w:rPr>
        <w:t>Nature of the State</w:t>
      </w:r>
      <w:r w:rsidRPr="00C66CD9">
        <w:rPr>
          <w:rFonts w:ascii="Baskerville" w:hAnsi="Baskerville"/>
          <w:lang w:val="en-US"/>
        </w:rPr>
        <w:t>, 195: ‘Sovereignty, upon which all legality depends, is itself a question of fact, and not of law.’ See also Oppenheim (8th edn), vol 1, 544, §209; and the somewhat different formulation in Oppenheim</w:t>
      </w:r>
      <w:r>
        <w:rPr>
          <w:rFonts w:ascii="Baskerville" w:hAnsi="Baskerville"/>
          <w:lang w:val="en-US"/>
        </w:rPr>
        <w:t xml:space="preserve"> (9th edn), vol 1, 120–3, §34. </w:t>
      </w:r>
    </w:p>
  </w:footnote>
  <w:footnote w:id="3">
    <w:p w14:paraId="7AB2F990" w14:textId="1A1F6AA5" w:rsidR="00530E21" w:rsidRPr="0089021F" w:rsidRDefault="00530E21" w:rsidP="0089021F">
      <w:pPr>
        <w:pStyle w:val="FootnoteText"/>
        <w:rPr>
          <w:rFonts w:ascii="Baskerville" w:hAnsi="Baskerville"/>
          <w:lang w:val="en-US"/>
        </w:rPr>
      </w:pPr>
      <w:r w:rsidRPr="0089021F">
        <w:rPr>
          <w:rStyle w:val="FootnoteReference"/>
          <w:rFonts w:ascii="Baskerville" w:hAnsi="Baskerville"/>
        </w:rPr>
        <w:footnoteRef/>
      </w:r>
      <w:r w:rsidRPr="0089021F">
        <w:rPr>
          <w:rFonts w:ascii="Baskerville" w:hAnsi="Baskerville"/>
        </w:rPr>
        <w:t xml:space="preserve"> </w:t>
      </w:r>
      <w:r w:rsidRPr="0089021F">
        <w:rPr>
          <w:rFonts w:ascii="Baskerville" w:hAnsi="Baskerville"/>
          <w:lang w:val="en-US"/>
        </w:rPr>
        <w:t>Cf</w:t>
      </w:r>
      <w:r>
        <w:rPr>
          <w:rFonts w:ascii="Baskerville" w:hAnsi="Baskerville"/>
          <w:lang w:val="en-US"/>
        </w:rPr>
        <w:t xml:space="preserve">. </w:t>
      </w:r>
      <w:r w:rsidRPr="0089021F">
        <w:rPr>
          <w:rFonts w:ascii="Baskerville" w:hAnsi="Baskerville"/>
          <w:lang w:val="en-US"/>
        </w:rPr>
        <w:t>Chen,</w:t>
      </w:r>
      <w:r>
        <w:rPr>
          <w:rFonts w:ascii="Baskerville" w:hAnsi="Baskerville"/>
          <w:lang w:val="en-US"/>
        </w:rPr>
        <w:t xml:space="preserve"> </w:t>
      </w:r>
      <w:r w:rsidRPr="0089021F">
        <w:rPr>
          <w:rFonts w:ascii="Baskerville" w:hAnsi="Baskerville"/>
          <w:i/>
          <w:iCs/>
          <w:lang w:val="en-US"/>
        </w:rPr>
        <w:t>Recognition</w:t>
      </w:r>
      <w:r w:rsidRPr="0089021F">
        <w:rPr>
          <w:rFonts w:ascii="Baskerville" w:hAnsi="Baskerville"/>
          <w:lang w:val="en-US"/>
        </w:rPr>
        <w:t>,</w:t>
      </w:r>
      <w:r>
        <w:rPr>
          <w:rFonts w:ascii="Baskerville" w:hAnsi="Baskerville"/>
          <w:lang w:val="en-US"/>
        </w:rPr>
        <w:t xml:space="preserve"> </w:t>
      </w:r>
      <w:r w:rsidRPr="0089021F">
        <w:rPr>
          <w:rFonts w:ascii="Baskerville" w:hAnsi="Baskerville"/>
          <w:lang w:val="en-US"/>
        </w:rPr>
        <w:t>38</w:t>
      </w:r>
      <w:r>
        <w:rPr>
          <w:rFonts w:ascii="Baskerville" w:hAnsi="Baskerville"/>
          <w:lang w:val="en-US"/>
        </w:rPr>
        <w:t xml:space="preserve">. </w:t>
      </w:r>
      <w:r w:rsidRPr="0089021F">
        <w:rPr>
          <w:rFonts w:ascii="Baskerville" w:hAnsi="Baskerville"/>
          <w:lang w:val="en-US"/>
        </w:rPr>
        <w:t>This</w:t>
      </w:r>
      <w:r>
        <w:rPr>
          <w:rFonts w:ascii="Baskerville" w:hAnsi="Baskerville"/>
          <w:lang w:val="en-US"/>
        </w:rPr>
        <w:t xml:space="preserve"> </w:t>
      </w:r>
      <w:r w:rsidRPr="0089021F">
        <w:rPr>
          <w:rFonts w:ascii="Baskerville" w:hAnsi="Baskerville"/>
          <w:lang w:val="en-US"/>
        </w:rPr>
        <w:t>proposition</w:t>
      </w:r>
      <w:r>
        <w:rPr>
          <w:rFonts w:ascii="Baskerville" w:hAnsi="Baskerville"/>
          <w:lang w:val="en-US"/>
        </w:rPr>
        <w:t xml:space="preserve"> </w:t>
      </w:r>
      <w:r w:rsidRPr="0089021F">
        <w:rPr>
          <w:rFonts w:ascii="Baskerville" w:hAnsi="Baskerville"/>
          <w:lang w:val="en-US"/>
        </w:rPr>
        <w:t>is</w:t>
      </w:r>
      <w:r>
        <w:rPr>
          <w:rFonts w:ascii="Baskerville" w:hAnsi="Baskerville"/>
          <w:lang w:val="en-US"/>
        </w:rPr>
        <w:t xml:space="preserve"> </w:t>
      </w:r>
      <w:r w:rsidRPr="0089021F">
        <w:rPr>
          <w:rFonts w:ascii="Baskerville" w:hAnsi="Baskerville"/>
          <w:lang w:val="en-US"/>
        </w:rPr>
        <w:t>a</w:t>
      </w:r>
      <w:r>
        <w:rPr>
          <w:rFonts w:ascii="Baskerville" w:hAnsi="Baskerville"/>
          <w:lang w:val="en-US"/>
        </w:rPr>
        <w:t xml:space="preserve"> </w:t>
      </w:r>
      <w:r w:rsidRPr="0089021F">
        <w:rPr>
          <w:rFonts w:ascii="Baskerville" w:hAnsi="Baskerville"/>
          <w:lang w:val="en-US"/>
        </w:rPr>
        <w:t>t</w:t>
      </w:r>
      <w:r>
        <w:rPr>
          <w:rFonts w:ascii="Baskerville" w:hAnsi="Baskerville"/>
          <w:lang w:val="en-US"/>
        </w:rPr>
        <w:t>au</w:t>
      </w:r>
      <w:r w:rsidRPr="0089021F">
        <w:rPr>
          <w:rFonts w:ascii="Baskerville" w:hAnsi="Baskerville"/>
          <w:lang w:val="en-US"/>
        </w:rPr>
        <w:t xml:space="preserve">tology, and the problem of separate non-State entities was not in issue in the passage cited. Elsewhere Chen accepts the view that statehood is a legal concept not a ‘physical existence’ (ibid, 63), as well as the possibility of the illegality of the creation or existence of a ‘State’ (ibid, 8–9). Cf Charpentier, </w:t>
      </w:r>
      <w:r w:rsidRPr="0089021F">
        <w:rPr>
          <w:rFonts w:ascii="Baskerville" w:hAnsi="Baskerville"/>
          <w:i/>
          <w:iCs/>
          <w:lang w:val="en-US"/>
        </w:rPr>
        <w:t>Reconnaissance</w:t>
      </w:r>
      <w:r w:rsidRPr="0089021F">
        <w:rPr>
          <w:rFonts w:ascii="Baskerville" w:hAnsi="Baskerville"/>
          <w:lang w:val="en-US"/>
        </w:rPr>
        <w:t>, 160–7. Lauterpacht’s formulation is preferable: ‘The guiding juridical principle applicable to all categories of recognition is that international law, like any other legal system, cannot disregard facts and that it must be based on them provided they are not in themselves contrary to international law’ (</w:t>
      </w:r>
      <w:r w:rsidRPr="0089021F">
        <w:rPr>
          <w:rFonts w:ascii="Baskerville" w:hAnsi="Baskerville"/>
          <w:i/>
          <w:iCs/>
          <w:lang w:val="en-US"/>
        </w:rPr>
        <w:t>Recognition</w:t>
      </w:r>
      <w:r w:rsidRPr="0089021F">
        <w:rPr>
          <w:rFonts w:ascii="Baskerville" w:hAnsi="Baskerville"/>
          <w:lang w:val="en-US"/>
        </w:rPr>
        <w:t xml:space="preserve">, 91). But in view of the gnomic character of this proposition, it can hardly be regarded as a ‘guiding juridical principle’. For Lauterpacht’s interpretation of the formula that the existence of a State is a matter of fact only see ibid, 23–4. ‘To predicate that a given legal result is a question of fact is to assert that it is not a question of arbitrary discretion . . . The emphasis . . . on the principle that the existence of a State is a question of fact signifies that, whenever the necessary factual requirements exist, the granting of recognition is a matter of legal duty’. </w:t>
      </w:r>
    </w:p>
    <w:p w14:paraId="1B84670F" w14:textId="5F4FF350" w:rsidR="00530E21" w:rsidRPr="0089021F" w:rsidRDefault="00530E21">
      <w:pPr>
        <w:pStyle w:val="FootnoteText"/>
        <w:rPr>
          <w:rFonts w:ascii="Baskerville" w:hAnsi="Baskerville"/>
          <w:lang w:val="en-US"/>
        </w:rPr>
      </w:pPr>
    </w:p>
  </w:footnote>
  <w:footnote w:id="4">
    <w:p w14:paraId="7912A780" w14:textId="20B8CEF3" w:rsidR="00530E21" w:rsidRPr="00172B3C" w:rsidRDefault="00530E21">
      <w:pPr>
        <w:pStyle w:val="FootnoteText"/>
        <w:rPr>
          <w:rFonts w:ascii="Baskerville" w:hAnsi="Baskerville"/>
          <w:lang w:val="en-US"/>
        </w:rPr>
      </w:pPr>
      <w:r w:rsidRPr="00172B3C">
        <w:rPr>
          <w:rStyle w:val="FootnoteReference"/>
          <w:rFonts w:ascii="Baskerville" w:hAnsi="Baskerville"/>
        </w:rPr>
        <w:footnoteRef/>
      </w:r>
      <w:r w:rsidRPr="00172B3C">
        <w:rPr>
          <w:rFonts w:ascii="Baskerville" w:hAnsi="Baskerville"/>
        </w:rPr>
        <w:t xml:space="preserve"> </w:t>
      </w:r>
      <w:r w:rsidRPr="00172B3C">
        <w:rPr>
          <w:rFonts w:ascii="Baskerville" w:hAnsi="Baskerville"/>
          <w:lang w:val="en-US"/>
        </w:rPr>
        <w:t>Oppenheim</w:t>
      </w:r>
      <w:r>
        <w:rPr>
          <w:rFonts w:ascii="Baskerville" w:hAnsi="Baskerville"/>
          <w:lang w:val="en-US"/>
        </w:rPr>
        <w:t xml:space="preserve"> </w:t>
      </w:r>
      <w:r w:rsidRPr="00172B3C">
        <w:rPr>
          <w:rFonts w:ascii="Baskerville" w:hAnsi="Baskerville"/>
          <w:lang w:val="en-US"/>
        </w:rPr>
        <w:t>(1</w:t>
      </w:r>
      <w:r w:rsidRPr="00172B3C">
        <w:rPr>
          <w:rFonts w:ascii="Baskerville" w:hAnsi="Baskerville"/>
          <w:vertAlign w:val="superscript"/>
          <w:lang w:val="en-US"/>
        </w:rPr>
        <w:t>st</w:t>
      </w:r>
      <w:r>
        <w:rPr>
          <w:rFonts w:ascii="Baskerville" w:hAnsi="Baskerville"/>
          <w:lang w:val="en-US"/>
        </w:rPr>
        <w:t xml:space="preserve"> </w:t>
      </w:r>
      <w:r w:rsidRPr="00172B3C">
        <w:rPr>
          <w:rFonts w:ascii="Baskerville" w:hAnsi="Baskerville"/>
          <w:lang w:val="en-US"/>
        </w:rPr>
        <w:t>edn</w:t>
      </w:r>
      <w:r>
        <w:rPr>
          <w:rFonts w:ascii="Baskerville" w:hAnsi="Baskerville"/>
          <w:lang w:val="en-US"/>
        </w:rPr>
        <w:t>.</w:t>
      </w:r>
      <w:r w:rsidRPr="00172B3C">
        <w:rPr>
          <w:rFonts w:ascii="Baskerville" w:hAnsi="Baskerville"/>
          <w:lang w:val="en-US"/>
        </w:rPr>
        <w:t>),</w:t>
      </w:r>
      <w:r>
        <w:rPr>
          <w:rFonts w:ascii="Baskerville" w:hAnsi="Baskerville"/>
          <w:lang w:val="en-US"/>
        </w:rPr>
        <w:t xml:space="preserve"> </w:t>
      </w:r>
      <w:r w:rsidRPr="00172B3C">
        <w:rPr>
          <w:rFonts w:ascii="Baskerville" w:hAnsi="Baskerville"/>
          <w:lang w:val="en-US"/>
        </w:rPr>
        <w:t>vol1,</w:t>
      </w:r>
      <w:r>
        <w:rPr>
          <w:rFonts w:ascii="Baskerville" w:hAnsi="Baskerville"/>
          <w:lang w:val="en-US"/>
        </w:rPr>
        <w:t xml:space="preserve"> </w:t>
      </w:r>
      <w:r w:rsidRPr="00172B3C">
        <w:rPr>
          <w:rFonts w:ascii="Baskerville" w:hAnsi="Baskerville"/>
          <w:lang w:val="en-US"/>
        </w:rPr>
        <w:t>109,</w:t>
      </w:r>
      <w:r>
        <w:rPr>
          <w:rFonts w:ascii="Baskerville" w:hAnsi="Baskerville"/>
          <w:lang w:val="en-US"/>
        </w:rPr>
        <w:t xml:space="preserve"> </w:t>
      </w:r>
      <w:r w:rsidRPr="00172B3C">
        <w:rPr>
          <w:rFonts w:ascii="Baskerville" w:hAnsi="Baskerville"/>
          <w:lang w:val="en-US"/>
        </w:rPr>
        <w:t>§71;</w:t>
      </w:r>
      <w:r>
        <w:rPr>
          <w:rFonts w:ascii="Baskerville" w:hAnsi="Baskerville"/>
          <w:lang w:val="en-US"/>
        </w:rPr>
        <w:t xml:space="preserve"> </w:t>
      </w:r>
      <w:r w:rsidRPr="00172B3C">
        <w:rPr>
          <w:rFonts w:ascii="Baskerville" w:hAnsi="Baskerville"/>
          <w:lang w:val="en-US"/>
        </w:rPr>
        <w:t>(8</w:t>
      </w:r>
      <w:r w:rsidRPr="00172B3C">
        <w:rPr>
          <w:rFonts w:ascii="Baskerville" w:hAnsi="Baskerville"/>
          <w:vertAlign w:val="superscript"/>
          <w:lang w:val="en-US"/>
        </w:rPr>
        <w:t>th</w:t>
      </w:r>
      <w:r>
        <w:rPr>
          <w:rFonts w:ascii="Baskerville" w:hAnsi="Baskerville"/>
          <w:lang w:val="en-US"/>
        </w:rPr>
        <w:t xml:space="preserve"> </w:t>
      </w:r>
      <w:r w:rsidRPr="00172B3C">
        <w:rPr>
          <w:rFonts w:ascii="Baskerville" w:hAnsi="Baskerville"/>
          <w:lang w:val="en-US"/>
        </w:rPr>
        <w:t>edn</w:t>
      </w:r>
      <w:r>
        <w:rPr>
          <w:rFonts w:ascii="Baskerville" w:hAnsi="Baskerville"/>
          <w:lang w:val="en-US"/>
        </w:rPr>
        <w:t>.</w:t>
      </w:r>
      <w:r w:rsidRPr="00172B3C">
        <w:rPr>
          <w:rFonts w:ascii="Baskerville" w:hAnsi="Baskerville"/>
          <w:lang w:val="en-US"/>
        </w:rPr>
        <w:t>),</w:t>
      </w:r>
      <w:r>
        <w:rPr>
          <w:rFonts w:ascii="Baskerville" w:hAnsi="Baskerville"/>
          <w:lang w:val="en-US"/>
        </w:rPr>
        <w:t xml:space="preserve"> </w:t>
      </w:r>
      <w:r w:rsidRPr="00172B3C">
        <w:rPr>
          <w:rFonts w:ascii="Baskerville" w:hAnsi="Baskerville"/>
          <w:lang w:val="en-US"/>
        </w:rPr>
        <w:t>vol1,</w:t>
      </w:r>
      <w:r>
        <w:rPr>
          <w:rFonts w:ascii="Baskerville" w:hAnsi="Baskerville"/>
          <w:lang w:val="en-US"/>
        </w:rPr>
        <w:t xml:space="preserve"> </w:t>
      </w:r>
      <w:r w:rsidRPr="00172B3C">
        <w:rPr>
          <w:rFonts w:ascii="Baskerville" w:hAnsi="Baskerville"/>
          <w:lang w:val="en-US"/>
        </w:rPr>
        <w:t>125–7,</w:t>
      </w:r>
      <w:r>
        <w:rPr>
          <w:rFonts w:ascii="Baskerville" w:hAnsi="Baskerville"/>
          <w:lang w:val="en-US"/>
        </w:rPr>
        <w:t xml:space="preserve"> </w:t>
      </w:r>
      <w:r w:rsidRPr="00172B3C">
        <w:rPr>
          <w:rFonts w:ascii="Baskerville" w:hAnsi="Baskerville"/>
          <w:lang w:val="en-US"/>
        </w:rPr>
        <w:t>§71(modified</w:t>
      </w:r>
      <w:r>
        <w:rPr>
          <w:rFonts w:ascii="Baskerville" w:hAnsi="Baskerville"/>
          <w:lang w:val="en-US"/>
        </w:rPr>
        <w:t xml:space="preserve"> </w:t>
      </w:r>
      <w:r w:rsidRPr="00172B3C">
        <w:rPr>
          <w:rFonts w:ascii="Baskerville" w:hAnsi="Baskerville"/>
          <w:lang w:val="en-US"/>
        </w:rPr>
        <w:t>with</w:t>
      </w:r>
      <w:r>
        <w:rPr>
          <w:rFonts w:ascii="Baskerville" w:hAnsi="Baskerville"/>
          <w:lang w:val="en-US"/>
        </w:rPr>
        <w:t xml:space="preserve"> </w:t>
      </w:r>
      <w:r w:rsidRPr="00172B3C">
        <w:rPr>
          <w:rFonts w:ascii="Baskerville" w:hAnsi="Baskerville"/>
          <w:lang w:val="en-US"/>
        </w:rPr>
        <w:t>emphasis</w:t>
      </w:r>
      <w:r>
        <w:rPr>
          <w:rFonts w:ascii="Baskerville" w:hAnsi="Baskerville"/>
          <w:lang w:val="en-US"/>
        </w:rPr>
        <w:t xml:space="preserve"> </w:t>
      </w:r>
      <w:r w:rsidRPr="00172B3C">
        <w:rPr>
          <w:rFonts w:ascii="Baskerville" w:hAnsi="Baskerville"/>
          <w:lang w:val="en-US"/>
        </w:rPr>
        <w:t xml:space="preserve">on limits to the discretion of the recognising State). Cf Jennings and Watts, </w:t>
      </w:r>
      <w:r w:rsidRPr="00172B3C">
        <w:rPr>
          <w:rFonts w:ascii="Baskerville" w:hAnsi="Baskerville"/>
          <w:i/>
          <w:iCs/>
          <w:lang w:val="en-US"/>
        </w:rPr>
        <w:t>Oppenheim</w:t>
      </w:r>
      <w:r>
        <w:rPr>
          <w:rFonts w:ascii="Baskerville" w:hAnsi="Baskerville"/>
          <w:lang w:val="en-US"/>
        </w:rPr>
        <w:t xml:space="preserve">, 130–1, §40. </w:t>
      </w:r>
    </w:p>
  </w:footnote>
  <w:footnote w:id="5">
    <w:p w14:paraId="5BF2145C" w14:textId="2E60B8E0" w:rsidR="00530E21" w:rsidRPr="005E57AB" w:rsidRDefault="00530E21">
      <w:pPr>
        <w:pStyle w:val="FootnoteText"/>
        <w:rPr>
          <w:rFonts w:ascii="Baskerville" w:hAnsi="Baskerville"/>
          <w:lang w:val="en-US"/>
        </w:rPr>
      </w:pPr>
      <w:r w:rsidRPr="005E57AB">
        <w:rPr>
          <w:rStyle w:val="FootnoteReference"/>
          <w:rFonts w:ascii="Baskerville" w:hAnsi="Baskerville"/>
        </w:rPr>
        <w:footnoteRef/>
      </w:r>
      <w:r w:rsidRPr="005E57AB">
        <w:rPr>
          <w:rFonts w:ascii="Baskerville" w:hAnsi="Baskerville"/>
        </w:rPr>
        <w:t xml:space="preserve"> </w:t>
      </w:r>
      <w:r w:rsidRPr="00A16FB6">
        <w:rPr>
          <w:rFonts w:ascii="Baskerville" w:hAnsi="Baskerville"/>
          <w:lang w:val="en-US"/>
        </w:rPr>
        <w:t xml:space="preserve">Crawford, </w:t>
      </w:r>
      <w:r w:rsidRPr="00A16FB6">
        <w:rPr>
          <w:rFonts w:ascii="Baskerville" w:hAnsi="Baskerville"/>
          <w:i/>
          <w:iCs/>
          <w:lang w:val="en-US"/>
        </w:rPr>
        <w:t>The Creation of New States in International Law</w:t>
      </w:r>
      <w:r>
        <w:rPr>
          <w:rFonts w:ascii="Baskerville" w:hAnsi="Baskerville"/>
          <w:lang w:val="en-US"/>
        </w:rPr>
        <w:t>, OUP, 2006</w:t>
      </w:r>
      <w:r>
        <w:rPr>
          <w:rFonts w:ascii="Baskerville" w:hAnsi="Baskerville"/>
        </w:rPr>
        <w:t>, at 1.1.</w:t>
      </w:r>
    </w:p>
  </w:footnote>
  <w:footnote w:id="6">
    <w:p w14:paraId="3BDCA109" w14:textId="3E713D6D" w:rsidR="00530E21" w:rsidRPr="00C66CD9" w:rsidRDefault="00530E21">
      <w:pPr>
        <w:pStyle w:val="FootnoteText"/>
        <w:rPr>
          <w:rFonts w:ascii="Baskerville" w:hAnsi="Baskerville"/>
          <w:lang w:val="en-US"/>
        </w:rPr>
      </w:pPr>
      <w:r w:rsidRPr="00C66CD9">
        <w:rPr>
          <w:rStyle w:val="FootnoteReference"/>
          <w:rFonts w:ascii="Baskerville" w:hAnsi="Baskerville"/>
        </w:rPr>
        <w:footnoteRef/>
      </w:r>
      <w:r w:rsidRPr="00C66CD9">
        <w:rPr>
          <w:rFonts w:ascii="Baskerville" w:hAnsi="Baskerville"/>
        </w:rPr>
        <w:t xml:space="preserve"> </w:t>
      </w:r>
      <w:r w:rsidRPr="00C66CD9">
        <w:rPr>
          <w:rFonts w:ascii="Baskerville" w:hAnsi="Baskerville"/>
          <w:i/>
          <w:iCs/>
          <w:lang w:val="en-US"/>
        </w:rPr>
        <w:t>De Iure Naturae et Gentium</w:t>
      </w:r>
      <w:r w:rsidRPr="00C66CD9">
        <w:rPr>
          <w:rFonts w:ascii="Baskerville" w:hAnsi="Baskerville"/>
          <w:lang w:val="en-US"/>
        </w:rPr>
        <w:t>, Bk VI</w:t>
      </w:r>
      <w:r>
        <w:rPr>
          <w:rFonts w:ascii="Baskerville" w:hAnsi="Baskerville"/>
          <w:lang w:val="en-US"/>
        </w:rPr>
        <w:t xml:space="preserve">I, ch 3, §9, para 689. </w:t>
      </w:r>
    </w:p>
  </w:footnote>
  <w:footnote w:id="7">
    <w:p w14:paraId="54271B8D" w14:textId="4374FB74" w:rsidR="00530E21" w:rsidRPr="00D84C37" w:rsidRDefault="00530E21">
      <w:pPr>
        <w:pStyle w:val="FootnoteText"/>
        <w:rPr>
          <w:rFonts w:ascii="Baskerville" w:hAnsi="Baskerville"/>
          <w:lang w:val="en-US"/>
        </w:rPr>
      </w:pPr>
      <w:r w:rsidRPr="00D84C37">
        <w:rPr>
          <w:rStyle w:val="FootnoteReference"/>
          <w:rFonts w:ascii="Baskerville" w:hAnsi="Baskerville"/>
        </w:rPr>
        <w:footnoteRef/>
      </w:r>
      <w:r w:rsidRPr="00D84C37">
        <w:rPr>
          <w:rFonts w:ascii="Baskerville" w:hAnsi="Baskerville"/>
        </w:rPr>
        <w:t xml:space="preserve"> </w:t>
      </w:r>
      <w:r w:rsidRPr="00D84C37">
        <w:rPr>
          <w:rFonts w:ascii="Baskerville" w:hAnsi="Baskerville"/>
          <w:i/>
          <w:iCs/>
          <w:lang w:val="en-US"/>
        </w:rPr>
        <w:t>Western Sahara Case</w:t>
      </w:r>
      <w:r w:rsidRPr="00D84C37">
        <w:rPr>
          <w:rFonts w:ascii="Baskerville" w:hAnsi="Baskerville"/>
          <w:lang w:val="en-US"/>
        </w:rPr>
        <w:t>, ICJ Reports 1975, p 12 </w:t>
      </w:r>
      <w:r>
        <w:rPr>
          <w:rFonts w:ascii="Baskerville" w:hAnsi="Baskerville"/>
          <w:lang w:val="en-US"/>
        </w:rPr>
        <w:t>.</w:t>
      </w:r>
    </w:p>
  </w:footnote>
  <w:footnote w:id="8">
    <w:p w14:paraId="06FDC12C" w14:textId="1758198F" w:rsidR="00530E21" w:rsidRPr="0014765B" w:rsidRDefault="00530E21">
      <w:pPr>
        <w:pStyle w:val="FootnoteText"/>
        <w:rPr>
          <w:rFonts w:ascii="Baskerville" w:hAnsi="Baskerville"/>
          <w:lang w:val="en-US"/>
        </w:rPr>
      </w:pPr>
      <w:r w:rsidRPr="0014765B">
        <w:rPr>
          <w:rStyle w:val="FootnoteReference"/>
          <w:rFonts w:ascii="Baskerville" w:hAnsi="Baskerville"/>
        </w:rPr>
        <w:footnoteRef/>
      </w:r>
      <w:r w:rsidRPr="0014765B">
        <w:rPr>
          <w:rFonts w:ascii="Baskerville" w:hAnsi="Baskerville"/>
        </w:rPr>
        <w:t xml:space="preserve"> </w:t>
      </w:r>
      <w:r w:rsidRPr="00DF70FA">
        <w:rPr>
          <w:rFonts w:ascii="Baskerville" w:hAnsi="Baskerville"/>
          <w:i/>
          <w:iCs/>
          <w:lang w:val="en-US"/>
        </w:rPr>
        <w:t>Legal Consequences of the Construction of a Wall in the Occupied Palestinian Territory</w:t>
      </w:r>
      <w:r w:rsidRPr="00DF70FA">
        <w:rPr>
          <w:rFonts w:ascii="Baskerville" w:hAnsi="Baskerville"/>
          <w:lang w:val="en-US"/>
        </w:rPr>
        <w:t>, ICJ Advisory Opinion, 9 July 2004 </w:t>
      </w:r>
      <w:r>
        <w:rPr>
          <w:rFonts w:ascii="Baskerville" w:hAnsi="Baskerville"/>
        </w:rPr>
        <w:t>, at 87.</w:t>
      </w:r>
    </w:p>
  </w:footnote>
  <w:footnote w:id="9">
    <w:p w14:paraId="24871A0C" w14:textId="63FFC3C6" w:rsidR="00530E21" w:rsidRPr="00EC7A42" w:rsidRDefault="00530E21">
      <w:pPr>
        <w:pStyle w:val="FootnoteText"/>
        <w:rPr>
          <w:rFonts w:ascii="Baskerville" w:hAnsi="Baskerville"/>
          <w:lang w:val="en-US"/>
        </w:rPr>
      </w:pPr>
      <w:r w:rsidRPr="00EC7A42">
        <w:rPr>
          <w:rStyle w:val="FootnoteReference"/>
          <w:rFonts w:ascii="Baskerville" w:hAnsi="Baskerville"/>
        </w:rPr>
        <w:footnoteRef/>
      </w:r>
      <w:r w:rsidRPr="00EC7A42">
        <w:rPr>
          <w:rFonts w:ascii="Baskerville" w:hAnsi="Baskerville"/>
        </w:rPr>
        <w:t xml:space="preserve"> </w:t>
      </w:r>
      <w:r w:rsidRPr="00EC7A42">
        <w:rPr>
          <w:rFonts w:ascii="Baskerville" w:hAnsi="Baskerville"/>
          <w:i/>
          <w:iCs/>
          <w:lang w:val="en-US"/>
        </w:rPr>
        <w:t>Accordance with international law of the unilateral declaration of independence in respect of Kosovo, Advisory Opinion</w:t>
      </w:r>
      <w:r>
        <w:rPr>
          <w:rFonts w:ascii="Baskerville" w:hAnsi="Baskerville"/>
          <w:lang w:val="en-US"/>
        </w:rPr>
        <w:t>, ICJ, 22 July 2010</w:t>
      </w:r>
      <w:r>
        <w:rPr>
          <w:rFonts w:ascii="Baskerville" w:hAnsi="Baskerville"/>
        </w:rPr>
        <w:t>, at 79.</w:t>
      </w:r>
    </w:p>
  </w:footnote>
  <w:footnote w:id="10">
    <w:p w14:paraId="5500AB28" w14:textId="216BF42E" w:rsidR="00530E21" w:rsidRPr="00942F48" w:rsidRDefault="00530E21">
      <w:pPr>
        <w:pStyle w:val="FootnoteText"/>
        <w:rPr>
          <w:rFonts w:ascii="Baskerville" w:hAnsi="Baskerville"/>
          <w:lang w:val="en-US"/>
        </w:rPr>
      </w:pPr>
      <w:r w:rsidRPr="00942F48">
        <w:rPr>
          <w:rStyle w:val="FootnoteReference"/>
          <w:rFonts w:ascii="Baskerville" w:hAnsi="Baskerville"/>
        </w:rPr>
        <w:footnoteRef/>
      </w:r>
      <w:r w:rsidRPr="00942F48">
        <w:rPr>
          <w:rFonts w:ascii="Baskerville" w:hAnsi="Baskerville"/>
        </w:rPr>
        <w:t xml:space="preserve"> </w:t>
      </w:r>
      <w:r>
        <w:rPr>
          <w:rFonts w:ascii="Baskerville" w:hAnsi="Baskerville"/>
        </w:rPr>
        <w:t>Ibid, at 105.</w:t>
      </w:r>
    </w:p>
  </w:footnote>
  <w:footnote w:id="11">
    <w:p w14:paraId="422FAA1D" w14:textId="1B405056" w:rsidR="00530E21" w:rsidRPr="00530E21" w:rsidRDefault="00530E21">
      <w:pPr>
        <w:pStyle w:val="FootnoteText"/>
        <w:rPr>
          <w:rFonts w:ascii="Baskerville" w:hAnsi="Baskerville"/>
        </w:rPr>
      </w:pPr>
      <w:r w:rsidRPr="00530E21">
        <w:rPr>
          <w:rStyle w:val="FootnoteReference"/>
          <w:rFonts w:ascii="Baskerville" w:hAnsi="Baskerville"/>
        </w:rPr>
        <w:footnoteRef/>
      </w:r>
      <w:r w:rsidRPr="00530E21">
        <w:rPr>
          <w:rFonts w:ascii="Baskerville" w:hAnsi="Baskerville"/>
        </w:rPr>
        <w:t xml:space="preserve"> </w:t>
      </w:r>
      <w:r w:rsidR="00B2789A">
        <w:rPr>
          <w:rFonts w:ascii="Baskerville" w:hAnsi="Baskerville"/>
        </w:rPr>
        <w:t>A. Clapham</w:t>
      </w:r>
      <w:r w:rsidR="00AD5548">
        <w:rPr>
          <w:rFonts w:ascii="Baskerville" w:hAnsi="Baskerville"/>
        </w:rPr>
        <w:t>,</w:t>
      </w:r>
      <w:r w:rsidR="00B2789A">
        <w:rPr>
          <w:rFonts w:ascii="Baskerville" w:hAnsi="Baskerville"/>
        </w:rPr>
        <w:t xml:space="preserve"> </w:t>
      </w:r>
      <w:r w:rsidRPr="00AD5548">
        <w:rPr>
          <w:rFonts w:ascii="Baskerville" w:hAnsi="Baskerville"/>
          <w:i/>
        </w:rPr>
        <w:t>Human Rights Obligations of Non-State Actors</w:t>
      </w:r>
      <w:r w:rsidR="00AD5548">
        <w:rPr>
          <w:rFonts w:ascii="Baskerville" w:hAnsi="Baskerville"/>
        </w:rPr>
        <w:t>,</w:t>
      </w:r>
      <w:r>
        <w:rPr>
          <w:rFonts w:ascii="Baskerville" w:hAnsi="Baskerville"/>
        </w:rPr>
        <w:t xml:space="preserve"> Oxford University Press</w:t>
      </w:r>
      <w:r w:rsidR="00B2789A">
        <w:rPr>
          <w:rFonts w:ascii="Baskerville" w:hAnsi="Baskerville"/>
        </w:rPr>
        <w:t xml:space="preserve"> 2010</w:t>
      </w:r>
      <w:r w:rsidR="00AD5548">
        <w:rPr>
          <w:rFonts w:ascii="Baskerville" w:hAnsi="Baskerville"/>
        </w:rPr>
        <w:t>, p 46.</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936E6D" w14:textId="77777777" w:rsidR="00530E21" w:rsidRPr="00990511" w:rsidRDefault="00530E21">
    <w:pPr>
      <w:pStyle w:val="Header"/>
      <w:rPr>
        <w:rFonts w:ascii="Baskerville" w:hAnsi="Baskerville"/>
      </w:rPr>
    </w:pPr>
    <w:r>
      <w:rPr>
        <w:rFonts w:ascii="Baskerville" w:hAnsi="Baskerville"/>
      </w:rPr>
      <w:t>Christopher Olsen                                                                                        17/10/2016</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764503BA"/>
    <w:multiLevelType w:val="hybridMultilevel"/>
    <w:tmpl w:val="66D44BB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0511"/>
    <w:rsid w:val="00013AF3"/>
    <w:rsid w:val="000668CC"/>
    <w:rsid w:val="000D1D9E"/>
    <w:rsid w:val="000D56D9"/>
    <w:rsid w:val="000F1DCD"/>
    <w:rsid w:val="00136B41"/>
    <w:rsid w:val="0014765B"/>
    <w:rsid w:val="00172B3C"/>
    <w:rsid w:val="001A41F5"/>
    <w:rsid w:val="001C5844"/>
    <w:rsid w:val="00261FCD"/>
    <w:rsid w:val="00287AC2"/>
    <w:rsid w:val="002D6D80"/>
    <w:rsid w:val="003308BD"/>
    <w:rsid w:val="003A65F3"/>
    <w:rsid w:val="003E4D20"/>
    <w:rsid w:val="003F003D"/>
    <w:rsid w:val="00424290"/>
    <w:rsid w:val="0044281A"/>
    <w:rsid w:val="00481053"/>
    <w:rsid w:val="004A33A4"/>
    <w:rsid w:val="004E777D"/>
    <w:rsid w:val="00530E21"/>
    <w:rsid w:val="005416C7"/>
    <w:rsid w:val="00577831"/>
    <w:rsid w:val="00596AEC"/>
    <w:rsid w:val="005D6718"/>
    <w:rsid w:val="005E57AB"/>
    <w:rsid w:val="005F7B0C"/>
    <w:rsid w:val="00644DC4"/>
    <w:rsid w:val="00645A5F"/>
    <w:rsid w:val="006949B2"/>
    <w:rsid w:val="006F5D7B"/>
    <w:rsid w:val="0071672D"/>
    <w:rsid w:val="00794924"/>
    <w:rsid w:val="007D68C9"/>
    <w:rsid w:val="007F090F"/>
    <w:rsid w:val="00880DDA"/>
    <w:rsid w:val="0089021F"/>
    <w:rsid w:val="00897054"/>
    <w:rsid w:val="008C4A52"/>
    <w:rsid w:val="00942F48"/>
    <w:rsid w:val="00976A05"/>
    <w:rsid w:val="00990511"/>
    <w:rsid w:val="009D3E6C"/>
    <w:rsid w:val="00A16FB6"/>
    <w:rsid w:val="00A47430"/>
    <w:rsid w:val="00A52116"/>
    <w:rsid w:val="00A56BDC"/>
    <w:rsid w:val="00A60F99"/>
    <w:rsid w:val="00AD5548"/>
    <w:rsid w:val="00B14EEF"/>
    <w:rsid w:val="00B2789A"/>
    <w:rsid w:val="00B418E2"/>
    <w:rsid w:val="00B45E04"/>
    <w:rsid w:val="00B80D99"/>
    <w:rsid w:val="00BA7AE6"/>
    <w:rsid w:val="00C1790B"/>
    <w:rsid w:val="00C23408"/>
    <w:rsid w:val="00C2595A"/>
    <w:rsid w:val="00C303E6"/>
    <w:rsid w:val="00C32A6F"/>
    <w:rsid w:val="00C66CD9"/>
    <w:rsid w:val="00CD20D5"/>
    <w:rsid w:val="00D848E3"/>
    <w:rsid w:val="00D84C37"/>
    <w:rsid w:val="00DD5993"/>
    <w:rsid w:val="00DF70FA"/>
    <w:rsid w:val="00E85E7E"/>
    <w:rsid w:val="00EC7A42"/>
    <w:rsid w:val="00F04F9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B2D8E9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0511"/>
    <w:pPr>
      <w:tabs>
        <w:tab w:val="center" w:pos="4320"/>
        <w:tab w:val="right" w:pos="8640"/>
      </w:tabs>
    </w:pPr>
  </w:style>
  <w:style w:type="character" w:customStyle="1" w:styleId="HeaderChar">
    <w:name w:val="Header Char"/>
    <w:basedOn w:val="DefaultParagraphFont"/>
    <w:link w:val="Header"/>
    <w:uiPriority w:val="99"/>
    <w:rsid w:val="00990511"/>
  </w:style>
  <w:style w:type="paragraph" w:styleId="Footer">
    <w:name w:val="footer"/>
    <w:basedOn w:val="Normal"/>
    <w:link w:val="FooterChar"/>
    <w:uiPriority w:val="99"/>
    <w:unhideWhenUsed/>
    <w:rsid w:val="00990511"/>
    <w:pPr>
      <w:tabs>
        <w:tab w:val="center" w:pos="4320"/>
        <w:tab w:val="right" w:pos="8640"/>
      </w:tabs>
    </w:pPr>
  </w:style>
  <w:style w:type="character" w:customStyle="1" w:styleId="FooterChar">
    <w:name w:val="Footer Char"/>
    <w:basedOn w:val="DefaultParagraphFont"/>
    <w:link w:val="Footer"/>
    <w:uiPriority w:val="99"/>
    <w:rsid w:val="00990511"/>
  </w:style>
  <w:style w:type="character" w:styleId="Hyperlink">
    <w:name w:val="Hyperlink"/>
    <w:basedOn w:val="DefaultParagraphFont"/>
    <w:uiPriority w:val="99"/>
    <w:unhideWhenUsed/>
    <w:rsid w:val="00C23408"/>
    <w:rPr>
      <w:color w:val="0000FF" w:themeColor="hyperlink"/>
      <w:u w:val="single"/>
    </w:rPr>
  </w:style>
  <w:style w:type="character" w:styleId="PageNumber">
    <w:name w:val="page number"/>
    <w:basedOn w:val="DefaultParagraphFont"/>
    <w:uiPriority w:val="99"/>
    <w:semiHidden/>
    <w:unhideWhenUsed/>
    <w:rsid w:val="009D3E6C"/>
  </w:style>
  <w:style w:type="character" w:styleId="FollowedHyperlink">
    <w:name w:val="FollowedHyperlink"/>
    <w:basedOn w:val="DefaultParagraphFont"/>
    <w:uiPriority w:val="99"/>
    <w:semiHidden/>
    <w:unhideWhenUsed/>
    <w:rsid w:val="00481053"/>
    <w:rPr>
      <w:color w:val="800080" w:themeColor="followedHyperlink"/>
      <w:u w:val="single"/>
    </w:rPr>
  </w:style>
  <w:style w:type="paragraph" w:styleId="FootnoteText">
    <w:name w:val="footnote text"/>
    <w:basedOn w:val="Normal"/>
    <w:link w:val="FootnoteTextChar"/>
    <w:uiPriority w:val="99"/>
    <w:unhideWhenUsed/>
    <w:rsid w:val="00D84C37"/>
  </w:style>
  <w:style w:type="character" w:customStyle="1" w:styleId="FootnoteTextChar">
    <w:name w:val="Footnote Text Char"/>
    <w:basedOn w:val="DefaultParagraphFont"/>
    <w:link w:val="FootnoteText"/>
    <w:uiPriority w:val="99"/>
    <w:rsid w:val="00D84C37"/>
  </w:style>
  <w:style w:type="character" w:styleId="FootnoteReference">
    <w:name w:val="footnote reference"/>
    <w:basedOn w:val="DefaultParagraphFont"/>
    <w:uiPriority w:val="99"/>
    <w:unhideWhenUsed/>
    <w:rsid w:val="00D84C37"/>
    <w:rPr>
      <w:vertAlign w:val="superscript"/>
    </w:rPr>
  </w:style>
  <w:style w:type="paragraph" w:styleId="ListParagraph">
    <w:name w:val="List Paragraph"/>
    <w:basedOn w:val="Normal"/>
    <w:uiPriority w:val="34"/>
    <w:qFormat/>
    <w:rsid w:val="003E4D2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0511"/>
    <w:pPr>
      <w:tabs>
        <w:tab w:val="center" w:pos="4320"/>
        <w:tab w:val="right" w:pos="8640"/>
      </w:tabs>
    </w:pPr>
  </w:style>
  <w:style w:type="character" w:customStyle="1" w:styleId="HeaderChar">
    <w:name w:val="Header Char"/>
    <w:basedOn w:val="DefaultParagraphFont"/>
    <w:link w:val="Header"/>
    <w:uiPriority w:val="99"/>
    <w:rsid w:val="00990511"/>
  </w:style>
  <w:style w:type="paragraph" w:styleId="Footer">
    <w:name w:val="footer"/>
    <w:basedOn w:val="Normal"/>
    <w:link w:val="FooterChar"/>
    <w:uiPriority w:val="99"/>
    <w:unhideWhenUsed/>
    <w:rsid w:val="00990511"/>
    <w:pPr>
      <w:tabs>
        <w:tab w:val="center" w:pos="4320"/>
        <w:tab w:val="right" w:pos="8640"/>
      </w:tabs>
    </w:pPr>
  </w:style>
  <w:style w:type="character" w:customStyle="1" w:styleId="FooterChar">
    <w:name w:val="Footer Char"/>
    <w:basedOn w:val="DefaultParagraphFont"/>
    <w:link w:val="Footer"/>
    <w:uiPriority w:val="99"/>
    <w:rsid w:val="00990511"/>
  </w:style>
  <w:style w:type="character" w:styleId="Hyperlink">
    <w:name w:val="Hyperlink"/>
    <w:basedOn w:val="DefaultParagraphFont"/>
    <w:uiPriority w:val="99"/>
    <w:unhideWhenUsed/>
    <w:rsid w:val="00C23408"/>
    <w:rPr>
      <w:color w:val="0000FF" w:themeColor="hyperlink"/>
      <w:u w:val="single"/>
    </w:rPr>
  </w:style>
  <w:style w:type="character" w:styleId="PageNumber">
    <w:name w:val="page number"/>
    <w:basedOn w:val="DefaultParagraphFont"/>
    <w:uiPriority w:val="99"/>
    <w:semiHidden/>
    <w:unhideWhenUsed/>
    <w:rsid w:val="009D3E6C"/>
  </w:style>
  <w:style w:type="character" w:styleId="FollowedHyperlink">
    <w:name w:val="FollowedHyperlink"/>
    <w:basedOn w:val="DefaultParagraphFont"/>
    <w:uiPriority w:val="99"/>
    <w:semiHidden/>
    <w:unhideWhenUsed/>
    <w:rsid w:val="00481053"/>
    <w:rPr>
      <w:color w:val="800080" w:themeColor="followedHyperlink"/>
      <w:u w:val="single"/>
    </w:rPr>
  </w:style>
  <w:style w:type="paragraph" w:styleId="FootnoteText">
    <w:name w:val="footnote text"/>
    <w:basedOn w:val="Normal"/>
    <w:link w:val="FootnoteTextChar"/>
    <w:uiPriority w:val="99"/>
    <w:unhideWhenUsed/>
    <w:rsid w:val="00D84C37"/>
  </w:style>
  <w:style w:type="character" w:customStyle="1" w:styleId="FootnoteTextChar">
    <w:name w:val="Footnote Text Char"/>
    <w:basedOn w:val="DefaultParagraphFont"/>
    <w:link w:val="FootnoteText"/>
    <w:uiPriority w:val="99"/>
    <w:rsid w:val="00D84C37"/>
  </w:style>
  <w:style w:type="character" w:styleId="FootnoteReference">
    <w:name w:val="footnote reference"/>
    <w:basedOn w:val="DefaultParagraphFont"/>
    <w:uiPriority w:val="99"/>
    <w:unhideWhenUsed/>
    <w:rsid w:val="00D84C37"/>
    <w:rPr>
      <w:vertAlign w:val="superscript"/>
    </w:rPr>
  </w:style>
  <w:style w:type="paragraph" w:styleId="ListParagraph">
    <w:name w:val="List Paragraph"/>
    <w:basedOn w:val="Normal"/>
    <w:uiPriority w:val="34"/>
    <w:qFormat/>
    <w:rsid w:val="003E4D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43434">
      <w:bodyDiv w:val="1"/>
      <w:marLeft w:val="0"/>
      <w:marRight w:val="0"/>
      <w:marTop w:val="0"/>
      <w:marBottom w:val="0"/>
      <w:divBdr>
        <w:top w:val="none" w:sz="0" w:space="0" w:color="auto"/>
        <w:left w:val="none" w:sz="0" w:space="0" w:color="auto"/>
        <w:bottom w:val="none" w:sz="0" w:space="0" w:color="auto"/>
        <w:right w:val="none" w:sz="0" w:space="0" w:color="auto"/>
      </w:divBdr>
    </w:div>
    <w:div w:id="306789476">
      <w:bodyDiv w:val="1"/>
      <w:marLeft w:val="0"/>
      <w:marRight w:val="0"/>
      <w:marTop w:val="0"/>
      <w:marBottom w:val="0"/>
      <w:divBdr>
        <w:top w:val="none" w:sz="0" w:space="0" w:color="auto"/>
        <w:left w:val="none" w:sz="0" w:space="0" w:color="auto"/>
        <w:bottom w:val="none" w:sz="0" w:space="0" w:color="auto"/>
        <w:right w:val="none" w:sz="0" w:space="0" w:color="auto"/>
      </w:divBdr>
    </w:div>
    <w:div w:id="405540505">
      <w:bodyDiv w:val="1"/>
      <w:marLeft w:val="0"/>
      <w:marRight w:val="0"/>
      <w:marTop w:val="0"/>
      <w:marBottom w:val="0"/>
      <w:divBdr>
        <w:top w:val="none" w:sz="0" w:space="0" w:color="auto"/>
        <w:left w:val="none" w:sz="0" w:space="0" w:color="auto"/>
        <w:bottom w:val="none" w:sz="0" w:space="0" w:color="auto"/>
        <w:right w:val="none" w:sz="0" w:space="0" w:color="auto"/>
      </w:divBdr>
    </w:div>
    <w:div w:id="548034531">
      <w:bodyDiv w:val="1"/>
      <w:marLeft w:val="0"/>
      <w:marRight w:val="0"/>
      <w:marTop w:val="0"/>
      <w:marBottom w:val="0"/>
      <w:divBdr>
        <w:top w:val="none" w:sz="0" w:space="0" w:color="auto"/>
        <w:left w:val="none" w:sz="0" w:space="0" w:color="auto"/>
        <w:bottom w:val="none" w:sz="0" w:space="0" w:color="auto"/>
        <w:right w:val="none" w:sz="0" w:space="0" w:color="auto"/>
      </w:divBdr>
    </w:div>
    <w:div w:id="554269900">
      <w:bodyDiv w:val="1"/>
      <w:marLeft w:val="0"/>
      <w:marRight w:val="0"/>
      <w:marTop w:val="0"/>
      <w:marBottom w:val="0"/>
      <w:divBdr>
        <w:top w:val="none" w:sz="0" w:space="0" w:color="auto"/>
        <w:left w:val="none" w:sz="0" w:space="0" w:color="auto"/>
        <w:bottom w:val="none" w:sz="0" w:space="0" w:color="auto"/>
        <w:right w:val="none" w:sz="0" w:space="0" w:color="auto"/>
      </w:divBdr>
    </w:div>
    <w:div w:id="699090499">
      <w:bodyDiv w:val="1"/>
      <w:marLeft w:val="0"/>
      <w:marRight w:val="0"/>
      <w:marTop w:val="0"/>
      <w:marBottom w:val="0"/>
      <w:divBdr>
        <w:top w:val="none" w:sz="0" w:space="0" w:color="auto"/>
        <w:left w:val="none" w:sz="0" w:space="0" w:color="auto"/>
        <w:bottom w:val="none" w:sz="0" w:space="0" w:color="auto"/>
        <w:right w:val="none" w:sz="0" w:space="0" w:color="auto"/>
      </w:divBdr>
    </w:div>
    <w:div w:id="1209683032">
      <w:bodyDiv w:val="1"/>
      <w:marLeft w:val="0"/>
      <w:marRight w:val="0"/>
      <w:marTop w:val="0"/>
      <w:marBottom w:val="0"/>
      <w:divBdr>
        <w:top w:val="none" w:sz="0" w:space="0" w:color="auto"/>
        <w:left w:val="none" w:sz="0" w:space="0" w:color="auto"/>
        <w:bottom w:val="none" w:sz="0" w:space="0" w:color="auto"/>
        <w:right w:val="none" w:sz="0" w:space="0" w:color="auto"/>
      </w:divBdr>
    </w:div>
    <w:div w:id="1210922380">
      <w:bodyDiv w:val="1"/>
      <w:marLeft w:val="0"/>
      <w:marRight w:val="0"/>
      <w:marTop w:val="0"/>
      <w:marBottom w:val="0"/>
      <w:divBdr>
        <w:top w:val="none" w:sz="0" w:space="0" w:color="auto"/>
        <w:left w:val="none" w:sz="0" w:space="0" w:color="auto"/>
        <w:bottom w:val="none" w:sz="0" w:space="0" w:color="auto"/>
        <w:right w:val="none" w:sz="0" w:space="0" w:color="auto"/>
      </w:divBdr>
    </w:div>
    <w:div w:id="1704866488">
      <w:bodyDiv w:val="1"/>
      <w:marLeft w:val="0"/>
      <w:marRight w:val="0"/>
      <w:marTop w:val="0"/>
      <w:marBottom w:val="0"/>
      <w:divBdr>
        <w:top w:val="none" w:sz="0" w:space="0" w:color="auto"/>
        <w:left w:val="none" w:sz="0" w:space="0" w:color="auto"/>
        <w:bottom w:val="none" w:sz="0" w:space="0" w:color="auto"/>
        <w:right w:val="none" w:sz="0" w:space="0" w:color="auto"/>
      </w:divBdr>
    </w:div>
    <w:div w:id="18457840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christopherolsenreviews.wordpress.com/2016/09/29/is-there-a-right-to-self-defence-against-isis/" TargetMode="Externa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5</Pages>
  <Words>1742</Words>
  <Characters>9933</Characters>
  <Application>Microsoft Macintosh Word</Application>
  <DocSecurity>0</DocSecurity>
  <Lines>82</Lines>
  <Paragraphs>23</Paragraphs>
  <ScaleCrop>false</ScaleCrop>
  <Company/>
  <LinksUpToDate>false</LinksUpToDate>
  <CharactersWithSpaces>11652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Olsen</dc:creator>
  <cp:keywords/>
  <dc:description/>
  <cp:lastModifiedBy>Christopher Olsen</cp:lastModifiedBy>
  <cp:revision>85</cp:revision>
  <dcterms:created xsi:type="dcterms:W3CDTF">2016-10-17T15:26:00Z</dcterms:created>
  <dcterms:modified xsi:type="dcterms:W3CDTF">2016-10-18T10:02:00Z</dcterms:modified>
</cp:coreProperties>
</file>