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56CCFE" w14:textId="77777777" w:rsidR="00F23A67" w:rsidRPr="00970252" w:rsidRDefault="00F23A67" w:rsidP="00F23A67">
      <w:pPr>
        <w:jc w:val="center"/>
        <w:rPr>
          <w:rFonts w:ascii="Arial" w:hAnsi="Arial" w:cs="Arial"/>
          <w:b/>
        </w:rPr>
      </w:pPr>
      <w:r w:rsidRPr="00970252">
        <w:rPr>
          <w:rFonts w:ascii="Arial" w:hAnsi="Arial" w:cs="Arial"/>
          <w:b/>
        </w:rPr>
        <w:t>University of Bristol Law School</w:t>
      </w:r>
    </w:p>
    <w:p w14:paraId="210313FA" w14:textId="77777777" w:rsidR="00DC1662" w:rsidRPr="00970252" w:rsidRDefault="00F23A67" w:rsidP="00F23A67">
      <w:pPr>
        <w:jc w:val="center"/>
        <w:rPr>
          <w:rFonts w:ascii="Arial" w:hAnsi="Arial" w:cs="Arial"/>
          <w:b/>
          <w:u w:val="single"/>
        </w:rPr>
      </w:pPr>
      <w:r w:rsidRPr="00970252">
        <w:rPr>
          <w:rFonts w:ascii="Arial" w:hAnsi="Arial" w:cs="Arial"/>
          <w:b/>
          <w:u w:val="single"/>
        </w:rPr>
        <w:t>FORMATIVE ASSESSMENT COVER SHEET</w:t>
      </w:r>
    </w:p>
    <w:p w14:paraId="0E222049" w14:textId="77777777" w:rsidR="00F23A67" w:rsidRPr="00111378" w:rsidRDefault="00F23A67" w:rsidP="00111378">
      <w:pPr>
        <w:spacing w:before="240"/>
        <w:jc w:val="center"/>
        <w:rPr>
          <w:rFonts w:ascii="Arial" w:hAnsi="Arial" w:cs="Arial"/>
          <w:b/>
          <w:i/>
        </w:rPr>
      </w:pPr>
      <w:r w:rsidRPr="00111378">
        <w:rPr>
          <w:rFonts w:ascii="Arial" w:hAnsi="Arial" w:cs="Arial"/>
          <w:b/>
          <w:i/>
        </w:rPr>
        <w:t>This form should be completed and submitted with your formative assessment</w:t>
      </w:r>
      <w:r w:rsidR="00970252" w:rsidRPr="00111378">
        <w:rPr>
          <w:rFonts w:ascii="Arial" w:hAnsi="Arial" w:cs="Arial"/>
          <w:b/>
          <w:i/>
        </w:rPr>
        <w:t>. Please attach this sheet as the first page of your submission.</w:t>
      </w:r>
    </w:p>
    <w:tbl>
      <w:tblPr>
        <w:tblStyle w:val="TableGrid"/>
        <w:tblW w:w="0" w:type="auto"/>
        <w:tblLook w:val="04A0" w:firstRow="1" w:lastRow="0" w:firstColumn="1" w:lastColumn="0" w:noHBand="0" w:noVBand="1"/>
      </w:tblPr>
      <w:tblGrid>
        <w:gridCol w:w="2943"/>
        <w:gridCol w:w="6299"/>
      </w:tblGrid>
      <w:tr w:rsidR="00F23A67" w:rsidRPr="00F23A67" w14:paraId="1F9D9AA4" w14:textId="77777777" w:rsidTr="00F23A67">
        <w:tc>
          <w:tcPr>
            <w:tcW w:w="2943" w:type="dxa"/>
          </w:tcPr>
          <w:p w14:paraId="4E3D486A" w14:textId="77777777" w:rsidR="00F23A67" w:rsidRPr="00970252" w:rsidRDefault="00F23A67" w:rsidP="00E00648">
            <w:pPr>
              <w:spacing w:before="120" w:after="240"/>
              <w:rPr>
                <w:rFonts w:ascii="Arial" w:hAnsi="Arial" w:cs="Arial"/>
                <w:b/>
              </w:rPr>
            </w:pPr>
            <w:r w:rsidRPr="00970252">
              <w:rPr>
                <w:rFonts w:ascii="Arial" w:hAnsi="Arial" w:cs="Arial"/>
                <w:b/>
              </w:rPr>
              <w:t>Unit Code/Name</w:t>
            </w:r>
          </w:p>
        </w:tc>
        <w:tc>
          <w:tcPr>
            <w:tcW w:w="6299" w:type="dxa"/>
          </w:tcPr>
          <w:p w14:paraId="200FF7AE" w14:textId="77777777" w:rsidR="00F23A67" w:rsidRPr="00F23A67" w:rsidRDefault="00FE32F6" w:rsidP="00E00648">
            <w:pPr>
              <w:spacing w:before="120" w:after="240"/>
              <w:rPr>
                <w:rFonts w:ascii="Arial" w:hAnsi="Arial" w:cs="Arial"/>
              </w:rPr>
            </w:pPr>
            <w:r>
              <w:rPr>
                <w:rFonts w:ascii="Arial" w:hAnsi="Arial" w:cs="Arial"/>
              </w:rPr>
              <w:t>General Principles of International Law</w:t>
            </w:r>
          </w:p>
        </w:tc>
      </w:tr>
      <w:tr w:rsidR="00F23A67" w:rsidRPr="00F23A67" w14:paraId="7C56E500" w14:textId="77777777" w:rsidTr="00F23A67">
        <w:tc>
          <w:tcPr>
            <w:tcW w:w="2943" w:type="dxa"/>
          </w:tcPr>
          <w:p w14:paraId="7C42438A" w14:textId="77777777" w:rsidR="00F23A67" w:rsidRPr="00970252" w:rsidRDefault="00F23A67" w:rsidP="00E00648">
            <w:pPr>
              <w:spacing w:before="120" w:after="240"/>
              <w:rPr>
                <w:rFonts w:ascii="Arial" w:hAnsi="Arial" w:cs="Arial"/>
                <w:b/>
              </w:rPr>
            </w:pPr>
            <w:r w:rsidRPr="00970252">
              <w:rPr>
                <w:rFonts w:ascii="Arial" w:hAnsi="Arial" w:cs="Arial"/>
                <w:b/>
              </w:rPr>
              <w:t>Assessment title/question</w:t>
            </w:r>
          </w:p>
        </w:tc>
        <w:tc>
          <w:tcPr>
            <w:tcW w:w="6299" w:type="dxa"/>
          </w:tcPr>
          <w:p w14:paraId="6FE697B5" w14:textId="2E589024" w:rsidR="00F23A67" w:rsidRPr="00133E42" w:rsidRDefault="00133E42" w:rsidP="00E00648">
            <w:pPr>
              <w:spacing w:before="120" w:after="240"/>
              <w:rPr>
                <w:rFonts w:ascii="Arial" w:hAnsi="Arial" w:cs="Arial"/>
                <w:bCs/>
                <w:i/>
                <w:lang w:val="en-US"/>
              </w:rPr>
            </w:pPr>
            <w:r w:rsidRPr="00133E42">
              <w:rPr>
                <w:rFonts w:ascii="Arial" w:hAnsi="Arial" w:cs="Arial"/>
                <w:bCs/>
                <w:i/>
                <w:lang w:val="en-US"/>
              </w:rPr>
              <w:t>Is the importance in international law of “state consent” on the wane? Should it be?</w:t>
            </w:r>
          </w:p>
        </w:tc>
      </w:tr>
      <w:tr w:rsidR="00F23A67" w:rsidRPr="00F23A67" w14:paraId="221672A1" w14:textId="77777777" w:rsidTr="00F23A67">
        <w:tc>
          <w:tcPr>
            <w:tcW w:w="2943" w:type="dxa"/>
          </w:tcPr>
          <w:p w14:paraId="2C9C20B8" w14:textId="77777777" w:rsidR="00F23A67" w:rsidRPr="00970252" w:rsidRDefault="00F23A67" w:rsidP="00E00648">
            <w:pPr>
              <w:spacing w:before="120" w:after="240"/>
              <w:rPr>
                <w:rFonts w:ascii="Arial" w:hAnsi="Arial" w:cs="Arial"/>
                <w:b/>
              </w:rPr>
            </w:pPr>
            <w:r w:rsidRPr="00970252">
              <w:rPr>
                <w:rFonts w:ascii="Arial" w:hAnsi="Arial" w:cs="Arial"/>
                <w:b/>
              </w:rPr>
              <w:t>Submission date</w:t>
            </w:r>
          </w:p>
        </w:tc>
        <w:tc>
          <w:tcPr>
            <w:tcW w:w="6299" w:type="dxa"/>
          </w:tcPr>
          <w:p w14:paraId="7CA00616" w14:textId="77777777" w:rsidR="00F23A67" w:rsidRPr="00F23A67" w:rsidRDefault="00FE32F6" w:rsidP="00E00648">
            <w:pPr>
              <w:spacing w:before="120" w:after="240"/>
              <w:rPr>
                <w:rFonts w:ascii="Arial" w:hAnsi="Arial" w:cs="Arial"/>
              </w:rPr>
            </w:pPr>
            <w:r>
              <w:rPr>
                <w:rFonts w:ascii="Arial" w:hAnsi="Arial" w:cs="Arial"/>
              </w:rPr>
              <w:t>05/12/2016</w:t>
            </w:r>
          </w:p>
        </w:tc>
      </w:tr>
    </w:tbl>
    <w:p w14:paraId="52384F0C" w14:textId="77777777" w:rsidR="00F23A67" w:rsidRPr="00F23A67" w:rsidRDefault="00F23A67" w:rsidP="00E00648">
      <w:pPr>
        <w:spacing w:after="240"/>
        <w:rPr>
          <w:rFonts w:ascii="Arial" w:hAnsi="Arial" w:cs="Arial"/>
        </w:rPr>
      </w:pPr>
    </w:p>
    <w:tbl>
      <w:tblPr>
        <w:tblStyle w:val="TableGrid"/>
        <w:tblW w:w="0" w:type="auto"/>
        <w:tblLook w:val="04A0" w:firstRow="1" w:lastRow="0" w:firstColumn="1" w:lastColumn="0" w:noHBand="0" w:noVBand="1"/>
      </w:tblPr>
      <w:tblGrid>
        <w:gridCol w:w="2518"/>
        <w:gridCol w:w="6724"/>
      </w:tblGrid>
      <w:tr w:rsidR="00F23A67" w:rsidRPr="00F23A67" w14:paraId="783BD7A7" w14:textId="77777777" w:rsidTr="00970252">
        <w:tc>
          <w:tcPr>
            <w:tcW w:w="2518" w:type="dxa"/>
          </w:tcPr>
          <w:p w14:paraId="553D60EA" w14:textId="77777777" w:rsidR="00F23A67" w:rsidRPr="00970252" w:rsidRDefault="00111378" w:rsidP="00E00648">
            <w:pPr>
              <w:spacing w:before="120" w:after="240"/>
              <w:rPr>
                <w:rFonts w:ascii="Arial" w:hAnsi="Arial" w:cs="Arial"/>
                <w:b/>
              </w:rPr>
            </w:pPr>
            <w:r>
              <w:rPr>
                <w:rFonts w:ascii="Arial" w:hAnsi="Arial" w:cs="Arial"/>
                <w:b/>
              </w:rPr>
              <w:t>Student</w:t>
            </w:r>
            <w:r w:rsidR="00F23A67" w:rsidRPr="00970252">
              <w:rPr>
                <w:rFonts w:ascii="Arial" w:hAnsi="Arial" w:cs="Arial"/>
                <w:b/>
              </w:rPr>
              <w:t xml:space="preserve"> name</w:t>
            </w:r>
          </w:p>
        </w:tc>
        <w:tc>
          <w:tcPr>
            <w:tcW w:w="6724" w:type="dxa"/>
          </w:tcPr>
          <w:p w14:paraId="2EBBDDE1" w14:textId="77777777" w:rsidR="00F23A67" w:rsidRPr="00F23A67" w:rsidRDefault="00FE32F6" w:rsidP="00E00648">
            <w:pPr>
              <w:spacing w:before="120" w:after="240"/>
              <w:rPr>
                <w:rFonts w:ascii="Arial" w:hAnsi="Arial" w:cs="Arial"/>
              </w:rPr>
            </w:pPr>
            <w:r>
              <w:rPr>
                <w:rFonts w:ascii="Arial" w:hAnsi="Arial" w:cs="Arial"/>
              </w:rPr>
              <w:t>Christopher Olsen</w:t>
            </w:r>
          </w:p>
        </w:tc>
      </w:tr>
      <w:tr w:rsidR="00F23A67" w:rsidRPr="00F23A67" w14:paraId="097AC875" w14:textId="77777777" w:rsidTr="00970252">
        <w:tc>
          <w:tcPr>
            <w:tcW w:w="2518" w:type="dxa"/>
          </w:tcPr>
          <w:p w14:paraId="2ACD167C" w14:textId="77777777" w:rsidR="00F23A67" w:rsidRPr="00970252" w:rsidRDefault="00F23A67" w:rsidP="00E00648">
            <w:pPr>
              <w:spacing w:before="120" w:after="240"/>
              <w:rPr>
                <w:rFonts w:ascii="Arial" w:hAnsi="Arial" w:cs="Arial"/>
                <w:b/>
              </w:rPr>
            </w:pPr>
            <w:r w:rsidRPr="00970252">
              <w:rPr>
                <w:rFonts w:ascii="Arial" w:hAnsi="Arial" w:cs="Arial"/>
                <w:b/>
              </w:rPr>
              <w:t>Date submi</w:t>
            </w:r>
            <w:r w:rsidR="00111378">
              <w:rPr>
                <w:rFonts w:ascii="Arial" w:hAnsi="Arial" w:cs="Arial"/>
                <w:b/>
              </w:rPr>
              <w:t>tted</w:t>
            </w:r>
          </w:p>
        </w:tc>
        <w:tc>
          <w:tcPr>
            <w:tcW w:w="6724" w:type="dxa"/>
          </w:tcPr>
          <w:p w14:paraId="18E44D6B" w14:textId="77777777" w:rsidR="00F23A67" w:rsidRPr="00F23A67" w:rsidRDefault="00FE32F6" w:rsidP="00E00648">
            <w:pPr>
              <w:spacing w:before="120" w:after="240"/>
              <w:rPr>
                <w:rFonts w:ascii="Arial" w:hAnsi="Arial" w:cs="Arial"/>
              </w:rPr>
            </w:pPr>
            <w:r>
              <w:rPr>
                <w:rFonts w:ascii="Arial" w:hAnsi="Arial" w:cs="Arial"/>
              </w:rPr>
              <w:t>05/12/2016</w:t>
            </w:r>
          </w:p>
        </w:tc>
      </w:tr>
    </w:tbl>
    <w:p w14:paraId="4668E807" w14:textId="77777777" w:rsidR="00F23A67" w:rsidRDefault="00F23A67">
      <w:pPr>
        <w:rPr>
          <w:rFonts w:ascii="Arial" w:hAnsi="Arial" w:cs="Arial"/>
        </w:rPr>
      </w:pPr>
    </w:p>
    <w:p w14:paraId="419A1EDF" w14:textId="77777777" w:rsidR="00F23A67" w:rsidRPr="00AE721F" w:rsidRDefault="00F23A67" w:rsidP="00F23A67">
      <w:pPr>
        <w:rPr>
          <w:rFonts w:ascii="Arial" w:hAnsi="Arial" w:cs="Arial"/>
          <w:b/>
        </w:rPr>
      </w:pPr>
      <w:r w:rsidRPr="00AE721F">
        <w:rPr>
          <w:rFonts w:ascii="Arial" w:hAnsi="Arial" w:cs="Arial"/>
          <w:b/>
        </w:rPr>
        <w:t>Before you submit your formative assessment, please check:</w:t>
      </w:r>
    </w:p>
    <w:p w14:paraId="509F320B" w14:textId="77777777" w:rsidR="00970252" w:rsidRDefault="00970252" w:rsidP="00970252">
      <w:pPr>
        <w:pStyle w:val="ListParagraph"/>
        <w:numPr>
          <w:ilvl w:val="0"/>
          <w:numId w:val="1"/>
        </w:numPr>
        <w:rPr>
          <w:rFonts w:ascii="Arial" w:hAnsi="Arial" w:cs="Arial"/>
        </w:rPr>
      </w:pPr>
      <w:r>
        <w:rPr>
          <w:rFonts w:ascii="Arial" w:hAnsi="Arial" w:cs="Arial"/>
        </w:rPr>
        <w:t>I have observed the preparation and submission instructions for this assessment</w:t>
      </w:r>
    </w:p>
    <w:p w14:paraId="064FB275" w14:textId="77777777" w:rsidR="00970252" w:rsidRDefault="00970252" w:rsidP="00970252">
      <w:pPr>
        <w:pStyle w:val="ListParagraph"/>
        <w:numPr>
          <w:ilvl w:val="0"/>
          <w:numId w:val="1"/>
        </w:numPr>
        <w:rPr>
          <w:rFonts w:ascii="Arial" w:hAnsi="Arial" w:cs="Arial"/>
        </w:rPr>
      </w:pPr>
      <w:r>
        <w:rPr>
          <w:rFonts w:ascii="Arial" w:hAnsi="Arial" w:cs="Arial"/>
        </w:rPr>
        <w:t xml:space="preserve">I know what marking criteria apply to this assessment </w:t>
      </w:r>
    </w:p>
    <w:p w14:paraId="3A7DD98B" w14:textId="77777777" w:rsidR="00970252" w:rsidRDefault="00970252" w:rsidP="00970252">
      <w:pPr>
        <w:pStyle w:val="ListParagraph"/>
        <w:rPr>
          <w:rFonts w:ascii="Arial" w:hAnsi="Arial" w:cs="Arial"/>
        </w:rPr>
      </w:pPr>
      <w:r>
        <w:rPr>
          <w:rFonts w:ascii="Arial" w:hAnsi="Arial" w:cs="Arial"/>
        </w:rPr>
        <w:t>(Unless informed of specific marking criteria for the assessment, the assessment will be marked in accordance with the Intended Learning Outcomes (ILOs) for the Unit (</w:t>
      </w:r>
      <w:r w:rsidR="00AE721F">
        <w:rPr>
          <w:rFonts w:ascii="Arial" w:hAnsi="Arial" w:cs="Arial"/>
        </w:rPr>
        <w:t>see</w:t>
      </w:r>
      <w:r>
        <w:rPr>
          <w:rFonts w:ascii="Arial" w:hAnsi="Arial" w:cs="Arial"/>
        </w:rPr>
        <w:t xml:space="preserve"> the Unit Guide) and the Law School assessment criteria (</w:t>
      </w:r>
      <w:r w:rsidR="00AE721F">
        <w:rPr>
          <w:rFonts w:ascii="Arial" w:hAnsi="Arial" w:cs="Arial"/>
        </w:rPr>
        <w:t>see</w:t>
      </w:r>
      <w:r>
        <w:rPr>
          <w:rFonts w:ascii="Arial" w:hAnsi="Arial" w:cs="Arial"/>
        </w:rPr>
        <w:t xml:space="preserve"> Blackboard: </w:t>
      </w:r>
      <w:r w:rsidR="00111378">
        <w:rPr>
          <w:rFonts w:ascii="Arial" w:hAnsi="Arial" w:cs="Arial"/>
        </w:rPr>
        <w:t>Law Student Information - Assessment</w:t>
      </w:r>
      <w:r>
        <w:rPr>
          <w:rFonts w:ascii="Arial" w:hAnsi="Arial" w:cs="Arial"/>
        </w:rPr>
        <w:t>)</w:t>
      </w:r>
    </w:p>
    <w:p w14:paraId="090F7554" w14:textId="77777777" w:rsidR="00970252" w:rsidRDefault="00970252" w:rsidP="00970252">
      <w:pPr>
        <w:pStyle w:val="ListParagraph"/>
        <w:numPr>
          <w:ilvl w:val="0"/>
          <w:numId w:val="1"/>
        </w:numPr>
        <w:rPr>
          <w:rFonts w:ascii="Arial" w:hAnsi="Arial" w:cs="Arial"/>
        </w:rPr>
      </w:pPr>
      <w:r>
        <w:rPr>
          <w:rFonts w:ascii="Arial" w:hAnsi="Arial" w:cs="Arial"/>
        </w:rPr>
        <w:t>I have completed the box</w:t>
      </w:r>
      <w:r w:rsidR="00111378">
        <w:rPr>
          <w:rFonts w:ascii="Arial" w:hAnsi="Arial" w:cs="Arial"/>
        </w:rPr>
        <w:t>es</w:t>
      </w:r>
      <w:r>
        <w:rPr>
          <w:rFonts w:ascii="Arial" w:hAnsi="Arial" w:cs="Arial"/>
        </w:rPr>
        <w:t xml:space="preserve"> </w:t>
      </w:r>
      <w:r w:rsidR="00111378">
        <w:rPr>
          <w:rFonts w:ascii="Arial" w:hAnsi="Arial" w:cs="Arial"/>
        </w:rPr>
        <w:t xml:space="preserve">above, and have completed the </w:t>
      </w:r>
      <w:r w:rsidR="00395F06">
        <w:rPr>
          <w:rFonts w:ascii="Arial" w:hAnsi="Arial" w:cs="Arial"/>
        </w:rPr>
        <w:t xml:space="preserve">optional </w:t>
      </w:r>
      <w:r w:rsidR="00111378">
        <w:rPr>
          <w:rFonts w:ascii="Arial" w:hAnsi="Arial" w:cs="Arial"/>
        </w:rPr>
        <w:t xml:space="preserve">box </w:t>
      </w:r>
      <w:r>
        <w:rPr>
          <w:rFonts w:ascii="Arial" w:hAnsi="Arial" w:cs="Arial"/>
        </w:rPr>
        <w:t>below if there is any particular issue I would like my marker to provide specific feedback on</w:t>
      </w:r>
    </w:p>
    <w:p w14:paraId="3114C419" w14:textId="77777777" w:rsidR="00970252" w:rsidRPr="00970252" w:rsidRDefault="00970252" w:rsidP="00970252">
      <w:pPr>
        <w:pStyle w:val="ListParagraph"/>
        <w:rPr>
          <w:rFonts w:ascii="Arial" w:hAnsi="Arial" w:cs="Arial"/>
        </w:rPr>
      </w:pPr>
    </w:p>
    <w:tbl>
      <w:tblPr>
        <w:tblStyle w:val="TableGrid"/>
        <w:tblW w:w="9214" w:type="dxa"/>
        <w:tblInd w:w="-34" w:type="dxa"/>
        <w:tblLook w:val="04A0" w:firstRow="1" w:lastRow="0" w:firstColumn="1" w:lastColumn="0" w:noHBand="0" w:noVBand="1"/>
      </w:tblPr>
      <w:tblGrid>
        <w:gridCol w:w="5245"/>
        <w:gridCol w:w="3969"/>
      </w:tblGrid>
      <w:tr w:rsidR="00AE721F" w:rsidRPr="00F23A67" w14:paraId="04926A44" w14:textId="77777777" w:rsidTr="00366179">
        <w:tc>
          <w:tcPr>
            <w:tcW w:w="5245" w:type="dxa"/>
          </w:tcPr>
          <w:p w14:paraId="04B3CFD9" w14:textId="77777777" w:rsidR="00E11857" w:rsidRPr="00E00648" w:rsidRDefault="00E11857" w:rsidP="00E00648">
            <w:pPr>
              <w:spacing w:before="120"/>
              <w:rPr>
                <w:rFonts w:ascii="Arial" w:hAnsi="Arial" w:cs="Arial"/>
                <w:b/>
              </w:rPr>
            </w:pPr>
            <w:r w:rsidRPr="00E00648">
              <w:rPr>
                <w:rFonts w:ascii="Arial" w:hAnsi="Arial" w:cs="Arial"/>
                <w:b/>
              </w:rPr>
              <w:t>Specific feedback request</w:t>
            </w:r>
          </w:p>
          <w:p w14:paraId="0139665E" w14:textId="77777777" w:rsidR="00AE721F" w:rsidRPr="00E00648" w:rsidRDefault="00E11857" w:rsidP="00366179">
            <w:pPr>
              <w:rPr>
                <w:rFonts w:ascii="Arial" w:hAnsi="Arial" w:cs="Arial"/>
                <w:i/>
              </w:rPr>
            </w:pPr>
            <w:r w:rsidRPr="00E00648">
              <w:rPr>
                <w:rFonts w:ascii="Arial" w:hAnsi="Arial" w:cs="Arial"/>
                <w:i/>
              </w:rPr>
              <w:t xml:space="preserve">Please complete this section if there is </w:t>
            </w:r>
            <w:r w:rsidR="00E00648" w:rsidRPr="00E00648">
              <w:rPr>
                <w:rFonts w:ascii="Arial" w:hAnsi="Arial" w:cs="Arial"/>
                <w:i/>
              </w:rPr>
              <w:t>something</w:t>
            </w:r>
            <w:r w:rsidRPr="00E00648">
              <w:rPr>
                <w:rFonts w:ascii="Arial" w:hAnsi="Arial" w:cs="Arial"/>
                <w:i/>
              </w:rPr>
              <w:t xml:space="preserve"> on which you would like specific feedback from your marker. For example your reflection on pr</w:t>
            </w:r>
            <w:r w:rsidR="00E00648" w:rsidRPr="00E00648">
              <w:rPr>
                <w:rFonts w:ascii="Arial" w:hAnsi="Arial" w:cs="Arial"/>
                <w:i/>
              </w:rPr>
              <w:t>evious assessments might i</w:t>
            </w:r>
            <w:r w:rsidRPr="00E00648">
              <w:rPr>
                <w:rFonts w:ascii="Arial" w:hAnsi="Arial" w:cs="Arial"/>
                <w:i/>
              </w:rPr>
              <w:t>d</w:t>
            </w:r>
            <w:r w:rsidR="00E00648" w:rsidRPr="00E00648">
              <w:rPr>
                <w:rFonts w:ascii="Arial" w:hAnsi="Arial" w:cs="Arial"/>
                <w:i/>
              </w:rPr>
              <w:t xml:space="preserve">entify </w:t>
            </w:r>
            <w:r w:rsidRPr="00E00648">
              <w:rPr>
                <w:rFonts w:ascii="Arial" w:hAnsi="Arial" w:cs="Arial"/>
                <w:i/>
              </w:rPr>
              <w:t xml:space="preserve">difficulties in a particular area </w:t>
            </w:r>
            <w:r w:rsidR="00366179">
              <w:rPr>
                <w:rFonts w:ascii="Arial" w:hAnsi="Arial" w:cs="Arial"/>
                <w:i/>
              </w:rPr>
              <w:t>(</w:t>
            </w:r>
            <w:proofErr w:type="spellStart"/>
            <w:r w:rsidR="00366179">
              <w:rPr>
                <w:rFonts w:ascii="Arial" w:hAnsi="Arial" w:cs="Arial"/>
                <w:i/>
              </w:rPr>
              <w:t>eg</w:t>
            </w:r>
            <w:proofErr w:type="spellEnd"/>
            <w:r w:rsidR="00366179">
              <w:rPr>
                <w:rFonts w:ascii="Arial" w:hAnsi="Arial" w:cs="Arial"/>
                <w:i/>
              </w:rPr>
              <w:t xml:space="preserve"> </w:t>
            </w:r>
            <w:r w:rsidR="00AE721F" w:rsidRPr="00E00648">
              <w:rPr>
                <w:rFonts w:ascii="Arial" w:hAnsi="Arial" w:cs="Arial"/>
                <w:i/>
              </w:rPr>
              <w:t xml:space="preserve">structure; level of detail; </w:t>
            </w:r>
            <w:r w:rsidRPr="00E00648">
              <w:rPr>
                <w:rFonts w:ascii="Arial" w:hAnsi="Arial" w:cs="Arial"/>
                <w:i/>
              </w:rPr>
              <w:t>analysis</w:t>
            </w:r>
            <w:r w:rsidR="00366179">
              <w:rPr>
                <w:rFonts w:ascii="Arial" w:hAnsi="Arial" w:cs="Arial"/>
                <w:i/>
              </w:rPr>
              <w:t>;</w:t>
            </w:r>
            <w:r w:rsidRPr="00E00648">
              <w:rPr>
                <w:rFonts w:ascii="Arial" w:hAnsi="Arial" w:cs="Arial"/>
                <w:i/>
              </w:rPr>
              <w:t xml:space="preserve"> referencing</w:t>
            </w:r>
            <w:r w:rsidR="00366179">
              <w:rPr>
                <w:rFonts w:ascii="Arial" w:hAnsi="Arial" w:cs="Arial"/>
                <w:i/>
              </w:rPr>
              <w:t>)</w:t>
            </w:r>
            <w:r w:rsidRPr="00E00648">
              <w:rPr>
                <w:rFonts w:ascii="Arial" w:hAnsi="Arial" w:cs="Arial"/>
                <w:i/>
              </w:rPr>
              <w:t>. By completing this section</w:t>
            </w:r>
            <w:r w:rsidR="00E00648" w:rsidRPr="00E00648">
              <w:rPr>
                <w:rFonts w:ascii="Arial" w:hAnsi="Arial" w:cs="Arial"/>
                <w:i/>
              </w:rPr>
              <w:t xml:space="preserve"> your marker will know to provide you with feedback specifically directed to this issue to assist your skills development</w:t>
            </w:r>
            <w:r w:rsidRPr="00E00648">
              <w:rPr>
                <w:rFonts w:ascii="Arial" w:hAnsi="Arial" w:cs="Arial"/>
                <w:i/>
              </w:rPr>
              <w:t>.</w:t>
            </w:r>
          </w:p>
        </w:tc>
        <w:tc>
          <w:tcPr>
            <w:tcW w:w="3969" w:type="dxa"/>
          </w:tcPr>
          <w:p w14:paraId="1218CFE9" w14:textId="77777777" w:rsidR="00E11857" w:rsidRPr="00111378" w:rsidRDefault="00E11857" w:rsidP="00E11857">
            <w:pPr>
              <w:spacing w:before="120"/>
              <w:rPr>
                <w:rFonts w:ascii="Arial" w:hAnsi="Arial" w:cs="Arial"/>
              </w:rPr>
            </w:pPr>
            <w:r w:rsidRPr="00111378">
              <w:rPr>
                <w:rFonts w:ascii="Arial" w:hAnsi="Arial" w:cs="Arial"/>
                <w:b/>
              </w:rPr>
              <w:t xml:space="preserve">I would like </w:t>
            </w:r>
            <w:r>
              <w:rPr>
                <w:rFonts w:ascii="Arial" w:hAnsi="Arial" w:cs="Arial"/>
                <w:b/>
              </w:rPr>
              <w:t>to receive specific feedback on</w:t>
            </w:r>
            <w:r w:rsidR="00E00648">
              <w:rPr>
                <w:rFonts w:ascii="Arial" w:hAnsi="Arial" w:cs="Arial"/>
                <w:b/>
              </w:rPr>
              <w:t>:</w:t>
            </w:r>
            <w:r>
              <w:rPr>
                <w:rFonts w:ascii="Arial" w:hAnsi="Arial" w:cs="Arial"/>
              </w:rPr>
              <w:t xml:space="preserve"> </w:t>
            </w:r>
          </w:p>
          <w:p w14:paraId="5CECD41E" w14:textId="77777777" w:rsidR="00AE721F" w:rsidRPr="00AE721F" w:rsidRDefault="00AE721F" w:rsidP="00111378">
            <w:pPr>
              <w:spacing w:before="120"/>
              <w:rPr>
                <w:rFonts w:ascii="Arial" w:hAnsi="Arial" w:cs="Arial"/>
              </w:rPr>
            </w:pPr>
          </w:p>
        </w:tc>
      </w:tr>
    </w:tbl>
    <w:p w14:paraId="000368F5" w14:textId="77777777" w:rsidR="00E00648" w:rsidRDefault="00E00648">
      <w:pPr>
        <w:rPr>
          <w:rFonts w:ascii="Arial" w:hAnsi="Arial" w:cs="Arial"/>
          <w:i/>
        </w:rPr>
      </w:pPr>
    </w:p>
    <w:p w14:paraId="1DDE1F9A" w14:textId="77777777" w:rsidR="00E730F3" w:rsidRDefault="00111378">
      <w:pPr>
        <w:rPr>
          <w:rFonts w:ascii="Arial" w:hAnsi="Arial" w:cs="Arial"/>
          <w:i/>
        </w:rPr>
      </w:pPr>
      <w:r w:rsidRPr="00111378">
        <w:rPr>
          <w:rFonts w:ascii="Arial" w:hAnsi="Arial" w:cs="Arial"/>
          <w:i/>
        </w:rPr>
        <w:t>Feedback on your formative assessment will be provided as set out in your Unit Guide and/or as instructed by your Unit Co-ordinator</w:t>
      </w:r>
      <w:r w:rsidR="001D0F8B">
        <w:rPr>
          <w:rFonts w:ascii="Arial" w:hAnsi="Arial" w:cs="Arial"/>
          <w:i/>
        </w:rPr>
        <w:t>. P</w:t>
      </w:r>
      <w:r w:rsidRPr="00111378">
        <w:rPr>
          <w:rFonts w:ascii="Arial" w:hAnsi="Arial" w:cs="Arial"/>
          <w:i/>
        </w:rPr>
        <w:t>lease contact your Unit co-ordinator if you are unsure of when or how your feedback on this assessment will be provided.</w:t>
      </w:r>
    </w:p>
    <w:p w14:paraId="6D6F0AF2" w14:textId="77777777" w:rsidR="00E730F3" w:rsidRDefault="00E730F3" w:rsidP="00E730F3">
      <w:pPr>
        <w:spacing w:after="0"/>
        <w:jc w:val="center"/>
        <w:rPr>
          <w:rFonts w:ascii="Arial Nova Light" w:hAnsi="Arial Nova Light"/>
          <w:b/>
        </w:rPr>
        <w:sectPr w:rsidR="00E730F3">
          <w:headerReference w:type="default" r:id="rId8"/>
          <w:pgSz w:w="11906" w:h="16838"/>
          <w:pgMar w:top="1440" w:right="1440" w:bottom="1440" w:left="1440" w:header="708" w:footer="708" w:gutter="0"/>
          <w:cols w:space="708"/>
          <w:docGrid w:linePitch="360"/>
        </w:sectPr>
      </w:pPr>
    </w:p>
    <w:p w14:paraId="5803CFD3" w14:textId="77777777" w:rsidR="00E730F3" w:rsidRPr="005F37E7" w:rsidRDefault="00E730F3" w:rsidP="00E730F3">
      <w:pPr>
        <w:spacing w:after="0"/>
        <w:jc w:val="center"/>
        <w:rPr>
          <w:rFonts w:ascii="Arial Nova Light" w:hAnsi="Arial Nova Light"/>
          <w:b/>
        </w:rPr>
      </w:pPr>
      <w:r>
        <w:rPr>
          <w:rFonts w:ascii="Arial Nova Light" w:hAnsi="Arial Nova Light"/>
          <w:b/>
        </w:rPr>
        <w:lastRenderedPageBreak/>
        <w:t>UNIVERSITY OF BRISTOL LAW SCHOOL: FEEDBACK</w:t>
      </w:r>
    </w:p>
    <w:p w14:paraId="2548B516" w14:textId="77777777" w:rsidR="00E730F3" w:rsidRPr="006C58B7" w:rsidRDefault="00E730F3" w:rsidP="00E730F3">
      <w:pPr>
        <w:spacing w:after="0"/>
        <w:rPr>
          <w:rFonts w:ascii="Arial Nova Light" w:hAnsi="Arial Nova Light"/>
          <w:sz w:val="16"/>
          <w:szCs w:val="16"/>
        </w:rPr>
      </w:pPr>
    </w:p>
    <w:p w14:paraId="7157C1E4" w14:textId="77777777" w:rsidR="00E730F3" w:rsidRPr="00F620EB" w:rsidRDefault="00E730F3" w:rsidP="00E730F3">
      <w:pPr>
        <w:spacing w:after="0"/>
        <w:jc w:val="both"/>
        <w:rPr>
          <w:rFonts w:ascii="Arial Nova Light" w:hAnsi="Arial Nova Light"/>
          <w:sz w:val="20"/>
          <w:szCs w:val="20"/>
        </w:rPr>
      </w:pPr>
      <w:r w:rsidRPr="00F620EB">
        <w:rPr>
          <w:rFonts w:ascii="Arial Nova Light" w:hAnsi="Arial Nova Light"/>
          <w:sz w:val="20"/>
          <w:szCs w:val="20"/>
        </w:rPr>
        <w:t xml:space="preserve">Your work is assessed with reference to the Law School’s assessment criteria (based on the University Assessment Criteria). These criteria are driven by Intended Learning Outcomes (ILOs) with your final, overall mark for this Unit reflecting </w:t>
      </w:r>
      <w:r w:rsidRPr="00F620EB">
        <w:rPr>
          <w:rFonts w:ascii="Arial Nova Light" w:hAnsi="Arial Nova Light"/>
          <w:sz w:val="20"/>
          <w:szCs w:val="20"/>
          <w:u w:val="single"/>
        </w:rPr>
        <w:t>how well you have attained the Intended Learning Outcomes</w:t>
      </w:r>
      <w:r w:rsidRPr="00F620EB">
        <w:rPr>
          <w:rFonts w:ascii="Arial Nova Light" w:hAnsi="Arial Nova Light"/>
          <w:sz w:val="20"/>
          <w:szCs w:val="20"/>
        </w:rPr>
        <w:t xml:space="preserve"> (</w:t>
      </w:r>
      <w:r w:rsidRPr="00E248B7">
        <w:rPr>
          <w:rFonts w:ascii="Arial Nova Light" w:hAnsi="Arial Nova Light"/>
          <w:sz w:val="20"/>
          <w:szCs w:val="20"/>
        </w:rPr>
        <w:t>ILO</w:t>
      </w:r>
      <w:r w:rsidRPr="00F620EB">
        <w:rPr>
          <w:rFonts w:ascii="Arial Nova Light" w:hAnsi="Arial Nova Light"/>
          <w:sz w:val="20"/>
          <w:szCs w:val="20"/>
        </w:rPr>
        <w:t xml:space="preserve">s) for the Unit. </w:t>
      </w:r>
    </w:p>
    <w:p w14:paraId="4EB62ACF" w14:textId="77777777" w:rsidR="00E730F3" w:rsidRPr="00F620EB" w:rsidRDefault="00E730F3" w:rsidP="00E730F3">
      <w:pPr>
        <w:spacing w:after="0"/>
        <w:jc w:val="both"/>
        <w:rPr>
          <w:rFonts w:ascii="Arial Nova Light" w:hAnsi="Arial Nova Light"/>
          <w:sz w:val="20"/>
          <w:szCs w:val="20"/>
        </w:rPr>
      </w:pPr>
    </w:p>
    <w:p w14:paraId="3D951F17" w14:textId="77777777" w:rsidR="00E730F3" w:rsidRPr="00F620EB" w:rsidRDefault="00E730F3" w:rsidP="00E730F3">
      <w:pPr>
        <w:spacing w:after="0"/>
        <w:jc w:val="both"/>
        <w:rPr>
          <w:rFonts w:ascii="Arial Nova Light" w:hAnsi="Arial Nova Light"/>
          <w:sz w:val="20"/>
          <w:szCs w:val="20"/>
        </w:rPr>
      </w:pPr>
      <w:r w:rsidRPr="00F620EB">
        <w:rPr>
          <w:rFonts w:ascii="Arial Nova Light" w:hAnsi="Arial Nova Light"/>
          <w:sz w:val="20"/>
          <w:szCs w:val="20"/>
        </w:rPr>
        <w:t xml:space="preserve">The following table provides an indication of your relative performance in relation to the ILOs that generally apply in law units, so that you can more easily spot particular strengths or weaknesses. </w:t>
      </w:r>
      <w:r>
        <w:rPr>
          <w:rFonts w:ascii="Arial Nova Light" w:hAnsi="Arial Nova Light"/>
          <w:sz w:val="20"/>
          <w:szCs w:val="20"/>
        </w:rPr>
        <w:t xml:space="preserve">(See the assessment criteria guide for more detail on these). </w:t>
      </w:r>
      <w:r w:rsidRPr="00F620EB">
        <w:rPr>
          <w:rFonts w:ascii="Arial Nova Light" w:hAnsi="Arial Nova Light"/>
          <w:sz w:val="20"/>
          <w:szCs w:val="20"/>
        </w:rPr>
        <w:t xml:space="preserve">Your mark is </w:t>
      </w:r>
      <w:r w:rsidRPr="00F620EB">
        <w:rPr>
          <w:rFonts w:ascii="Arial Nova Light" w:hAnsi="Arial Nova Light"/>
          <w:b/>
          <w:sz w:val="20"/>
          <w:szCs w:val="20"/>
          <w:u w:val="single"/>
        </w:rPr>
        <w:t>not</w:t>
      </w:r>
      <w:r w:rsidRPr="00F620EB">
        <w:rPr>
          <w:rFonts w:ascii="Arial Nova Light" w:hAnsi="Arial Nova Light"/>
          <w:sz w:val="20"/>
          <w:szCs w:val="20"/>
        </w:rPr>
        <w:t xml:space="preserve"> calculated by ‘adding up’ these boxes, but by reference to the assessment criteria and a judgment of the quality of this piece of work in the round.  Please pay particular attention to the comments provided by the marker in relation to your work, and their specific suggestions for improvement.</w:t>
      </w:r>
    </w:p>
    <w:p w14:paraId="1CD691AB" w14:textId="77777777" w:rsidR="00E730F3" w:rsidRPr="00F620EB" w:rsidRDefault="00E730F3" w:rsidP="00E730F3">
      <w:pPr>
        <w:spacing w:after="0"/>
        <w:jc w:val="both"/>
        <w:rPr>
          <w:rFonts w:ascii="Arial Nova Light" w:hAnsi="Arial Nova Light"/>
          <w:sz w:val="20"/>
          <w:szCs w:val="20"/>
        </w:rPr>
      </w:pPr>
    </w:p>
    <w:p w14:paraId="6E9F1E91" w14:textId="77777777" w:rsidR="00E730F3" w:rsidRPr="00F620EB" w:rsidRDefault="00E730F3" w:rsidP="00E730F3">
      <w:pPr>
        <w:spacing w:after="0"/>
        <w:jc w:val="both"/>
        <w:rPr>
          <w:rFonts w:ascii="Arial Nova Light" w:hAnsi="Arial Nova Light"/>
          <w:sz w:val="20"/>
          <w:szCs w:val="20"/>
        </w:rPr>
      </w:pPr>
      <w:r w:rsidRPr="00F620EB">
        <w:rPr>
          <w:rFonts w:ascii="Arial Nova Light" w:hAnsi="Arial Nova Light"/>
          <w:sz w:val="20"/>
          <w:szCs w:val="20"/>
        </w:rPr>
        <w:t>If, after reading the comments and reviewing your assessment, you have any queries relating to this feedback or require clarification, please see your tutor or the unit coordinator in their consultation hour</w:t>
      </w:r>
      <w:r>
        <w:rPr>
          <w:rFonts w:ascii="Arial Nova Light" w:hAnsi="Arial Nova Light"/>
          <w:sz w:val="20"/>
          <w:szCs w:val="20"/>
        </w:rPr>
        <w:t>s</w:t>
      </w:r>
      <w:r w:rsidRPr="00F620EB">
        <w:rPr>
          <w:rFonts w:ascii="Arial Nova Light" w:hAnsi="Arial Nova Light"/>
          <w:sz w:val="20"/>
          <w:szCs w:val="20"/>
        </w:rPr>
        <w:t xml:space="preserve">. </w:t>
      </w:r>
      <w:r>
        <w:rPr>
          <w:rFonts w:ascii="Arial Nova Light" w:hAnsi="Arial Nova Light"/>
          <w:sz w:val="20"/>
          <w:szCs w:val="20"/>
        </w:rPr>
        <w:t>A</w:t>
      </w:r>
      <w:r w:rsidRPr="00F620EB">
        <w:rPr>
          <w:rFonts w:ascii="Arial Nova Light" w:hAnsi="Arial Nova Light"/>
          <w:sz w:val="20"/>
          <w:szCs w:val="20"/>
        </w:rPr>
        <w:t xml:space="preserve">dditional general feedback or a feedback session may </w:t>
      </w:r>
      <w:r>
        <w:rPr>
          <w:rFonts w:ascii="Arial Nova Light" w:hAnsi="Arial Nova Light"/>
          <w:sz w:val="20"/>
          <w:szCs w:val="20"/>
        </w:rPr>
        <w:t xml:space="preserve">also </w:t>
      </w:r>
      <w:r w:rsidRPr="00F620EB">
        <w:rPr>
          <w:rFonts w:ascii="Arial Nova Light" w:hAnsi="Arial Nova Light"/>
          <w:sz w:val="20"/>
          <w:szCs w:val="20"/>
        </w:rPr>
        <w:t>be provided in relation to this piece of work: please check on Blackboard or with your Unit co-ordinator. Your personal tutor can provide more general support in understanding and acting on feedback.</w:t>
      </w:r>
    </w:p>
    <w:p w14:paraId="69648B85" w14:textId="77777777" w:rsidR="00E730F3" w:rsidRPr="005F37E7" w:rsidRDefault="00E730F3" w:rsidP="00E730F3">
      <w:pPr>
        <w:spacing w:after="0"/>
        <w:rPr>
          <w:rFonts w:ascii="Arial Nova Light" w:hAnsi="Arial Nova Light"/>
          <w:sz w:val="20"/>
          <w:szCs w:val="20"/>
        </w:rPr>
      </w:pPr>
    </w:p>
    <w:tbl>
      <w:tblPr>
        <w:tblStyle w:val="TableGrid"/>
        <w:tblW w:w="11199" w:type="dxa"/>
        <w:jc w:val="center"/>
        <w:tblLayout w:type="fixed"/>
        <w:tblLook w:val="04A0" w:firstRow="1" w:lastRow="0" w:firstColumn="1" w:lastColumn="0" w:noHBand="0" w:noVBand="1"/>
      </w:tblPr>
      <w:tblGrid>
        <w:gridCol w:w="426"/>
        <w:gridCol w:w="2977"/>
        <w:gridCol w:w="1276"/>
        <w:gridCol w:w="1276"/>
        <w:gridCol w:w="1275"/>
        <w:gridCol w:w="1418"/>
        <w:gridCol w:w="1417"/>
        <w:gridCol w:w="1134"/>
      </w:tblGrid>
      <w:tr w:rsidR="00E730F3" w:rsidRPr="005F37E7" w14:paraId="5784F2EB" w14:textId="77777777" w:rsidTr="00E730F3">
        <w:trPr>
          <w:jc w:val="center"/>
        </w:trPr>
        <w:tc>
          <w:tcPr>
            <w:tcW w:w="426" w:type="dxa"/>
          </w:tcPr>
          <w:p w14:paraId="51496E6B" w14:textId="77777777" w:rsidR="00E730F3" w:rsidRPr="005814C1" w:rsidRDefault="00E730F3" w:rsidP="00D5595E">
            <w:pPr>
              <w:spacing w:before="40"/>
              <w:rPr>
                <w:rFonts w:ascii="Arial Nova Light" w:hAnsi="Arial Nova Light"/>
                <w:sz w:val="16"/>
                <w:szCs w:val="16"/>
              </w:rPr>
            </w:pPr>
          </w:p>
        </w:tc>
        <w:tc>
          <w:tcPr>
            <w:tcW w:w="2977" w:type="dxa"/>
          </w:tcPr>
          <w:p w14:paraId="091DD771" w14:textId="77777777" w:rsidR="00E730F3" w:rsidRPr="005814C1" w:rsidRDefault="00E730F3" w:rsidP="00D5595E">
            <w:pPr>
              <w:spacing w:before="40"/>
              <w:rPr>
                <w:rFonts w:ascii="Arial Nova Light" w:hAnsi="Arial Nova Light"/>
                <w:sz w:val="16"/>
                <w:szCs w:val="16"/>
              </w:rPr>
            </w:pPr>
          </w:p>
        </w:tc>
        <w:tc>
          <w:tcPr>
            <w:tcW w:w="1276" w:type="dxa"/>
          </w:tcPr>
          <w:p w14:paraId="58DEB1FD" w14:textId="77777777" w:rsidR="00E730F3" w:rsidRPr="005F37E7" w:rsidRDefault="00E730F3" w:rsidP="00D5595E">
            <w:pPr>
              <w:spacing w:before="40"/>
              <w:jc w:val="center"/>
              <w:rPr>
                <w:rFonts w:ascii="Arial Nova Cond Light" w:hAnsi="Arial Nova Cond Light"/>
                <w:b/>
                <w:sz w:val="16"/>
                <w:szCs w:val="16"/>
              </w:rPr>
            </w:pPr>
            <w:r w:rsidRPr="005F37E7">
              <w:rPr>
                <w:rFonts w:ascii="Arial Nova Cond Light" w:hAnsi="Arial Nova Cond Light"/>
                <w:b/>
                <w:sz w:val="16"/>
                <w:szCs w:val="16"/>
              </w:rPr>
              <w:t>Exceptional</w:t>
            </w:r>
          </w:p>
        </w:tc>
        <w:tc>
          <w:tcPr>
            <w:tcW w:w="1276" w:type="dxa"/>
          </w:tcPr>
          <w:p w14:paraId="725F09A1" w14:textId="77777777" w:rsidR="00E730F3" w:rsidRPr="005F37E7" w:rsidRDefault="00E730F3" w:rsidP="00D5595E">
            <w:pPr>
              <w:spacing w:before="40"/>
              <w:jc w:val="center"/>
              <w:rPr>
                <w:rFonts w:ascii="Arial Nova Cond Light" w:hAnsi="Arial Nova Cond Light"/>
                <w:b/>
                <w:sz w:val="16"/>
                <w:szCs w:val="16"/>
              </w:rPr>
            </w:pPr>
            <w:r w:rsidRPr="005F37E7">
              <w:rPr>
                <w:rFonts w:ascii="Arial Nova Cond Light" w:hAnsi="Arial Nova Cond Light"/>
                <w:b/>
                <w:sz w:val="16"/>
                <w:szCs w:val="16"/>
              </w:rPr>
              <w:t>Excellent</w:t>
            </w:r>
          </w:p>
        </w:tc>
        <w:tc>
          <w:tcPr>
            <w:tcW w:w="1275" w:type="dxa"/>
          </w:tcPr>
          <w:p w14:paraId="430153B5" w14:textId="77777777" w:rsidR="00E730F3" w:rsidRPr="005F37E7" w:rsidRDefault="00E730F3" w:rsidP="00D5595E">
            <w:pPr>
              <w:spacing w:before="40"/>
              <w:jc w:val="center"/>
              <w:rPr>
                <w:rFonts w:ascii="Arial Nova Cond Light" w:hAnsi="Arial Nova Cond Light"/>
                <w:b/>
                <w:sz w:val="16"/>
                <w:szCs w:val="16"/>
              </w:rPr>
            </w:pPr>
            <w:r w:rsidRPr="005F37E7">
              <w:rPr>
                <w:rFonts w:ascii="Arial Nova Cond Light" w:hAnsi="Arial Nova Cond Light"/>
                <w:b/>
                <w:sz w:val="16"/>
                <w:szCs w:val="16"/>
              </w:rPr>
              <w:t>Good</w:t>
            </w:r>
          </w:p>
        </w:tc>
        <w:tc>
          <w:tcPr>
            <w:tcW w:w="1418" w:type="dxa"/>
          </w:tcPr>
          <w:p w14:paraId="24F52816" w14:textId="77777777" w:rsidR="00E730F3" w:rsidRPr="005F37E7" w:rsidRDefault="00E730F3" w:rsidP="00D5595E">
            <w:pPr>
              <w:spacing w:before="40"/>
              <w:jc w:val="center"/>
              <w:rPr>
                <w:rFonts w:ascii="Arial Nova Cond Light" w:hAnsi="Arial Nova Cond Light"/>
                <w:b/>
                <w:sz w:val="16"/>
                <w:szCs w:val="16"/>
              </w:rPr>
            </w:pPr>
            <w:r w:rsidRPr="005F37E7">
              <w:rPr>
                <w:rFonts w:ascii="Arial Nova Cond Light" w:hAnsi="Arial Nova Cond Light"/>
                <w:b/>
                <w:sz w:val="16"/>
                <w:szCs w:val="16"/>
              </w:rPr>
              <w:t>Satisfactory</w:t>
            </w:r>
          </w:p>
        </w:tc>
        <w:tc>
          <w:tcPr>
            <w:tcW w:w="1417" w:type="dxa"/>
          </w:tcPr>
          <w:p w14:paraId="6C0FABF5" w14:textId="77777777" w:rsidR="00E730F3" w:rsidRPr="005F37E7" w:rsidRDefault="00E730F3" w:rsidP="00D5595E">
            <w:pPr>
              <w:spacing w:before="40"/>
              <w:jc w:val="center"/>
              <w:rPr>
                <w:rFonts w:ascii="Arial Nova Cond Light" w:hAnsi="Arial Nova Cond Light"/>
                <w:b/>
                <w:sz w:val="16"/>
                <w:szCs w:val="16"/>
              </w:rPr>
            </w:pPr>
            <w:r>
              <w:rPr>
                <w:rFonts w:ascii="Arial Nova Cond Light" w:hAnsi="Arial Nova Cond Light"/>
                <w:b/>
                <w:sz w:val="16"/>
                <w:szCs w:val="16"/>
              </w:rPr>
              <w:t>Poor</w:t>
            </w:r>
          </w:p>
        </w:tc>
        <w:tc>
          <w:tcPr>
            <w:tcW w:w="1134" w:type="dxa"/>
          </w:tcPr>
          <w:p w14:paraId="3044B949" w14:textId="77777777" w:rsidR="00E730F3" w:rsidRPr="005F37E7" w:rsidRDefault="00E730F3" w:rsidP="00D5595E">
            <w:pPr>
              <w:spacing w:before="40"/>
              <w:jc w:val="center"/>
              <w:rPr>
                <w:rFonts w:ascii="Arial Nova Cond Light" w:hAnsi="Arial Nova Cond Light"/>
                <w:b/>
                <w:sz w:val="16"/>
                <w:szCs w:val="16"/>
              </w:rPr>
            </w:pPr>
            <w:r>
              <w:rPr>
                <w:rFonts w:ascii="Arial Nova Cond Light" w:hAnsi="Arial Nova Cond Light"/>
                <w:b/>
                <w:sz w:val="16"/>
                <w:szCs w:val="16"/>
              </w:rPr>
              <w:t xml:space="preserve">Inadequate </w:t>
            </w:r>
          </w:p>
        </w:tc>
      </w:tr>
      <w:tr w:rsidR="00E730F3" w:rsidRPr="005F37E7" w14:paraId="1B20CD6C" w14:textId="77777777" w:rsidTr="00E730F3">
        <w:trPr>
          <w:jc w:val="center"/>
        </w:trPr>
        <w:tc>
          <w:tcPr>
            <w:tcW w:w="426" w:type="dxa"/>
          </w:tcPr>
          <w:p w14:paraId="22681390" w14:textId="77777777" w:rsidR="00E730F3" w:rsidRPr="005814C1" w:rsidRDefault="00E730F3" w:rsidP="00D5595E">
            <w:pPr>
              <w:spacing w:before="40"/>
              <w:rPr>
                <w:rFonts w:ascii="Arial Nova Light" w:hAnsi="Arial Nova Light"/>
                <w:b/>
                <w:sz w:val="16"/>
                <w:szCs w:val="16"/>
              </w:rPr>
            </w:pPr>
            <w:r>
              <w:rPr>
                <w:rFonts w:ascii="Arial Nova Light" w:hAnsi="Arial Nova Light"/>
                <w:b/>
                <w:sz w:val="16"/>
                <w:szCs w:val="16"/>
              </w:rPr>
              <w:t>K</w:t>
            </w:r>
          </w:p>
        </w:tc>
        <w:tc>
          <w:tcPr>
            <w:tcW w:w="2977" w:type="dxa"/>
          </w:tcPr>
          <w:p w14:paraId="0DC34E43" w14:textId="77777777" w:rsidR="00E730F3" w:rsidRPr="005814C1" w:rsidRDefault="00E730F3" w:rsidP="00D5595E">
            <w:pPr>
              <w:spacing w:before="40"/>
              <w:rPr>
                <w:rFonts w:ascii="Arial Nova Light" w:hAnsi="Arial Nova Light"/>
                <w:b/>
                <w:sz w:val="16"/>
                <w:szCs w:val="16"/>
              </w:rPr>
            </w:pPr>
            <w:r>
              <w:rPr>
                <w:rFonts w:ascii="Arial Nova Light" w:hAnsi="Arial Nova Light"/>
                <w:b/>
                <w:sz w:val="16"/>
                <w:szCs w:val="16"/>
              </w:rPr>
              <w:t>Knowledge</w:t>
            </w:r>
            <w:r w:rsidRPr="005814C1">
              <w:rPr>
                <w:rFonts w:ascii="Arial Nova Light" w:hAnsi="Arial Nova Light"/>
                <w:b/>
                <w:sz w:val="16"/>
                <w:szCs w:val="16"/>
              </w:rPr>
              <w:t xml:space="preserve"> and Comprehension</w:t>
            </w:r>
          </w:p>
        </w:tc>
        <w:tc>
          <w:tcPr>
            <w:tcW w:w="1276" w:type="dxa"/>
          </w:tcPr>
          <w:p w14:paraId="189E16BE" w14:textId="77777777" w:rsidR="00E730F3" w:rsidRPr="005F37E7" w:rsidRDefault="00E730F3" w:rsidP="00D5595E">
            <w:pPr>
              <w:spacing w:before="40"/>
              <w:rPr>
                <w:rFonts w:ascii="Arial Nova Light" w:hAnsi="Arial Nova Light"/>
                <w:sz w:val="18"/>
                <w:szCs w:val="18"/>
              </w:rPr>
            </w:pPr>
          </w:p>
        </w:tc>
        <w:tc>
          <w:tcPr>
            <w:tcW w:w="1276" w:type="dxa"/>
          </w:tcPr>
          <w:p w14:paraId="03DB258F" w14:textId="77777777" w:rsidR="00E730F3" w:rsidRPr="005F37E7" w:rsidRDefault="00E730F3" w:rsidP="00D5595E">
            <w:pPr>
              <w:spacing w:before="40"/>
              <w:rPr>
                <w:rFonts w:ascii="Arial Nova Light" w:hAnsi="Arial Nova Light"/>
                <w:sz w:val="18"/>
                <w:szCs w:val="18"/>
              </w:rPr>
            </w:pPr>
          </w:p>
        </w:tc>
        <w:tc>
          <w:tcPr>
            <w:tcW w:w="1275" w:type="dxa"/>
          </w:tcPr>
          <w:p w14:paraId="093C8AB6" w14:textId="77777777" w:rsidR="00E730F3" w:rsidRPr="005F37E7" w:rsidRDefault="00E730F3" w:rsidP="00D5595E">
            <w:pPr>
              <w:spacing w:before="40"/>
              <w:rPr>
                <w:rFonts w:ascii="Arial Nova Light" w:hAnsi="Arial Nova Light"/>
                <w:sz w:val="18"/>
                <w:szCs w:val="18"/>
              </w:rPr>
            </w:pPr>
          </w:p>
        </w:tc>
        <w:tc>
          <w:tcPr>
            <w:tcW w:w="1418" w:type="dxa"/>
          </w:tcPr>
          <w:p w14:paraId="72A21E96" w14:textId="77777777" w:rsidR="00E730F3" w:rsidRPr="005F37E7" w:rsidRDefault="00E730F3" w:rsidP="00D5595E">
            <w:pPr>
              <w:spacing w:before="40"/>
              <w:rPr>
                <w:rFonts w:ascii="Arial Nova Light" w:hAnsi="Arial Nova Light"/>
                <w:sz w:val="18"/>
                <w:szCs w:val="18"/>
              </w:rPr>
            </w:pPr>
          </w:p>
        </w:tc>
        <w:tc>
          <w:tcPr>
            <w:tcW w:w="1417" w:type="dxa"/>
          </w:tcPr>
          <w:p w14:paraId="507C62B8" w14:textId="77777777" w:rsidR="00E730F3" w:rsidRPr="005F37E7" w:rsidRDefault="00E730F3" w:rsidP="00D5595E">
            <w:pPr>
              <w:spacing w:before="40"/>
              <w:rPr>
                <w:rFonts w:ascii="Arial Nova Light" w:hAnsi="Arial Nova Light"/>
                <w:sz w:val="18"/>
                <w:szCs w:val="18"/>
              </w:rPr>
            </w:pPr>
          </w:p>
        </w:tc>
        <w:tc>
          <w:tcPr>
            <w:tcW w:w="1134" w:type="dxa"/>
          </w:tcPr>
          <w:p w14:paraId="4EE3FAFE" w14:textId="77777777" w:rsidR="00E730F3" w:rsidRPr="005F37E7" w:rsidRDefault="00E730F3" w:rsidP="00D5595E">
            <w:pPr>
              <w:spacing w:before="40"/>
              <w:rPr>
                <w:rFonts w:ascii="Arial Nova Light" w:hAnsi="Arial Nova Light"/>
                <w:sz w:val="18"/>
                <w:szCs w:val="18"/>
              </w:rPr>
            </w:pPr>
          </w:p>
        </w:tc>
      </w:tr>
      <w:tr w:rsidR="00E730F3" w:rsidRPr="005F37E7" w14:paraId="581FE8A8" w14:textId="77777777" w:rsidTr="00E730F3">
        <w:trPr>
          <w:jc w:val="center"/>
        </w:trPr>
        <w:tc>
          <w:tcPr>
            <w:tcW w:w="426" w:type="dxa"/>
          </w:tcPr>
          <w:p w14:paraId="54757855" w14:textId="77777777" w:rsidR="00E730F3" w:rsidRPr="005814C1" w:rsidRDefault="00E730F3" w:rsidP="00D5595E">
            <w:pPr>
              <w:spacing w:before="40"/>
              <w:rPr>
                <w:rFonts w:ascii="Arial Nova Light" w:hAnsi="Arial Nova Light"/>
                <w:b/>
                <w:sz w:val="16"/>
                <w:szCs w:val="16"/>
              </w:rPr>
            </w:pPr>
            <w:r w:rsidRPr="005814C1">
              <w:rPr>
                <w:rFonts w:ascii="Arial Nova Light" w:hAnsi="Arial Nova Light"/>
                <w:b/>
                <w:sz w:val="16"/>
                <w:szCs w:val="16"/>
              </w:rPr>
              <w:t>S</w:t>
            </w:r>
          </w:p>
        </w:tc>
        <w:tc>
          <w:tcPr>
            <w:tcW w:w="2977" w:type="dxa"/>
          </w:tcPr>
          <w:p w14:paraId="39963563" w14:textId="77777777" w:rsidR="00E730F3" w:rsidRPr="005814C1" w:rsidRDefault="00E730F3" w:rsidP="00D5595E">
            <w:pPr>
              <w:spacing w:before="40"/>
              <w:rPr>
                <w:rFonts w:ascii="Arial Nova Light" w:hAnsi="Arial Nova Light"/>
                <w:b/>
                <w:sz w:val="16"/>
                <w:szCs w:val="16"/>
              </w:rPr>
            </w:pPr>
            <w:r>
              <w:rPr>
                <w:rFonts w:ascii="Arial Nova Light" w:hAnsi="Arial Nova Light"/>
                <w:b/>
                <w:sz w:val="16"/>
                <w:szCs w:val="16"/>
              </w:rPr>
              <w:t>Problem-</w:t>
            </w:r>
            <w:r w:rsidRPr="005814C1">
              <w:rPr>
                <w:rFonts w:ascii="Arial Nova Light" w:hAnsi="Arial Nova Light"/>
                <w:b/>
                <w:sz w:val="16"/>
                <w:szCs w:val="16"/>
              </w:rPr>
              <w:t xml:space="preserve">Solving, </w:t>
            </w:r>
            <w:r>
              <w:rPr>
                <w:rFonts w:ascii="Arial Nova Light" w:hAnsi="Arial Nova Light"/>
                <w:b/>
                <w:sz w:val="16"/>
                <w:szCs w:val="16"/>
              </w:rPr>
              <w:t xml:space="preserve">Critical </w:t>
            </w:r>
            <w:r w:rsidRPr="005814C1">
              <w:rPr>
                <w:rFonts w:ascii="Arial Nova Light" w:hAnsi="Arial Nova Light"/>
                <w:b/>
                <w:sz w:val="16"/>
                <w:szCs w:val="16"/>
              </w:rPr>
              <w:t>Analysis, Synthesis</w:t>
            </w:r>
            <w:r>
              <w:rPr>
                <w:rFonts w:ascii="Arial Nova Light" w:hAnsi="Arial Nova Light"/>
                <w:b/>
                <w:sz w:val="16"/>
                <w:szCs w:val="16"/>
              </w:rPr>
              <w:t xml:space="preserve"> and</w:t>
            </w:r>
            <w:r w:rsidRPr="005814C1">
              <w:rPr>
                <w:rFonts w:ascii="Arial Nova Light" w:hAnsi="Arial Nova Light"/>
                <w:b/>
                <w:sz w:val="16"/>
                <w:szCs w:val="16"/>
              </w:rPr>
              <w:t xml:space="preserve"> Evaluation</w:t>
            </w:r>
          </w:p>
        </w:tc>
        <w:tc>
          <w:tcPr>
            <w:tcW w:w="1276" w:type="dxa"/>
          </w:tcPr>
          <w:p w14:paraId="528AEF01" w14:textId="77777777" w:rsidR="00E730F3" w:rsidRPr="005F37E7" w:rsidRDefault="00E730F3" w:rsidP="00D5595E">
            <w:pPr>
              <w:spacing w:before="40"/>
              <w:rPr>
                <w:rFonts w:ascii="Arial Nova Light" w:hAnsi="Arial Nova Light"/>
                <w:sz w:val="18"/>
                <w:szCs w:val="18"/>
              </w:rPr>
            </w:pPr>
          </w:p>
        </w:tc>
        <w:tc>
          <w:tcPr>
            <w:tcW w:w="1276" w:type="dxa"/>
          </w:tcPr>
          <w:p w14:paraId="36FFE39D" w14:textId="77777777" w:rsidR="00E730F3" w:rsidRPr="005F37E7" w:rsidRDefault="00E730F3" w:rsidP="00D5595E">
            <w:pPr>
              <w:spacing w:before="40"/>
              <w:rPr>
                <w:rFonts w:ascii="Arial Nova Light" w:hAnsi="Arial Nova Light"/>
                <w:sz w:val="18"/>
                <w:szCs w:val="18"/>
              </w:rPr>
            </w:pPr>
          </w:p>
        </w:tc>
        <w:tc>
          <w:tcPr>
            <w:tcW w:w="1275" w:type="dxa"/>
          </w:tcPr>
          <w:p w14:paraId="11CBC73E" w14:textId="77777777" w:rsidR="00E730F3" w:rsidRPr="005F37E7" w:rsidRDefault="00E730F3" w:rsidP="00D5595E">
            <w:pPr>
              <w:spacing w:before="40"/>
              <w:rPr>
                <w:rFonts w:ascii="Arial Nova Light" w:hAnsi="Arial Nova Light"/>
                <w:sz w:val="18"/>
                <w:szCs w:val="18"/>
              </w:rPr>
            </w:pPr>
          </w:p>
        </w:tc>
        <w:tc>
          <w:tcPr>
            <w:tcW w:w="1418" w:type="dxa"/>
          </w:tcPr>
          <w:p w14:paraId="51A75AC2" w14:textId="77777777" w:rsidR="00E730F3" w:rsidRPr="005F37E7" w:rsidRDefault="00E730F3" w:rsidP="00D5595E">
            <w:pPr>
              <w:spacing w:before="40"/>
              <w:rPr>
                <w:rFonts w:ascii="Arial Nova Light" w:hAnsi="Arial Nova Light"/>
                <w:sz w:val="18"/>
                <w:szCs w:val="18"/>
              </w:rPr>
            </w:pPr>
          </w:p>
        </w:tc>
        <w:tc>
          <w:tcPr>
            <w:tcW w:w="1417" w:type="dxa"/>
          </w:tcPr>
          <w:p w14:paraId="1C519806" w14:textId="77777777" w:rsidR="00E730F3" w:rsidRPr="005F37E7" w:rsidRDefault="00E730F3" w:rsidP="00D5595E">
            <w:pPr>
              <w:spacing w:before="40"/>
              <w:rPr>
                <w:rFonts w:ascii="Arial Nova Light" w:hAnsi="Arial Nova Light"/>
                <w:sz w:val="18"/>
                <w:szCs w:val="18"/>
              </w:rPr>
            </w:pPr>
          </w:p>
        </w:tc>
        <w:tc>
          <w:tcPr>
            <w:tcW w:w="1134" w:type="dxa"/>
          </w:tcPr>
          <w:p w14:paraId="0141E5F7" w14:textId="77777777" w:rsidR="00E730F3" w:rsidRPr="005F37E7" w:rsidRDefault="00E730F3" w:rsidP="00D5595E">
            <w:pPr>
              <w:spacing w:before="40"/>
              <w:rPr>
                <w:rFonts w:ascii="Arial Nova Light" w:hAnsi="Arial Nova Light"/>
                <w:sz w:val="18"/>
                <w:szCs w:val="18"/>
              </w:rPr>
            </w:pPr>
          </w:p>
        </w:tc>
      </w:tr>
      <w:tr w:rsidR="00E730F3" w:rsidRPr="005F37E7" w14:paraId="19256CEC" w14:textId="77777777" w:rsidTr="00E730F3">
        <w:trPr>
          <w:jc w:val="center"/>
        </w:trPr>
        <w:tc>
          <w:tcPr>
            <w:tcW w:w="426" w:type="dxa"/>
          </w:tcPr>
          <w:p w14:paraId="5B2D4A26" w14:textId="77777777" w:rsidR="00E730F3" w:rsidRPr="005814C1" w:rsidRDefault="00E730F3" w:rsidP="00D5595E">
            <w:pPr>
              <w:spacing w:before="40"/>
              <w:rPr>
                <w:rFonts w:ascii="Arial Nova Light" w:hAnsi="Arial Nova Light"/>
                <w:b/>
                <w:sz w:val="16"/>
                <w:szCs w:val="16"/>
              </w:rPr>
            </w:pPr>
            <w:r>
              <w:rPr>
                <w:rFonts w:ascii="Arial Nova Light" w:hAnsi="Arial Nova Light"/>
                <w:b/>
                <w:sz w:val="16"/>
                <w:szCs w:val="16"/>
              </w:rPr>
              <w:t>A</w:t>
            </w:r>
          </w:p>
        </w:tc>
        <w:tc>
          <w:tcPr>
            <w:tcW w:w="2977" w:type="dxa"/>
          </w:tcPr>
          <w:p w14:paraId="7382864B" w14:textId="77777777" w:rsidR="00E730F3" w:rsidRPr="005814C1" w:rsidRDefault="00E730F3" w:rsidP="00D5595E">
            <w:pPr>
              <w:spacing w:before="40"/>
              <w:rPr>
                <w:rFonts w:ascii="Arial Nova Light" w:hAnsi="Arial Nova Light"/>
                <w:b/>
                <w:sz w:val="16"/>
                <w:szCs w:val="16"/>
              </w:rPr>
            </w:pPr>
            <w:r w:rsidRPr="005814C1">
              <w:rPr>
                <w:rFonts w:ascii="Arial Nova Light" w:hAnsi="Arial Nova Light"/>
                <w:b/>
                <w:sz w:val="16"/>
                <w:szCs w:val="16"/>
              </w:rPr>
              <w:t>Quality of Argument</w:t>
            </w:r>
          </w:p>
        </w:tc>
        <w:tc>
          <w:tcPr>
            <w:tcW w:w="1276" w:type="dxa"/>
          </w:tcPr>
          <w:p w14:paraId="7166DA10" w14:textId="77777777" w:rsidR="00E730F3" w:rsidRPr="005F37E7" w:rsidRDefault="00E730F3" w:rsidP="00D5595E">
            <w:pPr>
              <w:spacing w:before="40"/>
              <w:rPr>
                <w:rFonts w:ascii="Arial Nova Light" w:hAnsi="Arial Nova Light"/>
                <w:sz w:val="18"/>
                <w:szCs w:val="18"/>
              </w:rPr>
            </w:pPr>
          </w:p>
        </w:tc>
        <w:tc>
          <w:tcPr>
            <w:tcW w:w="1276" w:type="dxa"/>
          </w:tcPr>
          <w:p w14:paraId="11C88A88" w14:textId="77777777" w:rsidR="00E730F3" w:rsidRPr="005F37E7" w:rsidRDefault="00E730F3" w:rsidP="00D5595E">
            <w:pPr>
              <w:spacing w:before="40"/>
              <w:rPr>
                <w:rFonts w:ascii="Arial Nova Light" w:hAnsi="Arial Nova Light"/>
                <w:sz w:val="18"/>
                <w:szCs w:val="18"/>
              </w:rPr>
            </w:pPr>
          </w:p>
        </w:tc>
        <w:tc>
          <w:tcPr>
            <w:tcW w:w="1275" w:type="dxa"/>
          </w:tcPr>
          <w:p w14:paraId="55773A7A" w14:textId="77777777" w:rsidR="00E730F3" w:rsidRPr="005F37E7" w:rsidRDefault="00E730F3" w:rsidP="00D5595E">
            <w:pPr>
              <w:spacing w:before="40"/>
              <w:rPr>
                <w:rFonts w:ascii="Arial Nova Light" w:hAnsi="Arial Nova Light"/>
                <w:sz w:val="18"/>
                <w:szCs w:val="18"/>
              </w:rPr>
            </w:pPr>
          </w:p>
        </w:tc>
        <w:tc>
          <w:tcPr>
            <w:tcW w:w="1418" w:type="dxa"/>
          </w:tcPr>
          <w:p w14:paraId="5A0B4791" w14:textId="77777777" w:rsidR="00E730F3" w:rsidRPr="005F37E7" w:rsidRDefault="00E730F3" w:rsidP="00D5595E">
            <w:pPr>
              <w:spacing w:before="40"/>
              <w:rPr>
                <w:rFonts w:ascii="Arial Nova Light" w:hAnsi="Arial Nova Light"/>
                <w:sz w:val="18"/>
                <w:szCs w:val="18"/>
              </w:rPr>
            </w:pPr>
          </w:p>
        </w:tc>
        <w:tc>
          <w:tcPr>
            <w:tcW w:w="1417" w:type="dxa"/>
          </w:tcPr>
          <w:p w14:paraId="7DC55911" w14:textId="77777777" w:rsidR="00E730F3" w:rsidRPr="005F37E7" w:rsidRDefault="00E730F3" w:rsidP="00D5595E">
            <w:pPr>
              <w:spacing w:before="40"/>
              <w:rPr>
                <w:rFonts w:ascii="Arial Nova Light" w:hAnsi="Arial Nova Light"/>
                <w:sz w:val="18"/>
                <w:szCs w:val="18"/>
              </w:rPr>
            </w:pPr>
          </w:p>
        </w:tc>
        <w:tc>
          <w:tcPr>
            <w:tcW w:w="1134" w:type="dxa"/>
          </w:tcPr>
          <w:p w14:paraId="16F6E7C0" w14:textId="77777777" w:rsidR="00E730F3" w:rsidRPr="005F37E7" w:rsidRDefault="00E730F3" w:rsidP="00D5595E">
            <w:pPr>
              <w:spacing w:before="40"/>
              <w:rPr>
                <w:rFonts w:ascii="Arial Nova Light" w:hAnsi="Arial Nova Light"/>
                <w:sz w:val="18"/>
                <w:szCs w:val="18"/>
              </w:rPr>
            </w:pPr>
          </w:p>
        </w:tc>
      </w:tr>
      <w:tr w:rsidR="00E730F3" w:rsidRPr="005F37E7" w14:paraId="4C795C25" w14:textId="77777777" w:rsidTr="00E730F3">
        <w:trPr>
          <w:jc w:val="center"/>
        </w:trPr>
        <w:tc>
          <w:tcPr>
            <w:tcW w:w="426" w:type="dxa"/>
          </w:tcPr>
          <w:p w14:paraId="4BD047BD" w14:textId="77777777" w:rsidR="00E730F3" w:rsidRPr="005814C1" w:rsidRDefault="00E730F3" w:rsidP="00D5595E">
            <w:pPr>
              <w:spacing w:before="40"/>
              <w:rPr>
                <w:rFonts w:ascii="Arial Nova Light" w:hAnsi="Arial Nova Light"/>
                <w:b/>
                <w:sz w:val="16"/>
                <w:szCs w:val="16"/>
              </w:rPr>
            </w:pPr>
            <w:r>
              <w:rPr>
                <w:rFonts w:ascii="Arial Nova Light" w:hAnsi="Arial Nova Light"/>
                <w:b/>
                <w:sz w:val="16"/>
                <w:szCs w:val="16"/>
              </w:rPr>
              <w:t>E</w:t>
            </w:r>
          </w:p>
        </w:tc>
        <w:tc>
          <w:tcPr>
            <w:tcW w:w="2977" w:type="dxa"/>
          </w:tcPr>
          <w:p w14:paraId="105D0BBC" w14:textId="77777777" w:rsidR="00E730F3" w:rsidRPr="005814C1" w:rsidRDefault="00E730F3" w:rsidP="00D5595E">
            <w:pPr>
              <w:spacing w:before="40"/>
              <w:rPr>
                <w:rFonts w:ascii="Arial Nova Light" w:hAnsi="Arial Nova Light"/>
                <w:b/>
                <w:sz w:val="16"/>
                <w:szCs w:val="16"/>
              </w:rPr>
            </w:pPr>
            <w:r w:rsidRPr="005814C1">
              <w:rPr>
                <w:rFonts w:ascii="Arial Nova Light" w:hAnsi="Arial Nova Light"/>
                <w:b/>
                <w:sz w:val="16"/>
                <w:szCs w:val="16"/>
              </w:rPr>
              <w:t>Quality of Expression</w:t>
            </w:r>
          </w:p>
        </w:tc>
        <w:tc>
          <w:tcPr>
            <w:tcW w:w="1276" w:type="dxa"/>
          </w:tcPr>
          <w:p w14:paraId="5C97D841" w14:textId="77777777" w:rsidR="00E730F3" w:rsidRPr="005F37E7" w:rsidRDefault="00E730F3" w:rsidP="00D5595E">
            <w:pPr>
              <w:spacing w:before="40"/>
              <w:rPr>
                <w:rFonts w:ascii="Arial Nova Light" w:hAnsi="Arial Nova Light"/>
                <w:sz w:val="18"/>
                <w:szCs w:val="18"/>
              </w:rPr>
            </w:pPr>
          </w:p>
        </w:tc>
        <w:tc>
          <w:tcPr>
            <w:tcW w:w="1276" w:type="dxa"/>
          </w:tcPr>
          <w:p w14:paraId="48500EDA" w14:textId="77777777" w:rsidR="00E730F3" w:rsidRPr="005F37E7" w:rsidRDefault="00E730F3" w:rsidP="00D5595E">
            <w:pPr>
              <w:spacing w:before="40"/>
              <w:rPr>
                <w:rFonts w:ascii="Arial Nova Light" w:hAnsi="Arial Nova Light"/>
                <w:sz w:val="18"/>
                <w:szCs w:val="18"/>
              </w:rPr>
            </w:pPr>
          </w:p>
        </w:tc>
        <w:tc>
          <w:tcPr>
            <w:tcW w:w="1275" w:type="dxa"/>
          </w:tcPr>
          <w:p w14:paraId="4256A7D9" w14:textId="77777777" w:rsidR="00E730F3" w:rsidRPr="005F37E7" w:rsidRDefault="00E730F3" w:rsidP="00D5595E">
            <w:pPr>
              <w:spacing w:before="40"/>
              <w:rPr>
                <w:rFonts w:ascii="Arial Nova Light" w:hAnsi="Arial Nova Light"/>
                <w:sz w:val="18"/>
                <w:szCs w:val="18"/>
              </w:rPr>
            </w:pPr>
          </w:p>
        </w:tc>
        <w:tc>
          <w:tcPr>
            <w:tcW w:w="1418" w:type="dxa"/>
          </w:tcPr>
          <w:p w14:paraId="117203D4" w14:textId="77777777" w:rsidR="00E730F3" w:rsidRPr="005F37E7" w:rsidRDefault="00E730F3" w:rsidP="00D5595E">
            <w:pPr>
              <w:spacing w:before="40"/>
              <w:rPr>
                <w:rFonts w:ascii="Arial Nova Light" w:hAnsi="Arial Nova Light"/>
                <w:sz w:val="18"/>
                <w:szCs w:val="18"/>
              </w:rPr>
            </w:pPr>
          </w:p>
        </w:tc>
        <w:tc>
          <w:tcPr>
            <w:tcW w:w="1417" w:type="dxa"/>
          </w:tcPr>
          <w:p w14:paraId="5E09A73E" w14:textId="77777777" w:rsidR="00E730F3" w:rsidRPr="005F37E7" w:rsidRDefault="00E730F3" w:rsidP="00D5595E">
            <w:pPr>
              <w:spacing w:before="40"/>
              <w:rPr>
                <w:rFonts w:ascii="Arial Nova Light" w:hAnsi="Arial Nova Light"/>
                <w:sz w:val="18"/>
                <w:szCs w:val="18"/>
              </w:rPr>
            </w:pPr>
          </w:p>
        </w:tc>
        <w:tc>
          <w:tcPr>
            <w:tcW w:w="1134" w:type="dxa"/>
          </w:tcPr>
          <w:p w14:paraId="3361DD73" w14:textId="77777777" w:rsidR="00E730F3" w:rsidRPr="005F37E7" w:rsidRDefault="00E730F3" w:rsidP="00D5595E">
            <w:pPr>
              <w:spacing w:before="40"/>
              <w:rPr>
                <w:rFonts w:ascii="Arial Nova Light" w:hAnsi="Arial Nova Light"/>
                <w:sz w:val="18"/>
                <w:szCs w:val="18"/>
              </w:rPr>
            </w:pPr>
          </w:p>
        </w:tc>
      </w:tr>
      <w:tr w:rsidR="00E730F3" w:rsidRPr="005F37E7" w14:paraId="7A82DF72" w14:textId="77777777" w:rsidTr="00E730F3">
        <w:trPr>
          <w:jc w:val="center"/>
        </w:trPr>
        <w:tc>
          <w:tcPr>
            <w:tcW w:w="426" w:type="dxa"/>
          </w:tcPr>
          <w:p w14:paraId="66D0C956" w14:textId="77777777" w:rsidR="00E730F3" w:rsidRPr="005814C1" w:rsidRDefault="00E730F3" w:rsidP="00D5595E">
            <w:pPr>
              <w:spacing w:before="40"/>
              <w:rPr>
                <w:rFonts w:ascii="Arial Nova Light" w:hAnsi="Arial Nova Light"/>
                <w:b/>
                <w:sz w:val="16"/>
                <w:szCs w:val="16"/>
              </w:rPr>
            </w:pPr>
            <w:r w:rsidRPr="005814C1">
              <w:rPr>
                <w:rFonts w:ascii="Arial Nova Light" w:hAnsi="Arial Nova Light"/>
                <w:b/>
                <w:sz w:val="16"/>
                <w:szCs w:val="16"/>
              </w:rPr>
              <w:t>R</w:t>
            </w:r>
          </w:p>
        </w:tc>
        <w:tc>
          <w:tcPr>
            <w:tcW w:w="2977" w:type="dxa"/>
          </w:tcPr>
          <w:p w14:paraId="72C8D689" w14:textId="77777777" w:rsidR="00E730F3" w:rsidRPr="005814C1" w:rsidRDefault="00E730F3" w:rsidP="00D5595E">
            <w:pPr>
              <w:spacing w:before="40"/>
              <w:rPr>
                <w:rFonts w:ascii="Arial Nova Light" w:hAnsi="Arial Nova Light"/>
                <w:b/>
                <w:sz w:val="16"/>
                <w:szCs w:val="16"/>
              </w:rPr>
            </w:pPr>
            <w:r w:rsidRPr="005814C1">
              <w:rPr>
                <w:rFonts w:ascii="Arial Nova Light" w:hAnsi="Arial Nova Light"/>
                <w:b/>
                <w:sz w:val="16"/>
                <w:szCs w:val="16"/>
              </w:rPr>
              <w:t xml:space="preserve">Use of Authority, </w:t>
            </w:r>
            <w:r>
              <w:rPr>
                <w:rFonts w:ascii="Arial Nova Light" w:hAnsi="Arial Nova Light"/>
                <w:b/>
                <w:sz w:val="16"/>
                <w:szCs w:val="16"/>
              </w:rPr>
              <w:t>R</w:t>
            </w:r>
            <w:r w:rsidRPr="005814C1">
              <w:rPr>
                <w:rFonts w:ascii="Arial Nova Light" w:hAnsi="Arial Nova Light"/>
                <w:b/>
                <w:sz w:val="16"/>
                <w:szCs w:val="16"/>
              </w:rPr>
              <w:t xml:space="preserve">eference and </w:t>
            </w:r>
            <w:r>
              <w:rPr>
                <w:rFonts w:ascii="Arial Nova Light" w:hAnsi="Arial Nova Light"/>
                <w:b/>
                <w:sz w:val="16"/>
                <w:szCs w:val="16"/>
              </w:rPr>
              <w:t>R</w:t>
            </w:r>
            <w:r w:rsidRPr="005814C1">
              <w:rPr>
                <w:rFonts w:ascii="Arial Nova Light" w:hAnsi="Arial Nova Light"/>
                <w:b/>
                <w:sz w:val="16"/>
                <w:szCs w:val="16"/>
              </w:rPr>
              <w:t>esearch</w:t>
            </w:r>
          </w:p>
        </w:tc>
        <w:tc>
          <w:tcPr>
            <w:tcW w:w="1276" w:type="dxa"/>
          </w:tcPr>
          <w:p w14:paraId="1DDB2DFF" w14:textId="77777777" w:rsidR="00E730F3" w:rsidRPr="005F37E7" w:rsidRDefault="00E730F3" w:rsidP="00D5595E">
            <w:pPr>
              <w:spacing w:before="40"/>
              <w:rPr>
                <w:rFonts w:ascii="Arial Nova Light" w:hAnsi="Arial Nova Light"/>
                <w:sz w:val="18"/>
                <w:szCs w:val="18"/>
              </w:rPr>
            </w:pPr>
          </w:p>
        </w:tc>
        <w:tc>
          <w:tcPr>
            <w:tcW w:w="1276" w:type="dxa"/>
          </w:tcPr>
          <w:p w14:paraId="7C805C96" w14:textId="77777777" w:rsidR="00E730F3" w:rsidRPr="005F37E7" w:rsidRDefault="00E730F3" w:rsidP="00D5595E">
            <w:pPr>
              <w:spacing w:before="40"/>
              <w:rPr>
                <w:rFonts w:ascii="Arial Nova Light" w:hAnsi="Arial Nova Light"/>
                <w:sz w:val="18"/>
                <w:szCs w:val="18"/>
              </w:rPr>
            </w:pPr>
          </w:p>
        </w:tc>
        <w:tc>
          <w:tcPr>
            <w:tcW w:w="1275" w:type="dxa"/>
          </w:tcPr>
          <w:p w14:paraId="636CD53C" w14:textId="77777777" w:rsidR="00E730F3" w:rsidRPr="005F37E7" w:rsidRDefault="00E730F3" w:rsidP="00D5595E">
            <w:pPr>
              <w:spacing w:before="40"/>
              <w:rPr>
                <w:rFonts w:ascii="Arial Nova Light" w:hAnsi="Arial Nova Light"/>
                <w:sz w:val="18"/>
                <w:szCs w:val="18"/>
              </w:rPr>
            </w:pPr>
          </w:p>
        </w:tc>
        <w:tc>
          <w:tcPr>
            <w:tcW w:w="1418" w:type="dxa"/>
          </w:tcPr>
          <w:p w14:paraId="613D4A9E" w14:textId="77777777" w:rsidR="00E730F3" w:rsidRPr="005F37E7" w:rsidRDefault="00E730F3" w:rsidP="00D5595E">
            <w:pPr>
              <w:spacing w:before="40"/>
              <w:rPr>
                <w:rFonts w:ascii="Arial Nova Light" w:hAnsi="Arial Nova Light"/>
                <w:sz w:val="18"/>
                <w:szCs w:val="18"/>
              </w:rPr>
            </w:pPr>
          </w:p>
        </w:tc>
        <w:tc>
          <w:tcPr>
            <w:tcW w:w="1417" w:type="dxa"/>
          </w:tcPr>
          <w:p w14:paraId="076477DA" w14:textId="77777777" w:rsidR="00E730F3" w:rsidRPr="005F37E7" w:rsidRDefault="00E730F3" w:rsidP="00D5595E">
            <w:pPr>
              <w:spacing w:before="40"/>
              <w:rPr>
                <w:rFonts w:ascii="Arial Nova Light" w:hAnsi="Arial Nova Light"/>
                <w:sz w:val="18"/>
                <w:szCs w:val="18"/>
              </w:rPr>
            </w:pPr>
          </w:p>
        </w:tc>
        <w:tc>
          <w:tcPr>
            <w:tcW w:w="1134" w:type="dxa"/>
          </w:tcPr>
          <w:p w14:paraId="3456A19D" w14:textId="77777777" w:rsidR="00E730F3" w:rsidRPr="005F37E7" w:rsidRDefault="00E730F3" w:rsidP="00D5595E">
            <w:pPr>
              <w:spacing w:before="40"/>
              <w:rPr>
                <w:rFonts w:ascii="Arial Nova Light" w:hAnsi="Arial Nova Light"/>
                <w:sz w:val="18"/>
                <w:szCs w:val="18"/>
              </w:rPr>
            </w:pPr>
          </w:p>
        </w:tc>
      </w:tr>
      <w:tr w:rsidR="00E730F3" w:rsidRPr="005F37E7" w14:paraId="1A49D188" w14:textId="77777777" w:rsidTr="00E730F3">
        <w:trPr>
          <w:jc w:val="center"/>
        </w:trPr>
        <w:tc>
          <w:tcPr>
            <w:tcW w:w="11199" w:type="dxa"/>
            <w:gridSpan w:val="8"/>
          </w:tcPr>
          <w:p w14:paraId="09C30956" w14:textId="77777777" w:rsidR="00E730F3" w:rsidRPr="005F37E7" w:rsidRDefault="00E730F3" w:rsidP="00D5595E">
            <w:pPr>
              <w:jc w:val="center"/>
              <w:rPr>
                <w:rFonts w:ascii="Arial Nova Light" w:hAnsi="Arial Nova Light"/>
                <w:sz w:val="18"/>
                <w:szCs w:val="18"/>
              </w:rPr>
            </w:pPr>
            <w:r>
              <w:rPr>
                <w:rFonts w:ascii="Arial Nova Light" w:hAnsi="Arial Nova Light"/>
                <w:sz w:val="18"/>
                <w:szCs w:val="18"/>
              </w:rPr>
              <w:t>Note: your marker may use the codes (K, S, A, E, R) on your work or in your feedback to refer to these criteria</w:t>
            </w:r>
          </w:p>
        </w:tc>
      </w:tr>
    </w:tbl>
    <w:p w14:paraId="1CF8051B" w14:textId="77777777" w:rsidR="00E730F3" w:rsidRDefault="00E730F3" w:rsidP="00E730F3">
      <w:pPr>
        <w:spacing w:after="0"/>
        <w:rPr>
          <w:rFonts w:ascii="Arial Nova Light" w:hAnsi="Arial Nova Light"/>
          <w:sz w:val="20"/>
          <w:szCs w:val="20"/>
        </w:rPr>
      </w:pPr>
    </w:p>
    <w:tbl>
      <w:tblPr>
        <w:tblStyle w:val="TableGrid"/>
        <w:tblW w:w="10632" w:type="dxa"/>
        <w:jc w:val="center"/>
        <w:tblLook w:val="04A0" w:firstRow="1" w:lastRow="0" w:firstColumn="1" w:lastColumn="0" w:noHBand="0" w:noVBand="1"/>
      </w:tblPr>
      <w:tblGrid>
        <w:gridCol w:w="2360"/>
        <w:gridCol w:w="2177"/>
        <w:gridCol w:w="3260"/>
        <w:gridCol w:w="2835"/>
      </w:tblGrid>
      <w:tr w:rsidR="00E730F3" w:rsidRPr="005F37E7" w14:paraId="0D6D35D7" w14:textId="77777777" w:rsidTr="00E730F3">
        <w:trPr>
          <w:jc w:val="center"/>
        </w:trPr>
        <w:tc>
          <w:tcPr>
            <w:tcW w:w="10632" w:type="dxa"/>
            <w:gridSpan w:val="4"/>
          </w:tcPr>
          <w:p w14:paraId="71E8A736" w14:textId="77777777" w:rsidR="00E730F3" w:rsidRPr="005F37E7" w:rsidRDefault="00E730F3" w:rsidP="00D5595E">
            <w:pPr>
              <w:rPr>
                <w:rFonts w:ascii="Arial Nova Light" w:hAnsi="Arial Nova Light"/>
                <w:b/>
              </w:rPr>
            </w:pPr>
            <w:r w:rsidRPr="005F37E7">
              <w:rPr>
                <w:rFonts w:ascii="Arial Nova Light" w:hAnsi="Arial Nova Light"/>
                <w:b/>
              </w:rPr>
              <w:t>General comments on your work:</w:t>
            </w:r>
          </w:p>
          <w:p w14:paraId="0563AA9F" w14:textId="77777777" w:rsidR="00E730F3" w:rsidRPr="005F37E7" w:rsidRDefault="00E730F3" w:rsidP="00D5595E">
            <w:pPr>
              <w:rPr>
                <w:rFonts w:ascii="Arial Nova Light" w:hAnsi="Arial Nova Light"/>
              </w:rPr>
            </w:pPr>
          </w:p>
          <w:p w14:paraId="5B954DBB" w14:textId="77777777" w:rsidR="00E730F3" w:rsidRPr="005F37E7" w:rsidRDefault="00E730F3" w:rsidP="00D5595E">
            <w:pPr>
              <w:rPr>
                <w:rFonts w:ascii="Arial Nova Light" w:hAnsi="Arial Nova Light"/>
              </w:rPr>
            </w:pPr>
          </w:p>
          <w:p w14:paraId="09D3F313" w14:textId="77777777" w:rsidR="00E730F3" w:rsidRPr="005F37E7" w:rsidRDefault="00E730F3" w:rsidP="00D5595E">
            <w:pPr>
              <w:rPr>
                <w:rFonts w:ascii="Arial Nova Light" w:hAnsi="Arial Nova Light"/>
              </w:rPr>
            </w:pPr>
          </w:p>
          <w:p w14:paraId="2320E836" w14:textId="77777777" w:rsidR="00E730F3" w:rsidRPr="005F37E7" w:rsidRDefault="00E730F3" w:rsidP="00D5595E">
            <w:pPr>
              <w:rPr>
                <w:rFonts w:ascii="Arial Nova Light" w:hAnsi="Arial Nova Light"/>
              </w:rPr>
            </w:pPr>
          </w:p>
          <w:p w14:paraId="40791DF5" w14:textId="77777777" w:rsidR="00E730F3" w:rsidRPr="005F37E7" w:rsidRDefault="00E730F3" w:rsidP="00D5595E">
            <w:pPr>
              <w:rPr>
                <w:rFonts w:ascii="Arial Nova Light" w:hAnsi="Arial Nova Light"/>
              </w:rPr>
            </w:pPr>
          </w:p>
          <w:p w14:paraId="017F1EA4" w14:textId="77777777" w:rsidR="00E730F3" w:rsidRPr="005F37E7" w:rsidRDefault="00E730F3" w:rsidP="00D5595E">
            <w:pPr>
              <w:rPr>
                <w:rFonts w:ascii="Arial Nova Light" w:hAnsi="Arial Nova Light"/>
              </w:rPr>
            </w:pPr>
          </w:p>
          <w:p w14:paraId="04C73CDE" w14:textId="77777777" w:rsidR="00E730F3" w:rsidRPr="005F37E7" w:rsidRDefault="00E730F3" w:rsidP="00D5595E">
            <w:pPr>
              <w:rPr>
                <w:rFonts w:ascii="Arial Nova Light" w:hAnsi="Arial Nova Light"/>
              </w:rPr>
            </w:pPr>
          </w:p>
          <w:p w14:paraId="6A76C878" w14:textId="77777777" w:rsidR="00E730F3" w:rsidRPr="005F37E7" w:rsidRDefault="00E730F3" w:rsidP="00D5595E">
            <w:pPr>
              <w:rPr>
                <w:rFonts w:ascii="Arial Nova Light" w:hAnsi="Arial Nova Light"/>
              </w:rPr>
            </w:pPr>
          </w:p>
          <w:p w14:paraId="69F5954A" w14:textId="77777777" w:rsidR="00E730F3" w:rsidRPr="005F37E7" w:rsidRDefault="00E730F3" w:rsidP="00D5595E">
            <w:pPr>
              <w:rPr>
                <w:rFonts w:ascii="Arial Nova Light" w:hAnsi="Arial Nova Light"/>
              </w:rPr>
            </w:pPr>
          </w:p>
        </w:tc>
      </w:tr>
      <w:tr w:rsidR="00E730F3" w:rsidRPr="005F37E7" w14:paraId="56477354" w14:textId="77777777" w:rsidTr="00E730F3">
        <w:trPr>
          <w:jc w:val="center"/>
        </w:trPr>
        <w:tc>
          <w:tcPr>
            <w:tcW w:w="10632" w:type="dxa"/>
            <w:gridSpan w:val="4"/>
          </w:tcPr>
          <w:p w14:paraId="31B7398C" w14:textId="77777777" w:rsidR="00E730F3" w:rsidRPr="005F37E7" w:rsidRDefault="00E730F3" w:rsidP="00D5595E">
            <w:pPr>
              <w:rPr>
                <w:rFonts w:ascii="Arial Nova Light" w:hAnsi="Arial Nova Light"/>
                <w:b/>
              </w:rPr>
            </w:pPr>
            <w:r w:rsidRPr="005F37E7">
              <w:rPr>
                <w:rFonts w:ascii="Arial Nova Light" w:hAnsi="Arial Nova Light"/>
                <w:b/>
              </w:rPr>
              <w:t>To improve your work:</w:t>
            </w:r>
          </w:p>
          <w:p w14:paraId="5D276B6D" w14:textId="77777777" w:rsidR="00E730F3" w:rsidRPr="005F37E7" w:rsidRDefault="00E730F3" w:rsidP="00D5595E">
            <w:pPr>
              <w:rPr>
                <w:rFonts w:ascii="Arial Nova Light" w:hAnsi="Arial Nova Light"/>
              </w:rPr>
            </w:pPr>
          </w:p>
          <w:p w14:paraId="4C511DF2" w14:textId="77777777" w:rsidR="00E730F3" w:rsidRPr="005F37E7" w:rsidRDefault="00E730F3" w:rsidP="00D5595E">
            <w:pPr>
              <w:rPr>
                <w:rFonts w:ascii="Arial Nova Light" w:hAnsi="Arial Nova Light"/>
              </w:rPr>
            </w:pPr>
          </w:p>
          <w:p w14:paraId="5EF6B596" w14:textId="77777777" w:rsidR="00E730F3" w:rsidRDefault="00E730F3" w:rsidP="00D5595E">
            <w:pPr>
              <w:rPr>
                <w:rFonts w:ascii="Arial Nova Light" w:hAnsi="Arial Nova Light"/>
              </w:rPr>
            </w:pPr>
          </w:p>
          <w:p w14:paraId="39A1322E" w14:textId="77777777" w:rsidR="00E730F3" w:rsidRPr="005F37E7" w:rsidRDefault="00E730F3" w:rsidP="00D5595E">
            <w:pPr>
              <w:rPr>
                <w:rFonts w:ascii="Arial Nova Light" w:hAnsi="Arial Nova Light"/>
              </w:rPr>
            </w:pPr>
          </w:p>
          <w:p w14:paraId="780EDDC2" w14:textId="77777777" w:rsidR="00E730F3" w:rsidRPr="005F37E7" w:rsidRDefault="00E730F3" w:rsidP="00D5595E">
            <w:pPr>
              <w:rPr>
                <w:rFonts w:ascii="Arial Nova Light" w:hAnsi="Arial Nova Light"/>
              </w:rPr>
            </w:pPr>
          </w:p>
          <w:p w14:paraId="6D5E4D84" w14:textId="77777777" w:rsidR="00E730F3" w:rsidRPr="005F37E7" w:rsidRDefault="00E730F3" w:rsidP="00D5595E">
            <w:pPr>
              <w:rPr>
                <w:rFonts w:ascii="Arial Nova Light" w:hAnsi="Arial Nova Light"/>
              </w:rPr>
            </w:pPr>
          </w:p>
          <w:p w14:paraId="55D0AC79" w14:textId="77777777" w:rsidR="00E730F3" w:rsidRPr="005F37E7" w:rsidRDefault="00E730F3" w:rsidP="00D5595E">
            <w:pPr>
              <w:rPr>
                <w:rFonts w:ascii="Arial Nova Light" w:hAnsi="Arial Nova Light"/>
              </w:rPr>
            </w:pPr>
          </w:p>
          <w:p w14:paraId="417590F9" w14:textId="77777777" w:rsidR="00E730F3" w:rsidRPr="005F37E7" w:rsidRDefault="00E730F3" w:rsidP="00D5595E">
            <w:pPr>
              <w:rPr>
                <w:rFonts w:ascii="Arial Nova Light" w:hAnsi="Arial Nova Light"/>
              </w:rPr>
            </w:pPr>
          </w:p>
        </w:tc>
      </w:tr>
      <w:tr w:rsidR="00E730F3" w:rsidRPr="005F37E7" w14:paraId="09DBB7AA" w14:textId="77777777" w:rsidTr="00E730F3">
        <w:trPr>
          <w:jc w:val="center"/>
        </w:trPr>
        <w:tc>
          <w:tcPr>
            <w:tcW w:w="2360" w:type="dxa"/>
          </w:tcPr>
          <w:p w14:paraId="0E203350" w14:textId="77777777" w:rsidR="00E730F3" w:rsidRDefault="00E730F3" w:rsidP="00D5595E">
            <w:pPr>
              <w:rPr>
                <w:rFonts w:ascii="Arial Nova Light" w:hAnsi="Arial Nova Light"/>
                <w:b/>
              </w:rPr>
            </w:pPr>
            <w:r w:rsidRPr="005F37E7">
              <w:rPr>
                <w:rFonts w:ascii="Arial Nova Light" w:hAnsi="Arial Nova Light"/>
                <w:b/>
              </w:rPr>
              <w:t xml:space="preserve">Mark: </w:t>
            </w:r>
          </w:p>
          <w:p w14:paraId="045D36B8" w14:textId="77777777" w:rsidR="00E730F3" w:rsidRDefault="00E730F3" w:rsidP="00D5595E">
            <w:pPr>
              <w:rPr>
                <w:rFonts w:ascii="Arial Nova Light" w:hAnsi="Arial Nova Light"/>
                <w:b/>
              </w:rPr>
            </w:pPr>
          </w:p>
          <w:p w14:paraId="0708DC3B" w14:textId="77777777" w:rsidR="00E730F3" w:rsidRPr="005F37E7" w:rsidRDefault="00E730F3" w:rsidP="00D5595E">
            <w:pPr>
              <w:rPr>
                <w:rFonts w:ascii="Arial Nova Light" w:hAnsi="Arial Nova Light"/>
                <w:b/>
              </w:rPr>
            </w:pPr>
          </w:p>
        </w:tc>
        <w:tc>
          <w:tcPr>
            <w:tcW w:w="2177" w:type="dxa"/>
          </w:tcPr>
          <w:p w14:paraId="79F57D6D" w14:textId="77777777" w:rsidR="00E730F3" w:rsidRPr="005F37E7" w:rsidRDefault="00E730F3" w:rsidP="00D5595E">
            <w:pPr>
              <w:rPr>
                <w:rFonts w:ascii="Arial Nova Light" w:hAnsi="Arial Nova Light"/>
                <w:b/>
              </w:rPr>
            </w:pPr>
            <w:r>
              <w:rPr>
                <w:rFonts w:ascii="Arial Nova Light" w:hAnsi="Arial Nova Light"/>
                <w:b/>
              </w:rPr>
              <w:t xml:space="preserve">Deductions:  </w:t>
            </w:r>
          </w:p>
        </w:tc>
        <w:tc>
          <w:tcPr>
            <w:tcW w:w="3260" w:type="dxa"/>
          </w:tcPr>
          <w:p w14:paraId="59D9AF10" w14:textId="77777777" w:rsidR="00E730F3" w:rsidRPr="005F37E7" w:rsidRDefault="00E730F3" w:rsidP="00D5595E">
            <w:pPr>
              <w:rPr>
                <w:rFonts w:ascii="Arial Nova Light" w:hAnsi="Arial Nova Light"/>
                <w:b/>
              </w:rPr>
            </w:pPr>
            <w:r w:rsidRPr="005F37E7">
              <w:rPr>
                <w:rFonts w:ascii="Arial Nova Light" w:hAnsi="Arial Nova Light"/>
                <w:b/>
              </w:rPr>
              <w:t>Marker:</w:t>
            </w:r>
          </w:p>
        </w:tc>
        <w:tc>
          <w:tcPr>
            <w:tcW w:w="2835" w:type="dxa"/>
          </w:tcPr>
          <w:p w14:paraId="0F1DEB62" w14:textId="77777777" w:rsidR="00E730F3" w:rsidRPr="005F37E7" w:rsidRDefault="00E730F3" w:rsidP="00D5595E">
            <w:pPr>
              <w:rPr>
                <w:rFonts w:ascii="Arial Nova Light" w:hAnsi="Arial Nova Light"/>
                <w:b/>
              </w:rPr>
            </w:pPr>
            <w:r w:rsidRPr="005F37E7">
              <w:rPr>
                <w:rFonts w:ascii="Arial Nova Light" w:hAnsi="Arial Nova Light"/>
                <w:b/>
              </w:rPr>
              <w:t>Date:</w:t>
            </w:r>
          </w:p>
        </w:tc>
      </w:tr>
    </w:tbl>
    <w:p w14:paraId="4D21BCEA" w14:textId="77777777" w:rsidR="00E730F3" w:rsidRPr="005F37E7" w:rsidRDefault="00E730F3" w:rsidP="00E730F3">
      <w:pPr>
        <w:spacing w:after="0"/>
        <w:rPr>
          <w:rFonts w:ascii="Arial Nova Light" w:hAnsi="Arial Nova Light"/>
          <w:sz w:val="20"/>
          <w:szCs w:val="20"/>
        </w:rPr>
      </w:pPr>
    </w:p>
    <w:tbl>
      <w:tblPr>
        <w:tblStyle w:val="TableGrid"/>
        <w:tblW w:w="10638" w:type="dxa"/>
        <w:jc w:val="center"/>
        <w:tblLook w:val="04A0" w:firstRow="1" w:lastRow="0" w:firstColumn="1" w:lastColumn="0" w:noHBand="0" w:noVBand="1"/>
      </w:tblPr>
      <w:tblGrid>
        <w:gridCol w:w="10638"/>
      </w:tblGrid>
      <w:tr w:rsidR="00E730F3" w:rsidRPr="005F37E7" w14:paraId="765860BB" w14:textId="77777777" w:rsidTr="00E730F3">
        <w:trPr>
          <w:jc w:val="center"/>
        </w:trPr>
        <w:tc>
          <w:tcPr>
            <w:tcW w:w="10638" w:type="dxa"/>
          </w:tcPr>
          <w:p w14:paraId="225933C7" w14:textId="77777777" w:rsidR="00E730F3" w:rsidRDefault="00E730F3" w:rsidP="00D5595E">
            <w:pPr>
              <w:rPr>
                <w:rFonts w:ascii="Arial Nova Light" w:hAnsi="Arial Nova Light"/>
                <w:b/>
                <w:sz w:val="20"/>
                <w:szCs w:val="20"/>
              </w:rPr>
            </w:pPr>
            <w:r>
              <w:rPr>
                <w:rFonts w:ascii="Arial Nova Light" w:hAnsi="Arial Nova Light"/>
                <w:b/>
                <w:sz w:val="20"/>
                <w:szCs w:val="20"/>
              </w:rPr>
              <w:t>(Formative work only) S</w:t>
            </w:r>
            <w:r w:rsidRPr="005F37E7">
              <w:rPr>
                <w:rFonts w:ascii="Arial Nova Light" w:hAnsi="Arial Nova Light"/>
                <w:b/>
                <w:sz w:val="20"/>
                <w:szCs w:val="20"/>
              </w:rPr>
              <w:t>pecific feedback as requested on</w:t>
            </w:r>
            <w:r>
              <w:rPr>
                <w:rFonts w:ascii="Arial Nova Light" w:hAnsi="Arial Nova Light"/>
                <w:b/>
                <w:sz w:val="20"/>
                <w:szCs w:val="20"/>
              </w:rPr>
              <w:t>:</w:t>
            </w:r>
          </w:p>
          <w:p w14:paraId="532419CE" w14:textId="77777777" w:rsidR="00E730F3" w:rsidRDefault="00E730F3" w:rsidP="00D5595E">
            <w:pPr>
              <w:rPr>
                <w:rFonts w:ascii="Arial Nova Light" w:hAnsi="Arial Nova Light"/>
                <w:sz w:val="20"/>
                <w:szCs w:val="20"/>
              </w:rPr>
            </w:pPr>
          </w:p>
          <w:p w14:paraId="2AFEDCBD" w14:textId="77777777" w:rsidR="00E730F3" w:rsidRDefault="00E730F3" w:rsidP="00D5595E">
            <w:pPr>
              <w:rPr>
                <w:rFonts w:ascii="Arial Nova Light" w:hAnsi="Arial Nova Light"/>
                <w:sz w:val="20"/>
                <w:szCs w:val="20"/>
              </w:rPr>
            </w:pPr>
          </w:p>
          <w:p w14:paraId="0E66FD87" w14:textId="77777777" w:rsidR="00E730F3" w:rsidRDefault="00E730F3" w:rsidP="00D5595E">
            <w:pPr>
              <w:rPr>
                <w:rFonts w:ascii="Arial Nova Light" w:hAnsi="Arial Nova Light"/>
                <w:sz w:val="20"/>
                <w:szCs w:val="20"/>
              </w:rPr>
            </w:pPr>
          </w:p>
          <w:p w14:paraId="2018E6BB" w14:textId="77777777" w:rsidR="00E730F3" w:rsidRPr="005F37E7" w:rsidRDefault="00E730F3" w:rsidP="00D5595E">
            <w:pPr>
              <w:rPr>
                <w:rFonts w:ascii="Arial Nova Light" w:hAnsi="Arial Nova Light"/>
                <w:sz w:val="20"/>
                <w:szCs w:val="20"/>
              </w:rPr>
            </w:pPr>
          </w:p>
        </w:tc>
      </w:tr>
    </w:tbl>
    <w:p w14:paraId="3783ED1B" w14:textId="77777777" w:rsidR="00E730F3" w:rsidRDefault="00E730F3" w:rsidP="00E730F3">
      <w:pPr>
        <w:spacing w:after="0"/>
        <w:rPr>
          <w:rFonts w:ascii="Arial Nova Light" w:hAnsi="Arial Nova Light"/>
          <w:sz w:val="20"/>
          <w:szCs w:val="20"/>
        </w:rPr>
        <w:sectPr w:rsidR="00E730F3" w:rsidSect="00355372">
          <w:headerReference w:type="default" r:id="rId9"/>
          <w:pgSz w:w="11906" w:h="16838"/>
          <w:pgMar w:top="567" w:right="1440" w:bottom="851" w:left="1440" w:header="340" w:footer="708" w:gutter="0"/>
          <w:cols w:space="708"/>
          <w:docGrid w:linePitch="360"/>
        </w:sectPr>
      </w:pPr>
    </w:p>
    <w:p w14:paraId="7796E555" w14:textId="143D2C1B" w:rsidR="0099548D" w:rsidRPr="00322286" w:rsidRDefault="0099548D" w:rsidP="0099548D">
      <w:pPr>
        <w:jc w:val="center"/>
        <w:rPr>
          <w:rFonts w:ascii="Baskerville" w:hAnsi="Baskerville"/>
          <w:sz w:val="28"/>
          <w:szCs w:val="28"/>
          <w:u w:val="single"/>
        </w:rPr>
      </w:pPr>
      <w:r>
        <w:rPr>
          <w:rFonts w:ascii="Baskerville" w:hAnsi="Baskerville"/>
          <w:sz w:val="28"/>
          <w:szCs w:val="28"/>
          <w:u w:val="single"/>
        </w:rPr>
        <w:lastRenderedPageBreak/>
        <w:t>General Principles of International Law</w:t>
      </w:r>
      <w:r w:rsidRPr="00322286">
        <w:rPr>
          <w:rFonts w:ascii="Baskerville" w:hAnsi="Baskerville"/>
          <w:sz w:val="28"/>
          <w:szCs w:val="28"/>
          <w:u w:val="single"/>
        </w:rPr>
        <w:t>: Formative Essay</w:t>
      </w:r>
    </w:p>
    <w:p w14:paraId="6C27F734" w14:textId="09D1C135" w:rsidR="0099548D" w:rsidRPr="0099548D" w:rsidRDefault="0099548D" w:rsidP="0099548D">
      <w:pPr>
        <w:jc w:val="center"/>
        <w:rPr>
          <w:rFonts w:ascii="Baskerville" w:hAnsi="Baskerville"/>
          <w:b/>
          <w:bCs/>
          <w:i/>
          <w:u w:val="single"/>
          <w:lang w:val="en-US"/>
        </w:rPr>
      </w:pPr>
      <w:r w:rsidRPr="009163A0">
        <w:rPr>
          <w:rFonts w:ascii="Baskerville" w:hAnsi="Baskerville"/>
          <w:b/>
          <w:bCs/>
          <w:i/>
          <w:u w:val="single"/>
          <w:lang w:val="en-US"/>
        </w:rPr>
        <w:t xml:space="preserve">Is the importance in international law </w:t>
      </w:r>
      <w:r>
        <w:rPr>
          <w:rFonts w:ascii="Baskerville" w:hAnsi="Baskerville"/>
          <w:b/>
          <w:bCs/>
          <w:i/>
          <w:u w:val="single"/>
          <w:lang w:val="en-US"/>
        </w:rPr>
        <w:t xml:space="preserve">of “state consent” on the wane? </w:t>
      </w:r>
      <w:r w:rsidRPr="009163A0">
        <w:rPr>
          <w:rFonts w:ascii="Baskerville" w:hAnsi="Baskerville"/>
          <w:b/>
          <w:bCs/>
          <w:i/>
          <w:u w:val="single"/>
          <w:lang w:val="en-US"/>
        </w:rPr>
        <w:t>Should it be?</w:t>
      </w:r>
    </w:p>
    <w:p w14:paraId="39AAC470" w14:textId="12F72B8E" w:rsidR="0099548D" w:rsidRPr="0099548D" w:rsidRDefault="0099548D" w:rsidP="0099548D">
      <w:pPr>
        <w:rPr>
          <w:rFonts w:ascii="Baskerville" w:hAnsi="Baskerville"/>
          <w:b/>
          <w:bCs/>
          <w:u w:val="single"/>
          <w:lang w:val="en-US"/>
        </w:rPr>
      </w:pPr>
      <w:r>
        <w:rPr>
          <w:rFonts w:ascii="Baskerville" w:hAnsi="Baskerville"/>
          <w:b/>
          <w:bCs/>
          <w:u w:val="single"/>
          <w:lang w:val="en-US"/>
        </w:rPr>
        <w:t>Word Count (including footnotes): 1,527 words</w:t>
      </w:r>
    </w:p>
    <w:p w14:paraId="6EF57F04" w14:textId="4EEDC6F9" w:rsidR="0099548D" w:rsidRPr="009151F4" w:rsidRDefault="0099548D" w:rsidP="0099548D">
      <w:pPr>
        <w:rPr>
          <w:rFonts w:ascii="Baskerville" w:hAnsi="Baskerville"/>
          <w:b/>
          <w:u w:val="single"/>
          <w:lang w:val="en-US"/>
        </w:rPr>
      </w:pPr>
      <w:r w:rsidRPr="009151F4">
        <w:rPr>
          <w:rFonts w:ascii="Baskerville" w:hAnsi="Baskerville"/>
          <w:b/>
          <w:u w:val="single"/>
          <w:lang w:val="en-US"/>
        </w:rPr>
        <w:t>Introduction</w:t>
      </w:r>
    </w:p>
    <w:p w14:paraId="1178B468" w14:textId="4EC1E2A1" w:rsidR="0099548D" w:rsidRDefault="0099548D" w:rsidP="0099548D">
      <w:pPr>
        <w:rPr>
          <w:rFonts w:ascii="Baskerville" w:hAnsi="Baskerville"/>
          <w:lang w:val="en-US"/>
        </w:rPr>
      </w:pPr>
      <w:r w:rsidRPr="00AC60A1">
        <w:rPr>
          <w:rFonts w:ascii="Baskerville" w:hAnsi="Baskerville"/>
          <w:lang w:val="en-US"/>
        </w:rPr>
        <w:t xml:space="preserve">International law is built on the foundation of state consent. A state’s legal obligations are </w:t>
      </w:r>
      <w:r>
        <w:rPr>
          <w:rFonts w:ascii="Baskerville" w:hAnsi="Baskerville"/>
          <w:lang w:val="en-US"/>
        </w:rPr>
        <w:t>‘</w:t>
      </w:r>
      <w:r w:rsidRPr="00AC60A1">
        <w:rPr>
          <w:rFonts w:ascii="Baskerville" w:hAnsi="Baskerville"/>
          <w:lang w:val="en-US"/>
        </w:rPr>
        <w:t>overwhelmingly – some would say exclusively – based on its consent to be bound</w:t>
      </w:r>
      <w:r>
        <w:rPr>
          <w:rFonts w:ascii="Baskerville" w:hAnsi="Baskerville"/>
          <w:lang w:val="en-US"/>
        </w:rPr>
        <w:t>’</w:t>
      </w:r>
      <w:r w:rsidRPr="00AC60A1">
        <w:rPr>
          <w:rFonts w:ascii="Baskerville" w:hAnsi="Baskerville"/>
          <w:lang w:val="en-US"/>
        </w:rPr>
        <w:t>.</w:t>
      </w:r>
      <w:r>
        <w:rPr>
          <w:rStyle w:val="FootnoteReference"/>
          <w:rFonts w:ascii="Baskerville" w:hAnsi="Baskerville"/>
          <w:lang w:val="en-US"/>
        </w:rPr>
        <w:footnoteReference w:id="1"/>
      </w:r>
      <w:r w:rsidRPr="00AC60A1">
        <w:rPr>
          <w:rFonts w:ascii="Baskerville" w:hAnsi="Baskerville"/>
          <w:lang w:val="en-US"/>
        </w:rPr>
        <w:t xml:space="preserve"> This focus on consent offers </w:t>
      </w:r>
      <w:r>
        <w:rPr>
          <w:rFonts w:ascii="Baskerville" w:hAnsi="Baskerville"/>
          <w:lang w:val="en-US"/>
        </w:rPr>
        <w:t xml:space="preserve">the </w:t>
      </w:r>
      <w:r w:rsidRPr="00AC60A1">
        <w:rPr>
          <w:rFonts w:ascii="Baskerville" w:hAnsi="Baskerville"/>
          <w:lang w:val="en-US"/>
        </w:rPr>
        <w:t>utmost protection to individual states.</w:t>
      </w:r>
      <w:r>
        <w:rPr>
          <w:rFonts w:ascii="Baskerville" w:hAnsi="Baskerville"/>
          <w:lang w:val="en-US"/>
        </w:rPr>
        <w:t xml:space="preserve"> Lately, however, the notion of state consent has become increasingly ignored and violated in international law. This essay will attempt to examine the reasons as to why this might be and why instead state consent ought to be taken </w:t>
      </w:r>
      <w:r w:rsidRPr="00206249">
        <w:rPr>
          <w:rFonts w:ascii="Baskerville" w:hAnsi="Baskerville"/>
          <w:lang w:val="en-US"/>
        </w:rPr>
        <w:t>more seriously</w:t>
      </w:r>
      <w:r>
        <w:rPr>
          <w:rFonts w:ascii="Baskerville" w:hAnsi="Baskerville"/>
          <w:lang w:val="en-US"/>
        </w:rPr>
        <w:t xml:space="preserve"> as an obligation under international law, as the classical model insists.</w:t>
      </w:r>
      <w:r>
        <w:rPr>
          <w:rStyle w:val="FootnoteReference"/>
          <w:rFonts w:ascii="Baskerville" w:hAnsi="Baskerville"/>
          <w:lang w:val="en-US"/>
        </w:rPr>
        <w:footnoteReference w:id="2"/>
      </w:r>
    </w:p>
    <w:p w14:paraId="481EABAC" w14:textId="7F20087C" w:rsidR="0099548D" w:rsidRDefault="0099548D" w:rsidP="0099548D">
      <w:pPr>
        <w:rPr>
          <w:rFonts w:ascii="Baskerville" w:hAnsi="Baskerville"/>
          <w:color w:val="FF0000"/>
          <w:lang w:val="en-US"/>
        </w:rPr>
      </w:pPr>
      <w:r w:rsidRPr="00A00AF6">
        <w:rPr>
          <w:rFonts w:ascii="Baskerville" w:hAnsi="Baskerville"/>
          <w:lang w:val="en-US"/>
        </w:rPr>
        <w:t>State consent, in the sense of consent to treaties, acquiescence or opinio juris, certifies that two important prerequisites are met for the successful external examination of the operation of a customary system.</w:t>
      </w:r>
      <w:r w:rsidRPr="0088706A">
        <w:rPr>
          <w:rFonts w:ascii="Baskerville" w:hAnsi="Baskerville"/>
          <w:color w:val="FF0000"/>
          <w:lang w:val="en-US"/>
        </w:rPr>
        <w:t xml:space="preserve"> </w:t>
      </w:r>
      <w:r w:rsidRPr="00FE326A">
        <w:rPr>
          <w:rFonts w:ascii="Baskerville" w:hAnsi="Baskerville"/>
          <w:lang w:val="en-US"/>
        </w:rPr>
        <w:t>First, state consent is the method whereby states acknowledge and identify the rules they deem to be binding upon themselves and other states. Consent is the only unbiased way of guaranteeing communication</w:t>
      </w:r>
      <w:r w:rsidRPr="0088706A">
        <w:rPr>
          <w:rFonts w:ascii="Baskerville" w:hAnsi="Baskerville"/>
          <w:color w:val="FF0000"/>
          <w:lang w:val="en-US"/>
        </w:rPr>
        <w:t xml:space="preserve"> </w:t>
      </w:r>
      <w:r w:rsidRPr="00FE326A">
        <w:rPr>
          <w:rFonts w:ascii="Baskerville" w:hAnsi="Baskerville"/>
          <w:lang w:val="en-US"/>
        </w:rPr>
        <w:t>between states as to which type of behavior is considered legal and which is not.</w:t>
      </w:r>
      <w:r w:rsidRPr="00027BFB">
        <w:rPr>
          <w:rFonts w:ascii="Baskerville" w:hAnsi="Baskerville"/>
          <w:lang w:val="en-US"/>
        </w:rPr>
        <w:t xml:space="preserve"> By ascertaining the legally significant factor, consent makes communication about legality between states both achievable and meaningful</w:t>
      </w:r>
      <w:r>
        <w:rPr>
          <w:rFonts w:ascii="Baskerville" w:hAnsi="Baskerville"/>
          <w:lang w:val="en-US"/>
        </w:rPr>
        <w:t xml:space="preserve">. </w:t>
      </w:r>
      <w:r w:rsidRPr="00027BFB">
        <w:rPr>
          <w:rFonts w:ascii="Baskerville" w:hAnsi="Baskerville"/>
          <w:lang w:val="en-US"/>
        </w:rPr>
        <w:t>There must be an objective core of accepted conduct against which states can evaluate conduct that can be justly expected of other states and behavior that other states expect of them.</w:t>
      </w:r>
      <w:r w:rsidRPr="0088706A">
        <w:rPr>
          <w:rFonts w:ascii="Baskerville" w:hAnsi="Baskerville"/>
          <w:color w:val="FF0000"/>
          <w:lang w:val="en-US"/>
        </w:rPr>
        <w:t xml:space="preserve"> </w:t>
      </w:r>
      <w:r w:rsidRPr="00C549D6">
        <w:rPr>
          <w:rFonts w:ascii="Baskerville" w:hAnsi="Baskerville"/>
          <w:lang w:val="en-US"/>
        </w:rPr>
        <w:t xml:space="preserve">Dismissing consent as a necessary element in custom and treaties damages the ability of states to understand what the prevailing rules are supposed to be. Without such knowledge, there can be no reciprocity, because </w:t>
      </w:r>
      <w:r>
        <w:rPr>
          <w:rFonts w:ascii="Baskerville" w:hAnsi="Baskerville"/>
          <w:lang w:val="en-US"/>
        </w:rPr>
        <w:t>‘</w:t>
      </w:r>
      <w:r w:rsidRPr="00C549D6">
        <w:rPr>
          <w:rFonts w:ascii="Baskerville" w:hAnsi="Baskerville"/>
          <w:lang w:val="en-US"/>
        </w:rPr>
        <w:t>there is no point of reference for participants in the system</w:t>
      </w:r>
      <w:r>
        <w:rPr>
          <w:rFonts w:ascii="Baskerville" w:hAnsi="Baskerville"/>
          <w:lang w:val="en-US"/>
        </w:rPr>
        <w:t>’</w:t>
      </w:r>
      <w:r w:rsidRPr="00C549D6">
        <w:rPr>
          <w:rFonts w:ascii="Baskerville" w:hAnsi="Baskerville"/>
          <w:lang w:val="en-US"/>
        </w:rPr>
        <w:t>.</w:t>
      </w:r>
      <w:r w:rsidRPr="00C549D6">
        <w:rPr>
          <w:rStyle w:val="FootnoteReference"/>
          <w:rFonts w:ascii="Baskerville" w:hAnsi="Baskerville"/>
          <w:lang w:val="en-US"/>
        </w:rPr>
        <w:footnoteReference w:id="3"/>
      </w:r>
    </w:p>
    <w:p w14:paraId="102E628E" w14:textId="0AF280A0" w:rsidR="0099548D" w:rsidRDefault="0099548D" w:rsidP="0099548D">
      <w:pPr>
        <w:rPr>
          <w:rFonts w:ascii="Baskerville" w:hAnsi="Baskerville"/>
          <w:lang w:val="en-US"/>
        </w:rPr>
      </w:pPr>
      <w:r w:rsidRPr="00F4210C">
        <w:rPr>
          <w:rFonts w:ascii="Baskerville" w:hAnsi="Baskerville"/>
          <w:lang w:val="en-US"/>
        </w:rPr>
        <w:t xml:space="preserve">In response to attacks </w:t>
      </w:r>
      <w:r>
        <w:rPr>
          <w:rFonts w:ascii="Baskerville" w:hAnsi="Baskerville"/>
          <w:lang w:val="en-US"/>
        </w:rPr>
        <w:t>from</w:t>
      </w:r>
      <w:r w:rsidRPr="00F4210C">
        <w:rPr>
          <w:rFonts w:ascii="Baskerville" w:hAnsi="Baskerville"/>
          <w:lang w:val="en-US"/>
        </w:rPr>
        <w:t xml:space="preserve"> IS</w:t>
      </w:r>
      <w:r>
        <w:rPr>
          <w:rFonts w:ascii="Baskerville" w:hAnsi="Baskerville"/>
          <w:lang w:val="en-US"/>
        </w:rPr>
        <w:t>IS, Iraq has</w:t>
      </w:r>
      <w:r w:rsidRPr="00F4210C">
        <w:rPr>
          <w:rFonts w:ascii="Baskerville" w:hAnsi="Baskerville"/>
          <w:lang w:val="en-US"/>
        </w:rPr>
        <w:t xml:space="preserve"> requested that the United States and its allies assist it in defending itself against the group. Since September 2014, Iraq, together with the United States and several other states, has been using force against IS</w:t>
      </w:r>
      <w:r>
        <w:rPr>
          <w:rFonts w:ascii="Baskerville" w:hAnsi="Baskerville"/>
          <w:lang w:val="en-US"/>
        </w:rPr>
        <w:t>IS</w:t>
      </w:r>
      <w:r w:rsidRPr="00F4210C">
        <w:rPr>
          <w:rFonts w:ascii="Baskerville" w:hAnsi="Baskerville"/>
          <w:lang w:val="en-US"/>
        </w:rPr>
        <w:t xml:space="preserve"> in Syria </w:t>
      </w:r>
      <w:r w:rsidRPr="0001113C">
        <w:rPr>
          <w:rFonts w:ascii="Baskerville" w:hAnsi="Baskerville"/>
          <w:lang w:val="en-US"/>
        </w:rPr>
        <w:t>without the consent</w:t>
      </w:r>
      <w:r w:rsidRPr="00F4210C">
        <w:rPr>
          <w:rFonts w:ascii="Baskerville" w:hAnsi="Baskerville"/>
          <w:lang w:val="en-US"/>
        </w:rPr>
        <w:t xml:space="preserve"> of the Syrian </w:t>
      </w:r>
      <w:r>
        <w:rPr>
          <w:rFonts w:ascii="Baskerville" w:hAnsi="Baskerville"/>
          <w:lang w:val="en-US"/>
        </w:rPr>
        <w:t xml:space="preserve">Assad </w:t>
      </w:r>
      <w:r w:rsidRPr="00F4210C">
        <w:rPr>
          <w:rFonts w:ascii="Baskerville" w:hAnsi="Baskerville"/>
          <w:lang w:val="en-US"/>
        </w:rPr>
        <w:t>regime. Iraq acts on the basis of its right to individual self-defence and the other intervening states intervene on the basis of the r</w:t>
      </w:r>
      <w:r>
        <w:rPr>
          <w:rFonts w:ascii="Baskerville" w:hAnsi="Baskerville"/>
          <w:lang w:val="en-US"/>
        </w:rPr>
        <w:t>ight to collective self-defence</w:t>
      </w:r>
      <w:r w:rsidRPr="00695858">
        <w:rPr>
          <w:rFonts w:ascii="Baskerville" w:hAnsi="Baskerville"/>
        </w:rPr>
        <w:t>.</w:t>
      </w:r>
      <w:r>
        <w:rPr>
          <w:rFonts w:ascii="Baskerville" w:hAnsi="Baskerville"/>
        </w:rPr>
        <w:t xml:space="preserve"> </w:t>
      </w:r>
      <w:r w:rsidRPr="00F51944">
        <w:rPr>
          <w:rFonts w:ascii="Baskerville" w:hAnsi="Baskerville"/>
          <w:lang w:val="en-US"/>
        </w:rPr>
        <w:t>Self-defence, as well as the use of force within an authorisation given by the United Nations (UN) Security Council, constitute the two exceptions to the international prohibition on the use of force between states</w:t>
      </w:r>
      <w:r>
        <w:rPr>
          <w:rFonts w:ascii="Baskerville" w:hAnsi="Baskerville"/>
          <w:lang w:val="en-US"/>
        </w:rPr>
        <w:t>.</w:t>
      </w:r>
      <w:r>
        <w:rPr>
          <w:rStyle w:val="FootnoteReference"/>
          <w:rFonts w:ascii="Baskerville" w:hAnsi="Baskerville"/>
          <w:lang w:val="en-US"/>
        </w:rPr>
        <w:footnoteReference w:id="4"/>
      </w:r>
      <w:r w:rsidRPr="00F51944">
        <w:rPr>
          <w:rFonts w:ascii="Baskerville" w:hAnsi="Baskerville"/>
          <w:lang w:val="en-US"/>
        </w:rPr>
        <w:t xml:space="preserve"> An action in self-defence can be individual, when the victim state reacts to an armed attack, or collective, when other states react to an armed attack on the request of the victim state. </w:t>
      </w:r>
    </w:p>
    <w:p w14:paraId="156DD5F5" w14:textId="1B4D23D5" w:rsidR="0099548D" w:rsidRPr="007D6AAC" w:rsidRDefault="0099548D" w:rsidP="0099548D">
      <w:pPr>
        <w:rPr>
          <w:rFonts w:ascii="Baskerville" w:hAnsi="Baskerville"/>
          <w:lang w:val="en-US"/>
        </w:rPr>
      </w:pPr>
      <w:r>
        <w:rPr>
          <w:rFonts w:ascii="Baskerville" w:hAnsi="Baskerville"/>
          <w:lang w:val="en-US"/>
        </w:rPr>
        <w:t>Following</w:t>
      </w:r>
      <w:r w:rsidRPr="00F51944">
        <w:rPr>
          <w:rFonts w:ascii="Baskerville" w:hAnsi="Baskerville"/>
          <w:lang w:val="en-US"/>
        </w:rPr>
        <w:t xml:space="preserve"> the terror attacks of IS</w:t>
      </w:r>
      <w:r>
        <w:rPr>
          <w:rFonts w:ascii="Baskerville" w:hAnsi="Baskerville"/>
          <w:lang w:val="en-US"/>
        </w:rPr>
        <w:t>IS</w:t>
      </w:r>
      <w:r w:rsidRPr="00F51944">
        <w:rPr>
          <w:rFonts w:ascii="Baskerville" w:hAnsi="Baskerville"/>
          <w:lang w:val="en-US"/>
        </w:rPr>
        <w:t xml:space="preserve"> in Paris on 13th November 2015, France extended its strikes, </w:t>
      </w:r>
      <w:r>
        <w:rPr>
          <w:rFonts w:ascii="Baskerville" w:hAnsi="Baskerville"/>
          <w:lang w:val="en-US"/>
        </w:rPr>
        <w:t>thereby exercising it’s</w:t>
      </w:r>
      <w:r w:rsidRPr="00F51944">
        <w:rPr>
          <w:rFonts w:ascii="Baskerville" w:hAnsi="Baskerville"/>
          <w:lang w:val="en-US"/>
        </w:rPr>
        <w:t xml:space="preserve"> right to individual self-defence and asked for assistance. Several Western states, including the United Kingdom and Germany, decided to be</w:t>
      </w:r>
      <w:r>
        <w:rPr>
          <w:rFonts w:ascii="Baskerville" w:hAnsi="Baskerville"/>
          <w:lang w:val="en-US"/>
        </w:rPr>
        <w:t>come</w:t>
      </w:r>
      <w:r w:rsidRPr="00F51944">
        <w:rPr>
          <w:rFonts w:ascii="Baskerville" w:hAnsi="Baskerville"/>
          <w:lang w:val="en-US"/>
        </w:rPr>
        <w:t xml:space="preserve"> involved in </w:t>
      </w:r>
      <w:r w:rsidRPr="00F51944">
        <w:rPr>
          <w:rFonts w:ascii="Baskerville" w:hAnsi="Baskerville"/>
          <w:lang w:val="en-US"/>
        </w:rPr>
        <w:lastRenderedPageBreak/>
        <w:t>different ways in the fight against IS</w:t>
      </w:r>
      <w:r>
        <w:rPr>
          <w:rFonts w:ascii="Baskerville" w:hAnsi="Baskerville"/>
          <w:lang w:val="en-US"/>
        </w:rPr>
        <w:t>IS</w:t>
      </w:r>
      <w:r w:rsidRPr="00F51944">
        <w:rPr>
          <w:rFonts w:ascii="Baskerville" w:hAnsi="Baskerville"/>
          <w:lang w:val="en-US"/>
        </w:rPr>
        <w:t xml:space="preserve"> in Syria, invoking</w:t>
      </w:r>
      <w:r>
        <w:rPr>
          <w:rFonts w:ascii="Baskerville" w:hAnsi="Baskerville"/>
          <w:lang w:val="en-US"/>
        </w:rPr>
        <w:t>,</w:t>
      </w:r>
      <w:r w:rsidRPr="00F51944">
        <w:rPr>
          <w:rFonts w:ascii="Baskerville" w:hAnsi="Baskerville"/>
          <w:lang w:val="en-US"/>
        </w:rPr>
        <w:t xml:space="preserve"> in particular</w:t>
      </w:r>
      <w:r>
        <w:rPr>
          <w:rFonts w:ascii="Baskerville" w:hAnsi="Baskerville"/>
          <w:lang w:val="en-US"/>
        </w:rPr>
        <w:t>,</w:t>
      </w:r>
      <w:r w:rsidRPr="00F51944">
        <w:rPr>
          <w:rFonts w:ascii="Baskerville" w:hAnsi="Baskerville"/>
          <w:lang w:val="en-US"/>
        </w:rPr>
        <w:t xml:space="preserve"> the right to collective self-defence and, sometimes, also the right to individual self-defence</w:t>
      </w:r>
      <w:r w:rsidRPr="00E166EE">
        <w:rPr>
          <w:rFonts w:ascii="Baskerville" w:hAnsi="Baskerville"/>
          <w:lang w:val="en-US"/>
        </w:rPr>
        <w:t>. Russia too has been perpetrating strikes in Syria since November 2015 but ‘these happen with the consent of that state’.</w:t>
      </w:r>
      <w:r w:rsidRPr="00E166EE">
        <w:rPr>
          <w:rStyle w:val="FootnoteReference"/>
          <w:rFonts w:ascii="Baskerville" w:hAnsi="Baskerville"/>
        </w:rPr>
        <w:footnoteReference w:id="5"/>
      </w:r>
      <w:r w:rsidRPr="00E166EE">
        <w:rPr>
          <w:rFonts w:ascii="Baskerville" w:hAnsi="Baskerville"/>
          <w:lang w:val="en-US"/>
        </w:rPr>
        <w:t xml:space="preserve"> Consent by Syria to the resort to force by Russia precludes the wrongfulness of that act in relation to Russia and thus provides legal grounds for Russian military action.</w:t>
      </w:r>
      <w:r w:rsidRPr="00E166EE">
        <w:rPr>
          <w:rStyle w:val="FootnoteReference"/>
          <w:rFonts w:ascii="Baskerville" w:hAnsi="Baskerville"/>
          <w:lang w:val="en-US"/>
        </w:rPr>
        <w:footnoteReference w:id="6"/>
      </w:r>
      <w:r w:rsidRPr="00E166EE">
        <w:rPr>
          <w:rFonts w:ascii="Baskerville" w:hAnsi="Baskerville"/>
          <w:lang w:val="en-US"/>
        </w:rPr>
        <w:t xml:space="preserve"> Defensive action in Syria, without its explicit consent, affects its territorial integrity. There should therefore be a reason, other than the need to </w:t>
      </w:r>
      <w:r>
        <w:rPr>
          <w:rFonts w:ascii="Baskerville" w:hAnsi="Baskerville"/>
          <w:lang w:val="en-US"/>
        </w:rPr>
        <w:t>respond</w:t>
      </w:r>
      <w:r w:rsidRPr="00E166EE">
        <w:rPr>
          <w:rFonts w:ascii="Baskerville" w:hAnsi="Baskerville"/>
          <w:lang w:val="en-US"/>
        </w:rPr>
        <w:t xml:space="preserve"> to an armed attack, to enter into Syria’s territory. </w:t>
      </w:r>
      <w:r>
        <w:rPr>
          <w:rFonts w:ascii="Baskerville" w:hAnsi="Baskerville"/>
          <w:lang w:val="en-US"/>
        </w:rPr>
        <w:t>States</w:t>
      </w:r>
      <w:r w:rsidRPr="00E166EE">
        <w:rPr>
          <w:rFonts w:ascii="Baskerville" w:hAnsi="Baskerville"/>
          <w:lang w:val="en-US"/>
        </w:rPr>
        <w:t xml:space="preserve"> have an obligation to ensure that their territory is not used </w:t>
      </w:r>
      <w:r>
        <w:rPr>
          <w:rFonts w:ascii="Baskerville" w:hAnsi="Baskerville"/>
          <w:lang w:val="en-US"/>
        </w:rPr>
        <w:t>to the</w:t>
      </w:r>
      <w:r w:rsidRPr="00E166EE">
        <w:rPr>
          <w:rFonts w:ascii="Baskerville" w:hAnsi="Baskerville"/>
          <w:lang w:val="en-US"/>
        </w:rPr>
        <w:t xml:space="preserve"> detriment of other states.</w:t>
      </w:r>
      <w:r w:rsidRPr="00E166EE">
        <w:rPr>
          <w:rStyle w:val="FootnoteReference"/>
          <w:rFonts w:ascii="Baskerville" w:hAnsi="Baskerville"/>
          <w:lang w:val="en-US"/>
        </w:rPr>
        <w:footnoteReference w:id="7"/>
      </w:r>
    </w:p>
    <w:p w14:paraId="280F4B0E" w14:textId="79644FEF" w:rsidR="0099548D" w:rsidRDefault="0099548D" w:rsidP="0099548D">
      <w:pPr>
        <w:rPr>
          <w:rFonts w:ascii="Baskerville" w:hAnsi="Baskerville"/>
        </w:rPr>
      </w:pPr>
      <w:r>
        <w:rPr>
          <w:rFonts w:ascii="Baskerville" w:hAnsi="Baskerville"/>
          <w:lang w:val="en-US"/>
        </w:rPr>
        <w:t xml:space="preserve">So, why has this seemingly callous disregard for Syrian sovereignty, by violating the state consent rule, been allowed to go unchecked under international law? </w:t>
      </w:r>
      <w:r>
        <w:rPr>
          <w:rFonts w:ascii="Baskerville" w:hAnsi="Baskerville"/>
        </w:rPr>
        <w:t>Critics</w:t>
      </w:r>
      <w:r w:rsidRPr="008F751D">
        <w:rPr>
          <w:rFonts w:ascii="Baskerville" w:hAnsi="Baskerville"/>
        </w:rPr>
        <w:t xml:space="preserve"> view the dramatic demonstration of U.S. power in Iraq </w:t>
      </w:r>
      <w:r>
        <w:rPr>
          <w:rFonts w:ascii="Baskerville" w:hAnsi="Baskerville"/>
        </w:rPr>
        <w:t>unfavourably</w:t>
      </w:r>
      <w:r w:rsidRPr="008F751D">
        <w:rPr>
          <w:rFonts w:ascii="Baskerville" w:hAnsi="Baskerville"/>
        </w:rPr>
        <w:t>, suggesting that it raises the spectre of international hegemonic law. Such a sy</w:t>
      </w:r>
      <w:r>
        <w:rPr>
          <w:rFonts w:ascii="Baskerville" w:hAnsi="Baskerville"/>
        </w:rPr>
        <w:t>s</w:t>
      </w:r>
      <w:r w:rsidRPr="008F751D">
        <w:rPr>
          <w:rFonts w:ascii="Baskerville" w:hAnsi="Baskerville"/>
        </w:rPr>
        <w:t xml:space="preserve">tem would replace the rule of equally sovereign states </w:t>
      </w:r>
      <w:r>
        <w:rPr>
          <w:rFonts w:ascii="Baskerville" w:hAnsi="Baskerville"/>
        </w:rPr>
        <w:t>‘</w:t>
      </w:r>
      <w:r w:rsidRPr="008F751D">
        <w:rPr>
          <w:rFonts w:ascii="Baskerville" w:hAnsi="Baskerville"/>
        </w:rPr>
        <w:t xml:space="preserve">creating law through </w:t>
      </w:r>
      <w:r>
        <w:rPr>
          <w:rFonts w:ascii="Baskerville" w:hAnsi="Baskerville"/>
        </w:rPr>
        <w:t>con</w:t>
      </w:r>
      <w:r w:rsidRPr="008F751D">
        <w:rPr>
          <w:rFonts w:ascii="Baskerville" w:hAnsi="Baskerville"/>
        </w:rPr>
        <w:t xml:space="preserve">sent and practice with a system whereby a single actor, the hegemon, dictates new rules of </w:t>
      </w:r>
      <w:r>
        <w:rPr>
          <w:rFonts w:ascii="Baskerville" w:hAnsi="Baskerville"/>
        </w:rPr>
        <w:t>law’.</w:t>
      </w:r>
      <w:r>
        <w:rPr>
          <w:rStyle w:val="FootnoteReference"/>
          <w:rFonts w:ascii="Baskerville" w:hAnsi="Baskerville"/>
        </w:rPr>
        <w:footnoteReference w:id="8"/>
      </w:r>
      <w:r>
        <w:rPr>
          <w:rFonts w:ascii="Baskerville" w:hAnsi="Baskerville"/>
        </w:rPr>
        <w:t xml:space="preserve"> </w:t>
      </w:r>
      <w:r w:rsidRPr="008F751D">
        <w:rPr>
          <w:rFonts w:ascii="Baskerville" w:hAnsi="Baskerville"/>
        </w:rPr>
        <w:t xml:space="preserve">While supporters of realpolitik would likely reject </w:t>
      </w:r>
      <w:r>
        <w:rPr>
          <w:rFonts w:ascii="Baskerville" w:hAnsi="Baskerville"/>
        </w:rPr>
        <w:t>interna</w:t>
      </w:r>
      <w:r w:rsidRPr="008F751D">
        <w:rPr>
          <w:rFonts w:ascii="Baskerville" w:hAnsi="Baskerville"/>
        </w:rPr>
        <w:t xml:space="preserve">tional law as such, opponents and proponents of a system of </w:t>
      </w:r>
      <w:r>
        <w:rPr>
          <w:rFonts w:ascii="Baskerville" w:hAnsi="Baskerville"/>
        </w:rPr>
        <w:t>international hege</w:t>
      </w:r>
      <w:r w:rsidRPr="008F751D">
        <w:rPr>
          <w:rFonts w:ascii="Baskerville" w:hAnsi="Baskerville"/>
        </w:rPr>
        <w:t xml:space="preserve">monic law instead consider whether </w:t>
      </w:r>
      <w:r>
        <w:rPr>
          <w:rFonts w:ascii="Baskerville" w:hAnsi="Baskerville"/>
        </w:rPr>
        <w:t>‘</w:t>
      </w:r>
      <w:r w:rsidRPr="008F751D">
        <w:rPr>
          <w:rFonts w:ascii="Baskerville" w:hAnsi="Baskerville"/>
        </w:rPr>
        <w:t>U.S. pre</w:t>
      </w:r>
      <w:r>
        <w:rPr>
          <w:rFonts w:ascii="Baskerville" w:hAnsi="Baskerville"/>
        </w:rPr>
        <w:t>-</w:t>
      </w:r>
      <w:r w:rsidRPr="008F751D">
        <w:rPr>
          <w:rFonts w:ascii="Baskerville" w:hAnsi="Baskerville"/>
        </w:rPr>
        <w:t>dominance is somehow transforming the existing international legal order into something new and quite different</w:t>
      </w:r>
      <w:r>
        <w:rPr>
          <w:rFonts w:ascii="Baskerville" w:hAnsi="Baskerville"/>
        </w:rPr>
        <w:t>,’</w:t>
      </w:r>
      <w:r>
        <w:rPr>
          <w:rStyle w:val="FootnoteReference"/>
          <w:rFonts w:ascii="Baskerville" w:hAnsi="Baskerville"/>
        </w:rPr>
        <w:footnoteReference w:id="9"/>
      </w:r>
      <w:r w:rsidRPr="008F751D">
        <w:rPr>
          <w:rFonts w:ascii="Baskerville" w:hAnsi="Baskerville"/>
        </w:rPr>
        <w:t xml:space="preserve"> </w:t>
      </w:r>
      <w:r>
        <w:rPr>
          <w:rFonts w:ascii="Baskerville" w:hAnsi="Baskerville"/>
        </w:rPr>
        <w:t>whereby consent is implied without being expressly given by a foreign power</w:t>
      </w:r>
      <w:r w:rsidRPr="008F751D">
        <w:rPr>
          <w:rFonts w:ascii="Baskerville" w:hAnsi="Baskerville"/>
        </w:rPr>
        <w:t xml:space="preserve">. </w:t>
      </w:r>
    </w:p>
    <w:p w14:paraId="55E07CD6" w14:textId="185B6E73" w:rsidR="0099548D" w:rsidRDefault="0099548D" w:rsidP="0099548D">
      <w:pPr>
        <w:rPr>
          <w:rFonts w:ascii="Baskerville" w:hAnsi="Baskerville"/>
        </w:rPr>
      </w:pPr>
      <w:r>
        <w:rPr>
          <w:rFonts w:ascii="Baskerville" w:hAnsi="Baskerville"/>
        </w:rPr>
        <w:t>The</w:t>
      </w:r>
      <w:r w:rsidRPr="009B282A">
        <w:rPr>
          <w:rFonts w:ascii="Baskerville" w:hAnsi="Baskerville"/>
        </w:rPr>
        <w:t xml:space="preserve"> concept that state consent serves as the exclusive source of obligation in international law </w:t>
      </w:r>
      <w:r>
        <w:rPr>
          <w:rFonts w:ascii="Baskerville" w:hAnsi="Baskerville"/>
        </w:rPr>
        <w:t>has been unable to escape</w:t>
      </w:r>
      <w:r w:rsidRPr="009B282A">
        <w:rPr>
          <w:rFonts w:ascii="Baskerville" w:hAnsi="Baskerville"/>
        </w:rPr>
        <w:t xml:space="preserve"> censure. Scholars question what gives legal force to the consent of states expressed through treaties.</w:t>
      </w:r>
      <w:r>
        <w:rPr>
          <w:rStyle w:val="FootnoteReference"/>
          <w:rFonts w:ascii="Baskerville" w:hAnsi="Baskerville"/>
        </w:rPr>
        <w:footnoteReference w:id="10"/>
      </w:r>
      <w:r w:rsidRPr="009B282A">
        <w:rPr>
          <w:rFonts w:ascii="Baskerville" w:hAnsi="Baskerville"/>
        </w:rPr>
        <w:t xml:space="preserve"> Do treaties bind states because they consent to the binding effect </w:t>
      </w:r>
      <w:r>
        <w:rPr>
          <w:rFonts w:ascii="Baskerville" w:hAnsi="Baskerville"/>
        </w:rPr>
        <w:t>of treatie</w:t>
      </w:r>
      <w:r w:rsidRPr="009B282A">
        <w:rPr>
          <w:rFonts w:ascii="Baskerville" w:hAnsi="Baskerville"/>
        </w:rPr>
        <w:t>s? Such a construction leads to an inestimable logical regression of states consenting to consent. Or, does a treaty</w:t>
      </w:r>
      <w:r>
        <w:rPr>
          <w:rFonts w:ascii="Baskerville" w:hAnsi="Baskerville"/>
        </w:rPr>
        <w:t>’</w:t>
      </w:r>
      <w:r w:rsidRPr="009B282A">
        <w:rPr>
          <w:rFonts w:ascii="Baskerville" w:hAnsi="Baskerville"/>
        </w:rPr>
        <w:t xml:space="preserve">s legal force originate from a non-consensual basis such as natural law? If so, </w:t>
      </w:r>
      <w:r>
        <w:rPr>
          <w:rFonts w:ascii="Baskerville" w:hAnsi="Baskerville"/>
        </w:rPr>
        <w:t>‘</w:t>
      </w:r>
      <w:r w:rsidRPr="009B282A">
        <w:rPr>
          <w:rFonts w:ascii="Baskerville" w:hAnsi="Baskerville"/>
        </w:rPr>
        <w:t xml:space="preserve">consent cannot be the only basis for creating international </w:t>
      </w:r>
      <w:r>
        <w:rPr>
          <w:rFonts w:ascii="Baskerville" w:hAnsi="Baskerville"/>
        </w:rPr>
        <w:t>law’.</w:t>
      </w:r>
      <w:r>
        <w:rPr>
          <w:rStyle w:val="FootnoteReference"/>
          <w:rFonts w:ascii="Baskerville" w:hAnsi="Baskerville"/>
        </w:rPr>
        <w:footnoteReference w:id="11"/>
      </w:r>
    </w:p>
    <w:p w14:paraId="536B920F" w14:textId="06A8F78A" w:rsidR="0099548D" w:rsidRPr="0088706A" w:rsidRDefault="0099548D" w:rsidP="0099548D">
      <w:pPr>
        <w:rPr>
          <w:rFonts w:ascii="Baskerville" w:hAnsi="Baskerville"/>
          <w:color w:val="FF0000"/>
          <w:lang w:val="en-US"/>
        </w:rPr>
      </w:pPr>
      <w:r w:rsidRPr="008F426C">
        <w:rPr>
          <w:rFonts w:ascii="Baskerville" w:hAnsi="Baskerville"/>
          <w:lang w:val="en-US"/>
        </w:rPr>
        <w:t>State consent is often ‘bypassed’ in modern approaches to custom as a source of international law.</w:t>
      </w:r>
      <w:r w:rsidRPr="008F426C">
        <w:rPr>
          <w:rStyle w:val="FootnoteReference"/>
          <w:rFonts w:ascii="Baskerville" w:hAnsi="Baskerville"/>
          <w:lang w:val="en-US"/>
        </w:rPr>
        <w:footnoteReference w:id="12"/>
      </w:r>
      <w:r w:rsidRPr="0088706A">
        <w:rPr>
          <w:rFonts w:ascii="Baskerville" w:hAnsi="Baskerville"/>
          <w:color w:val="FF0000"/>
          <w:lang w:val="en-US"/>
        </w:rPr>
        <w:t xml:space="preserve"> </w:t>
      </w:r>
      <w:r w:rsidRPr="008F426C">
        <w:rPr>
          <w:rFonts w:ascii="Baskerville" w:hAnsi="Baskerville"/>
          <w:lang w:val="en-US"/>
        </w:rPr>
        <w:t>As custom is ultimately a normative description of the present state of affairs, classical theory is decidedly unpopular with those pursuing a legislative effect in the system.</w:t>
      </w:r>
      <w:r w:rsidRPr="0088706A">
        <w:rPr>
          <w:rFonts w:ascii="Baskerville" w:hAnsi="Baskerville"/>
          <w:color w:val="FF0000"/>
          <w:lang w:val="en-US"/>
        </w:rPr>
        <w:t xml:space="preserve"> </w:t>
      </w:r>
      <w:r w:rsidRPr="008F426C">
        <w:rPr>
          <w:rFonts w:ascii="Baskerville" w:hAnsi="Baskerville"/>
          <w:lang w:val="en-US"/>
        </w:rPr>
        <w:t>The modern variants of the classical approach to custom fall into two categories. The first establishes a custom between a limited number of states and then, on the belief that all rules must be universal, generalises the rule to affect all states.</w:t>
      </w:r>
      <w:r w:rsidRPr="0088706A">
        <w:rPr>
          <w:rFonts w:ascii="Baskerville" w:hAnsi="Baskerville"/>
          <w:color w:val="FF0000"/>
          <w:lang w:val="en-US"/>
        </w:rPr>
        <w:t xml:space="preserve"> </w:t>
      </w:r>
      <w:r w:rsidRPr="008F426C">
        <w:rPr>
          <w:rFonts w:ascii="Baskerville" w:hAnsi="Baskerville"/>
          <w:lang w:val="en-US"/>
        </w:rPr>
        <w:t>Naturally, it is unnecessary, nor even likely, that customary norms be universal in their scope.</w:t>
      </w:r>
      <w:r w:rsidRPr="0088706A">
        <w:rPr>
          <w:rFonts w:ascii="Baskerville" w:hAnsi="Baskerville"/>
          <w:color w:val="FF0000"/>
          <w:lang w:val="en-US"/>
        </w:rPr>
        <w:t xml:space="preserve"> </w:t>
      </w:r>
      <w:r w:rsidRPr="008F426C">
        <w:rPr>
          <w:rFonts w:ascii="Baskerville" w:hAnsi="Baskerville"/>
          <w:lang w:val="en-US"/>
        </w:rPr>
        <w:t>The second variation is to argue that a new type of activity can meet the criteria for custom: something other than state practice.</w:t>
      </w:r>
      <w:r w:rsidRPr="0088706A">
        <w:rPr>
          <w:rFonts w:ascii="Baskerville" w:hAnsi="Baskerville"/>
          <w:color w:val="FF0000"/>
          <w:lang w:val="en-US"/>
        </w:rPr>
        <w:t xml:space="preserve"> </w:t>
      </w:r>
      <w:r w:rsidRPr="008F426C">
        <w:rPr>
          <w:rFonts w:ascii="Baskerville" w:hAnsi="Baskerville"/>
          <w:lang w:val="en-US"/>
        </w:rPr>
        <w:t xml:space="preserve">By </w:t>
      </w:r>
      <w:r w:rsidRPr="008F426C">
        <w:rPr>
          <w:rFonts w:ascii="Baskerville" w:hAnsi="Baskerville"/>
          <w:lang w:val="en-US"/>
        </w:rPr>
        <w:lastRenderedPageBreak/>
        <w:t>far the most popular candidate here is the alleged legislative effect of UN General Assembly resolutions.</w:t>
      </w:r>
    </w:p>
    <w:p w14:paraId="040E30A1" w14:textId="2D4D773B" w:rsidR="0099548D" w:rsidRPr="007D6AAC" w:rsidRDefault="0099548D" w:rsidP="0099548D">
      <w:pPr>
        <w:rPr>
          <w:rFonts w:ascii="Baskerville" w:hAnsi="Baskerville"/>
          <w:color w:val="FF0000"/>
          <w:lang w:val="en-US"/>
        </w:rPr>
      </w:pPr>
      <w:r>
        <w:rPr>
          <w:rFonts w:ascii="Baskerville" w:hAnsi="Baskerville"/>
          <w:lang w:val="en-US"/>
        </w:rPr>
        <w:t xml:space="preserve">It is perhaps at this point that we should ask ourselves whether a state’s refusal to provide consent actually matters. </w:t>
      </w:r>
      <w:r w:rsidRPr="00FF7707">
        <w:rPr>
          <w:rFonts w:ascii="Baskerville" w:hAnsi="Baskerville"/>
          <w:lang w:val="en-US"/>
        </w:rPr>
        <w:t xml:space="preserve">One of the key issues that </w:t>
      </w:r>
      <w:proofErr w:type="gramStart"/>
      <w:r w:rsidRPr="00FF7707">
        <w:rPr>
          <w:rFonts w:ascii="Baskerville" w:hAnsi="Baskerville"/>
          <w:lang w:val="en-US"/>
        </w:rPr>
        <w:t>has</w:t>
      </w:r>
      <w:proofErr w:type="gramEnd"/>
      <w:r w:rsidRPr="00FF7707">
        <w:rPr>
          <w:rFonts w:ascii="Baskerville" w:hAnsi="Baskerville"/>
          <w:lang w:val="en-US"/>
        </w:rPr>
        <w:t xml:space="preserve"> emerged surrounding the state consent requirement is that states do not possess the kind of moral liberty that is supposed to be protected by the requirement of consent. Consequently, as in the case of the relations of individuals to states, ‘consent may not be necessary to obligate states to go along with a treaty or organisation’.</w:t>
      </w:r>
      <w:r w:rsidRPr="00FF7707">
        <w:rPr>
          <w:rStyle w:val="FootnoteReference"/>
          <w:rFonts w:ascii="Baskerville" w:hAnsi="Baskerville"/>
          <w:lang w:val="en-US"/>
        </w:rPr>
        <w:footnoteReference w:id="13"/>
      </w:r>
      <w:r w:rsidRPr="00FF7707">
        <w:rPr>
          <w:rFonts w:ascii="Baskerville" w:hAnsi="Baskerville"/>
          <w:lang w:val="en-US"/>
        </w:rPr>
        <w:t xml:space="preserve"> </w:t>
      </w:r>
      <w:r>
        <w:rPr>
          <w:rFonts w:ascii="Baskerville" w:hAnsi="Baskerville"/>
          <w:lang w:val="en-US"/>
        </w:rPr>
        <w:t>International law scholar Andrew T. Guzman wisely argues that a commitment to consent is inefficient.</w:t>
      </w:r>
      <w:r w:rsidRPr="005A30EB">
        <w:rPr>
          <w:rFonts w:ascii="Baskerville" w:hAnsi="Baskerville"/>
          <w:lang w:val="en-US"/>
        </w:rPr>
        <w:t xml:space="preserve"> </w:t>
      </w:r>
      <w:r>
        <w:rPr>
          <w:rFonts w:ascii="Baskerville" w:hAnsi="Baskerville"/>
          <w:lang w:val="en-US"/>
        </w:rPr>
        <w:t xml:space="preserve">Guzman has </w:t>
      </w:r>
      <w:r w:rsidRPr="005A30EB">
        <w:rPr>
          <w:rFonts w:ascii="Baskerville" w:hAnsi="Baskerville"/>
          <w:lang w:val="en-US"/>
        </w:rPr>
        <w:t>also survey</w:t>
      </w:r>
      <w:r>
        <w:rPr>
          <w:rFonts w:ascii="Baskerville" w:hAnsi="Baskerville"/>
          <w:lang w:val="en-US"/>
        </w:rPr>
        <w:t>ed</w:t>
      </w:r>
      <w:r w:rsidRPr="005A30EB">
        <w:rPr>
          <w:rFonts w:ascii="Baskerville" w:hAnsi="Baskerville"/>
          <w:lang w:val="en-US"/>
        </w:rPr>
        <w:t xml:space="preserve"> the international legal system’s non-consensual forms of rule making and </w:t>
      </w:r>
      <w:r>
        <w:rPr>
          <w:rFonts w:ascii="Baskerville" w:hAnsi="Baskerville"/>
          <w:lang w:val="en-US"/>
        </w:rPr>
        <w:t xml:space="preserve">has </w:t>
      </w:r>
      <w:r w:rsidRPr="005A30EB">
        <w:rPr>
          <w:rFonts w:ascii="Baskerville" w:hAnsi="Baskerville"/>
          <w:lang w:val="en-US"/>
        </w:rPr>
        <w:t>shown them to be inadequate to address the consent problem.</w:t>
      </w:r>
      <w:r>
        <w:rPr>
          <w:rStyle w:val="FootnoteReference"/>
          <w:rFonts w:ascii="Baskerville" w:hAnsi="Baskerville"/>
          <w:lang w:val="en-US"/>
        </w:rPr>
        <w:footnoteReference w:id="14"/>
      </w:r>
      <w:r w:rsidRPr="005A30EB">
        <w:rPr>
          <w:rFonts w:ascii="Baskerville" w:hAnsi="Baskerville"/>
          <w:lang w:val="en-US"/>
        </w:rPr>
        <w:t xml:space="preserve"> </w:t>
      </w:r>
      <w:r>
        <w:rPr>
          <w:rFonts w:ascii="Baskerville" w:hAnsi="Baskerville"/>
          <w:lang w:val="en-US"/>
        </w:rPr>
        <w:t>Guzman shrewdly surmises that ‘t</w:t>
      </w:r>
      <w:r w:rsidRPr="005A30EB">
        <w:rPr>
          <w:rFonts w:ascii="Baskerville" w:hAnsi="Baskerville"/>
          <w:lang w:val="en-US"/>
        </w:rPr>
        <w:t>here is simply too little flexibility or authority in these non-consensual approaches to address the world’s problems</w:t>
      </w:r>
      <w:r>
        <w:rPr>
          <w:rFonts w:ascii="Baskerville" w:hAnsi="Baskerville"/>
          <w:lang w:val="en-US"/>
        </w:rPr>
        <w:t>’.</w:t>
      </w:r>
      <w:r>
        <w:rPr>
          <w:rStyle w:val="FootnoteReference"/>
          <w:rFonts w:ascii="Baskerville" w:hAnsi="Baskerville"/>
          <w:lang w:val="en-US"/>
        </w:rPr>
        <w:footnoteReference w:id="15"/>
      </w:r>
      <w:r>
        <w:rPr>
          <w:rFonts w:ascii="Baskerville" w:hAnsi="Baskerville"/>
          <w:lang w:val="en-US"/>
        </w:rPr>
        <w:t xml:space="preserve"> </w:t>
      </w:r>
      <w:r w:rsidRPr="00E456DC">
        <w:rPr>
          <w:rFonts w:ascii="Baskerville" w:hAnsi="Baskerville"/>
          <w:lang w:val="en-US"/>
        </w:rPr>
        <w:t xml:space="preserve">If the global community </w:t>
      </w:r>
      <w:r>
        <w:rPr>
          <w:rFonts w:ascii="Baskerville" w:hAnsi="Baskerville"/>
          <w:lang w:val="en-US"/>
        </w:rPr>
        <w:t>wishes</w:t>
      </w:r>
      <w:r w:rsidRPr="00E456DC">
        <w:rPr>
          <w:rFonts w:ascii="Baskerville" w:hAnsi="Baskerville"/>
          <w:lang w:val="en-US"/>
        </w:rPr>
        <w:t xml:space="preserve"> to</w:t>
      </w:r>
      <w:r>
        <w:rPr>
          <w:rFonts w:ascii="Baskerville" w:hAnsi="Baskerville"/>
          <w:lang w:val="en-US"/>
        </w:rPr>
        <w:t xml:space="preserve"> make</w:t>
      </w:r>
      <w:r w:rsidRPr="00E456DC">
        <w:rPr>
          <w:rFonts w:ascii="Baskerville" w:hAnsi="Baskerville"/>
          <w:lang w:val="en-US"/>
        </w:rPr>
        <w:t xml:space="preserve"> progress, we will have to </w:t>
      </w:r>
      <w:r>
        <w:rPr>
          <w:rFonts w:ascii="Baskerville" w:hAnsi="Baskerville"/>
          <w:lang w:val="en-US"/>
        </w:rPr>
        <w:t xml:space="preserve">improve </w:t>
      </w:r>
      <w:r w:rsidRPr="00E456DC">
        <w:rPr>
          <w:rFonts w:ascii="Baskerville" w:hAnsi="Baskerville"/>
          <w:lang w:val="en-US"/>
        </w:rPr>
        <w:t>our ability t</w:t>
      </w:r>
      <w:r>
        <w:rPr>
          <w:rFonts w:ascii="Baskerville" w:hAnsi="Baskerville"/>
          <w:lang w:val="en-US"/>
        </w:rPr>
        <w:t>o overcome the consent problem</w:t>
      </w:r>
      <w:r w:rsidRPr="005A30EB">
        <w:rPr>
          <w:rFonts w:ascii="Baskerville" w:hAnsi="Baskerville"/>
          <w:lang w:val="en-US"/>
        </w:rPr>
        <w:t xml:space="preserve">. </w:t>
      </w:r>
    </w:p>
    <w:p w14:paraId="686F6147" w14:textId="1B2D20BB" w:rsidR="0099548D" w:rsidRPr="008D2F4D" w:rsidRDefault="0099548D" w:rsidP="0099548D">
      <w:pPr>
        <w:rPr>
          <w:rFonts w:ascii="Baskerville" w:hAnsi="Baskerville"/>
          <w:b/>
          <w:u w:val="single"/>
        </w:rPr>
      </w:pPr>
      <w:r w:rsidRPr="009151F4">
        <w:rPr>
          <w:rFonts w:ascii="Baskerville" w:hAnsi="Baskerville"/>
          <w:b/>
          <w:u w:val="single"/>
        </w:rPr>
        <w:t>Conclusion</w:t>
      </w:r>
    </w:p>
    <w:p w14:paraId="0C9B78DE" w14:textId="0FE3EF59" w:rsidR="0099548D" w:rsidRDefault="0099548D" w:rsidP="0099548D">
      <w:pPr>
        <w:rPr>
          <w:rFonts w:ascii="Baskerville" w:hAnsi="Baskerville"/>
          <w:lang w:val="en-US"/>
        </w:rPr>
      </w:pPr>
      <w:r>
        <w:rPr>
          <w:rFonts w:ascii="Baskerville" w:hAnsi="Baskerville"/>
        </w:rPr>
        <w:t>Alt</w:t>
      </w:r>
      <w:r w:rsidRPr="00F177AA">
        <w:rPr>
          <w:rFonts w:ascii="Baskerville" w:hAnsi="Baskerville"/>
          <w:lang w:val="en-US"/>
        </w:rPr>
        <w:t xml:space="preserve">hough </w:t>
      </w:r>
      <w:r>
        <w:rPr>
          <w:rFonts w:ascii="Baskerville" w:hAnsi="Baskerville"/>
          <w:lang w:val="en-US"/>
        </w:rPr>
        <w:t xml:space="preserve">state </w:t>
      </w:r>
      <w:r w:rsidRPr="00F177AA">
        <w:rPr>
          <w:rFonts w:ascii="Baskerville" w:hAnsi="Baskerville"/>
          <w:lang w:val="en-US"/>
        </w:rPr>
        <w:t xml:space="preserve">consent has an important role to play, </w:t>
      </w:r>
      <w:r>
        <w:rPr>
          <w:rFonts w:ascii="Baskerville" w:hAnsi="Baskerville"/>
          <w:lang w:val="en-US"/>
        </w:rPr>
        <w:t>‘</w:t>
      </w:r>
      <w:r w:rsidRPr="00F177AA">
        <w:rPr>
          <w:rFonts w:ascii="Baskerville" w:hAnsi="Baskerville"/>
          <w:lang w:val="en-US"/>
        </w:rPr>
        <w:t>we cannot address the world’s greatest problems unless we are ready to overcome the problem it creates – the consent problem</w:t>
      </w:r>
      <w:r>
        <w:rPr>
          <w:rFonts w:ascii="Baskerville" w:hAnsi="Baskerville"/>
          <w:lang w:val="en-US"/>
        </w:rPr>
        <w:t>’</w:t>
      </w:r>
      <w:r w:rsidRPr="00F177AA">
        <w:rPr>
          <w:rFonts w:ascii="Baskerville" w:hAnsi="Baskerville"/>
          <w:lang w:val="en-US"/>
        </w:rPr>
        <w:t>.</w:t>
      </w:r>
      <w:r>
        <w:rPr>
          <w:rStyle w:val="FootnoteReference"/>
          <w:rFonts w:ascii="Baskerville" w:hAnsi="Baskerville"/>
          <w:lang w:val="en-US"/>
        </w:rPr>
        <w:footnoteReference w:id="16"/>
      </w:r>
      <w:r w:rsidRPr="00F177AA">
        <w:rPr>
          <w:rFonts w:ascii="Baskerville" w:hAnsi="Baskerville"/>
          <w:lang w:val="en-US"/>
        </w:rPr>
        <w:t xml:space="preserve"> International law has developed a variety of ways to tolerate the consent problem. These include the granting of concessions by supporters of change to opponents thereof, customary international law, and to the United Nations Security Council. </w:t>
      </w:r>
      <w:r>
        <w:rPr>
          <w:rFonts w:ascii="Baskerville" w:hAnsi="Baskerville"/>
          <w:lang w:val="en-US"/>
        </w:rPr>
        <w:t xml:space="preserve">However, none of these </w:t>
      </w:r>
      <w:r w:rsidRPr="00F177AA">
        <w:rPr>
          <w:rFonts w:ascii="Baskerville" w:hAnsi="Baskerville"/>
          <w:lang w:val="en-US"/>
        </w:rPr>
        <w:t xml:space="preserve">provide a sufficient counterweight to the consent problem. </w:t>
      </w:r>
      <w:bookmarkStart w:id="0" w:name="_GoBack"/>
      <w:bookmarkEnd w:id="0"/>
    </w:p>
    <w:p w14:paraId="43788615" w14:textId="77777777" w:rsidR="0099548D" w:rsidRPr="00B547D1" w:rsidRDefault="0099548D" w:rsidP="0099548D">
      <w:pPr>
        <w:rPr>
          <w:rFonts w:ascii="Baskerville" w:hAnsi="Baskerville"/>
          <w:lang w:val="en-US"/>
        </w:rPr>
      </w:pPr>
      <w:r>
        <w:rPr>
          <w:rFonts w:ascii="Baskerville" w:hAnsi="Baskerville"/>
          <w:lang w:val="en-US"/>
        </w:rPr>
        <w:t>P</w:t>
      </w:r>
      <w:r w:rsidRPr="00F177AA">
        <w:rPr>
          <w:rFonts w:ascii="Baskerville" w:hAnsi="Baskerville"/>
          <w:lang w:val="en-US"/>
        </w:rPr>
        <w:t xml:space="preserve">olicies </w:t>
      </w:r>
      <w:r>
        <w:rPr>
          <w:rFonts w:ascii="Baskerville" w:hAnsi="Baskerville"/>
          <w:lang w:val="en-US"/>
        </w:rPr>
        <w:t>are also in place to help</w:t>
      </w:r>
      <w:r w:rsidRPr="00F177AA">
        <w:rPr>
          <w:rFonts w:ascii="Baskerville" w:hAnsi="Baskerville"/>
          <w:lang w:val="en-US"/>
        </w:rPr>
        <w:t xml:space="preserve"> work around the consent problem, mostly through the use of </w:t>
      </w:r>
      <w:r>
        <w:rPr>
          <w:rFonts w:ascii="Baskerville" w:hAnsi="Baskerville"/>
          <w:lang w:val="en-US"/>
        </w:rPr>
        <w:t>‘</w:t>
      </w:r>
      <w:r w:rsidRPr="00F177AA">
        <w:rPr>
          <w:rFonts w:ascii="Baskerville" w:hAnsi="Baskerville"/>
          <w:lang w:val="en-US"/>
        </w:rPr>
        <w:t>soft law</w:t>
      </w:r>
      <w:r>
        <w:rPr>
          <w:rFonts w:ascii="Baskerville" w:hAnsi="Baskerville"/>
          <w:lang w:val="en-US"/>
        </w:rPr>
        <w:t>’</w:t>
      </w:r>
      <w:r w:rsidRPr="00F177AA">
        <w:rPr>
          <w:rFonts w:ascii="Baskerville" w:hAnsi="Baskerville"/>
          <w:lang w:val="en-US"/>
        </w:rPr>
        <w:t xml:space="preserve">. </w:t>
      </w:r>
      <w:r>
        <w:rPr>
          <w:rFonts w:ascii="Baskerville" w:hAnsi="Baskerville"/>
          <w:lang w:val="en-US"/>
        </w:rPr>
        <w:t>For instance</w:t>
      </w:r>
      <w:r w:rsidRPr="00F177AA">
        <w:rPr>
          <w:rFonts w:ascii="Baskerville" w:hAnsi="Baskerville"/>
          <w:lang w:val="en-US"/>
        </w:rPr>
        <w:t>, the international system has developed a plethora of international organi</w:t>
      </w:r>
      <w:r>
        <w:rPr>
          <w:rFonts w:ascii="Baskerville" w:hAnsi="Baskerville"/>
          <w:lang w:val="en-US"/>
        </w:rPr>
        <w:t>s</w:t>
      </w:r>
      <w:r w:rsidRPr="00F177AA">
        <w:rPr>
          <w:rFonts w:ascii="Baskerville" w:hAnsi="Baskerville"/>
          <w:lang w:val="en-US"/>
        </w:rPr>
        <w:t xml:space="preserve">ations and international tribunals that generate soft law. As currently used and perceived by the international legal system, states, and commentators, these soft law strategies are beneficial, but insufficiently so. We could achieve better results within the system by </w:t>
      </w:r>
      <w:r>
        <w:rPr>
          <w:rFonts w:ascii="Baskerville" w:hAnsi="Baskerville"/>
          <w:lang w:val="en-US"/>
        </w:rPr>
        <w:t xml:space="preserve">further accepting </w:t>
      </w:r>
      <w:r w:rsidRPr="00F177AA">
        <w:rPr>
          <w:rFonts w:ascii="Baskerville" w:hAnsi="Baskerville"/>
          <w:lang w:val="en-US"/>
        </w:rPr>
        <w:t xml:space="preserve">the soft law promulgated by these bodies and raising the expectation of compliance placed on states. This move toward greater support for non-consensual soft law would help </w:t>
      </w:r>
      <w:r>
        <w:rPr>
          <w:rFonts w:ascii="Baskerville" w:hAnsi="Baskerville"/>
          <w:lang w:val="en-US"/>
        </w:rPr>
        <w:t>to overcome the consent problem</w:t>
      </w:r>
      <w:r w:rsidRPr="00F177AA">
        <w:rPr>
          <w:rFonts w:ascii="Baskerville" w:hAnsi="Baskerville"/>
          <w:lang w:val="en-US"/>
        </w:rPr>
        <w:t xml:space="preserve"> and </w:t>
      </w:r>
      <w:r>
        <w:rPr>
          <w:rFonts w:ascii="Baskerville" w:hAnsi="Baskerville"/>
          <w:lang w:val="en-US"/>
        </w:rPr>
        <w:t>‘</w:t>
      </w:r>
      <w:r w:rsidRPr="00F177AA">
        <w:rPr>
          <w:rFonts w:ascii="Baskerville" w:hAnsi="Baskerville"/>
          <w:lang w:val="en-US"/>
        </w:rPr>
        <w:t>represent a step in the right directio</w:t>
      </w:r>
      <w:r>
        <w:rPr>
          <w:rFonts w:ascii="Baskerville" w:hAnsi="Baskerville"/>
          <w:lang w:val="en-US"/>
        </w:rPr>
        <w:t>n for the international system’.</w:t>
      </w:r>
      <w:r>
        <w:rPr>
          <w:rStyle w:val="FootnoteReference"/>
          <w:rFonts w:ascii="Baskerville" w:hAnsi="Baskerville"/>
          <w:lang w:val="en-US"/>
        </w:rPr>
        <w:footnoteReference w:id="17"/>
      </w:r>
    </w:p>
    <w:p w14:paraId="01BCBEA1" w14:textId="77777777" w:rsidR="0099548D" w:rsidRPr="00424D1C" w:rsidRDefault="0099548D" w:rsidP="0099548D">
      <w:pPr>
        <w:rPr>
          <w:rFonts w:ascii="Baskerville" w:hAnsi="Baskerville"/>
          <w:b/>
          <w:color w:val="FF0000"/>
          <w:sz w:val="40"/>
          <w:szCs w:val="40"/>
          <w:u w:val="single"/>
        </w:rPr>
      </w:pPr>
    </w:p>
    <w:p w14:paraId="40E9E8A6" w14:textId="77777777" w:rsidR="0099548D" w:rsidRPr="00A14A8E" w:rsidRDefault="0099548D" w:rsidP="0099548D">
      <w:pPr>
        <w:jc w:val="center"/>
        <w:rPr>
          <w:rFonts w:ascii="Baskerville" w:hAnsi="Baskerville"/>
          <w:b/>
          <w:color w:val="FF0000"/>
          <w:sz w:val="40"/>
          <w:szCs w:val="40"/>
          <w:u w:val="single"/>
        </w:rPr>
      </w:pPr>
    </w:p>
    <w:p w14:paraId="688F110E" w14:textId="77777777" w:rsidR="0099548D" w:rsidRDefault="0099548D" w:rsidP="0099548D"/>
    <w:p w14:paraId="3FFD8D30" w14:textId="5F089CFB" w:rsidR="00F23A67" w:rsidRPr="00355372" w:rsidRDefault="00F23A67">
      <w:pPr>
        <w:rPr>
          <w:rFonts w:ascii="Arial" w:hAnsi="Arial" w:cs="Arial"/>
          <w:i/>
        </w:rPr>
      </w:pPr>
    </w:p>
    <w:sectPr w:rsidR="00F23A67" w:rsidRPr="00355372" w:rsidSect="00A923C8">
      <w:headerReference w:type="default" r:id="rId10"/>
      <w:footerReference w:type="even" r:id="rId11"/>
      <w:footerReference w:type="default" r:id="rId12"/>
      <w:pgSz w:w="11900" w:h="16840"/>
      <w:pgMar w:top="1135"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F8AD21" w14:textId="77777777" w:rsidR="00E730F3" w:rsidRDefault="00E730F3" w:rsidP="00E730F3">
      <w:pPr>
        <w:spacing w:after="0" w:line="240" w:lineRule="auto"/>
      </w:pPr>
      <w:r>
        <w:separator/>
      </w:r>
    </w:p>
  </w:endnote>
  <w:endnote w:type="continuationSeparator" w:id="0">
    <w:p w14:paraId="69C7A3D9" w14:textId="77777777" w:rsidR="00E730F3" w:rsidRDefault="00E730F3" w:rsidP="00E73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Arial Nova Light">
    <w:altName w:val="Arial"/>
    <w:charset w:val="00"/>
    <w:family w:val="swiss"/>
    <w:pitch w:val="variable"/>
    <w:sig w:usb0="00000001" w:usb1="0000000A" w:usb2="00000000" w:usb3="00000000" w:csb0="0000019F" w:csb1="00000000"/>
  </w:font>
  <w:font w:name="Arial Nova Cond Light">
    <w:altName w:val="Arial Narrow"/>
    <w:charset w:val="00"/>
    <w:family w:val="swiss"/>
    <w:pitch w:val="variable"/>
    <w:sig w:usb0="00000001" w:usb1="00000002" w:usb2="00000000" w:usb3="00000000" w:csb0="0000009F" w:csb1="00000000"/>
  </w:font>
  <w:font w:name="Baskerville">
    <w:panose1 w:val="02020502070401020303"/>
    <w:charset w:val="00"/>
    <w:family w:val="auto"/>
    <w:pitch w:val="variable"/>
    <w:sig w:usb0="80000067" w:usb1="00000000"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21C6F" w14:textId="77777777" w:rsidR="00027BFB" w:rsidRDefault="007D6AAC" w:rsidP="00DA43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097A75" w14:textId="77777777" w:rsidR="00027BFB" w:rsidRDefault="007D6AA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1E468B" w14:textId="77777777" w:rsidR="00027BFB" w:rsidRPr="009E209E" w:rsidRDefault="007D6AAC" w:rsidP="00DA43B8">
    <w:pPr>
      <w:pStyle w:val="Footer"/>
      <w:framePr w:wrap="around" w:vAnchor="text" w:hAnchor="margin" w:xAlign="center" w:y="1"/>
      <w:rPr>
        <w:rStyle w:val="PageNumber"/>
        <w:rFonts w:ascii="Baskerville" w:hAnsi="Baskerville"/>
      </w:rPr>
    </w:pPr>
    <w:r w:rsidRPr="009E209E">
      <w:rPr>
        <w:rStyle w:val="PageNumber"/>
        <w:rFonts w:ascii="Baskerville" w:hAnsi="Baskerville"/>
      </w:rPr>
      <w:fldChar w:fldCharType="begin"/>
    </w:r>
    <w:r w:rsidRPr="009E209E">
      <w:rPr>
        <w:rStyle w:val="PageNumber"/>
        <w:rFonts w:ascii="Baskerville" w:hAnsi="Baskerville"/>
      </w:rPr>
      <w:instrText xml:space="preserve">PAGE  </w:instrText>
    </w:r>
    <w:r w:rsidRPr="009E209E">
      <w:rPr>
        <w:rStyle w:val="PageNumber"/>
        <w:rFonts w:ascii="Baskerville" w:hAnsi="Baskerville"/>
      </w:rPr>
      <w:fldChar w:fldCharType="separate"/>
    </w:r>
    <w:r>
      <w:rPr>
        <w:rStyle w:val="PageNumber"/>
        <w:rFonts w:ascii="Baskerville" w:hAnsi="Baskerville"/>
        <w:noProof/>
      </w:rPr>
      <w:t>5</w:t>
    </w:r>
    <w:r w:rsidRPr="009E209E">
      <w:rPr>
        <w:rStyle w:val="PageNumber"/>
        <w:rFonts w:ascii="Baskerville" w:hAnsi="Baskerville"/>
      </w:rPr>
      <w:fldChar w:fldCharType="end"/>
    </w:r>
  </w:p>
  <w:p w14:paraId="788538BB" w14:textId="77777777" w:rsidR="00027BFB" w:rsidRDefault="007D6AA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1E3523" w14:textId="77777777" w:rsidR="00E730F3" w:rsidRDefault="00E730F3" w:rsidP="00E730F3">
      <w:pPr>
        <w:spacing w:after="0" w:line="240" w:lineRule="auto"/>
      </w:pPr>
      <w:r>
        <w:separator/>
      </w:r>
    </w:p>
  </w:footnote>
  <w:footnote w:type="continuationSeparator" w:id="0">
    <w:p w14:paraId="3B6A05B5" w14:textId="77777777" w:rsidR="00E730F3" w:rsidRDefault="00E730F3" w:rsidP="00E730F3">
      <w:pPr>
        <w:spacing w:after="0" w:line="240" w:lineRule="auto"/>
      </w:pPr>
      <w:r>
        <w:continuationSeparator/>
      </w:r>
    </w:p>
  </w:footnote>
  <w:footnote w:id="1">
    <w:p w14:paraId="538E3461" w14:textId="77777777" w:rsidR="0099548D" w:rsidRPr="00775465" w:rsidRDefault="0099548D" w:rsidP="0099548D">
      <w:pPr>
        <w:pStyle w:val="FootnoteText"/>
        <w:rPr>
          <w:rFonts w:ascii="Baskerville" w:hAnsi="Baskerville"/>
          <w:bCs/>
          <w:sz w:val="22"/>
          <w:szCs w:val="22"/>
          <w:lang w:val="en-US"/>
        </w:rPr>
      </w:pPr>
      <w:r w:rsidRPr="009F747C">
        <w:rPr>
          <w:rStyle w:val="FootnoteReference"/>
          <w:rFonts w:ascii="Baskerville" w:hAnsi="Baskerville"/>
          <w:sz w:val="22"/>
          <w:szCs w:val="22"/>
        </w:rPr>
        <w:footnoteRef/>
      </w:r>
      <w:r w:rsidRPr="009F747C">
        <w:rPr>
          <w:rFonts w:ascii="Baskerville" w:hAnsi="Baskerville"/>
          <w:sz w:val="22"/>
          <w:szCs w:val="22"/>
        </w:rPr>
        <w:t xml:space="preserve"> </w:t>
      </w:r>
      <w:r>
        <w:rPr>
          <w:rFonts w:ascii="Baskerville" w:hAnsi="Baskerville"/>
          <w:sz w:val="22"/>
          <w:szCs w:val="22"/>
        </w:rPr>
        <w:t xml:space="preserve">A. Guzman, </w:t>
      </w:r>
      <w:r>
        <w:rPr>
          <w:rFonts w:ascii="Baskerville" w:hAnsi="Baskerville"/>
          <w:bCs/>
          <w:i/>
          <w:sz w:val="22"/>
          <w:szCs w:val="22"/>
          <w:lang w:val="en-US"/>
        </w:rPr>
        <w:t>The Consent Problem i</w:t>
      </w:r>
      <w:r w:rsidRPr="00775465">
        <w:rPr>
          <w:rFonts w:ascii="Baskerville" w:hAnsi="Baskerville"/>
          <w:bCs/>
          <w:i/>
          <w:sz w:val="22"/>
          <w:szCs w:val="22"/>
          <w:lang w:val="en-US"/>
        </w:rPr>
        <w:t>n International Law</w:t>
      </w:r>
      <w:r>
        <w:rPr>
          <w:rFonts w:ascii="Baskerville" w:hAnsi="Baskerville"/>
          <w:b/>
          <w:bCs/>
          <w:sz w:val="22"/>
          <w:szCs w:val="22"/>
          <w:lang w:val="en-US"/>
        </w:rPr>
        <w:t xml:space="preserve"> </w:t>
      </w:r>
      <w:r>
        <w:rPr>
          <w:rFonts w:ascii="Baskerville" w:hAnsi="Baskerville"/>
          <w:bCs/>
          <w:sz w:val="22"/>
          <w:szCs w:val="22"/>
          <w:lang w:val="en-US"/>
        </w:rPr>
        <w:t>(</w:t>
      </w:r>
      <w:r w:rsidRPr="00775465">
        <w:rPr>
          <w:rFonts w:ascii="Baskerville" w:hAnsi="Baskerville"/>
          <w:bCs/>
          <w:sz w:val="22"/>
          <w:szCs w:val="22"/>
          <w:lang w:val="en-US"/>
        </w:rPr>
        <w:t xml:space="preserve">University of California, Berkeley Law School </w:t>
      </w:r>
      <w:r>
        <w:rPr>
          <w:rFonts w:ascii="Baskerville" w:hAnsi="Baskerville"/>
          <w:sz w:val="22"/>
          <w:szCs w:val="22"/>
        </w:rPr>
        <w:t>2011)</w:t>
      </w:r>
      <w:r w:rsidRPr="009F747C">
        <w:rPr>
          <w:rFonts w:ascii="Baskerville" w:hAnsi="Baskerville"/>
          <w:sz w:val="22"/>
          <w:szCs w:val="22"/>
        </w:rPr>
        <w:t>, p 2.</w:t>
      </w:r>
    </w:p>
  </w:footnote>
  <w:footnote w:id="2">
    <w:p w14:paraId="117C5577" w14:textId="77777777" w:rsidR="0099548D" w:rsidRPr="00271A82" w:rsidRDefault="0099548D" w:rsidP="0099548D">
      <w:pPr>
        <w:pStyle w:val="FootnoteText"/>
        <w:rPr>
          <w:rFonts w:ascii="Baskerville" w:hAnsi="Baskerville"/>
          <w:sz w:val="22"/>
          <w:szCs w:val="22"/>
          <w:lang w:val="en-US"/>
        </w:rPr>
      </w:pPr>
      <w:r w:rsidRPr="00271A82">
        <w:rPr>
          <w:rStyle w:val="FootnoteReference"/>
          <w:rFonts w:ascii="Baskerville" w:hAnsi="Baskerville"/>
          <w:sz w:val="22"/>
          <w:szCs w:val="22"/>
        </w:rPr>
        <w:footnoteRef/>
      </w:r>
      <w:r w:rsidRPr="00271A82">
        <w:rPr>
          <w:rFonts w:ascii="Baskerville" w:hAnsi="Baskerville"/>
          <w:sz w:val="22"/>
          <w:szCs w:val="22"/>
        </w:rPr>
        <w:t xml:space="preserve"> </w:t>
      </w:r>
      <w:r w:rsidRPr="007714FB">
        <w:rPr>
          <w:rFonts w:ascii="Baskerville" w:hAnsi="Baskerville"/>
          <w:sz w:val="22"/>
          <w:szCs w:val="22"/>
          <w:lang w:val="en-US"/>
        </w:rPr>
        <w:t xml:space="preserve">The </w:t>
      </w:r>
      <w:r w:rsidRPr="007714FB">
        <w:rPr>
          <w:rFonts w:ascii="Baskerville" w:hAnsi="Baskerville"/>
          <w:i/>
          <w:sz w:val="22"/>
          <w:szCs w:val="22"/>
          <w:lang w:val="en-US"/>
        </w:rPr>
        <w:t>S.S. Lotus</w:t>
      </w:r>
      <w:r w:rsidRPr="007714FB">
        <w:rPr>
          <w:rFonts w:ascii="Baskerville" w:hAnsi="Baskerville"/>
          <w:sz w:val="22"/>
          <w:szCs w:val="22"/>
          <w:lang w:val="en-US"/>
        </w:rPr>
        <w:t xml:space="preserve"> case, PCIJ </w:t>
      </w:r>
      <w:r>
        <w:rPr>
          <w:rFonts w:ascii="Baskerville" w:hAnsi="Baskerville"/>
          <w:sz w:val="22"/>
          <w:szCs w:val="22"/>
          <w:lang w:val="en-US"/>
        </w:rPr>
        <w:t xml:space="preserve">Ser. A. No. 10 (1927), at 18. </w:t>
      </w:r>
    </w:p>
  </w:footnote>
  <w:footnote w:id="3">
    <w:p w14:paraId="69E7831B" w14:textId="77777777" w:rsidR="0099548D" w:rsidRPr="00753FCE" w:rsidRDefault="0099548D" w:rsidP="0099548D">
      <w:pPr>
        <w:pStyle w:val="FootnoteText"/>
        <w:rPr>
          <w:rFonts w:ascii="Baskerville" w:hAnsi="Baskerville"/>
          <w:sz w:val="22"/>
          <w:szCs w:val="22"/>
          <w:lang w:val="en-US"/>
        </w:rPr>
      </w:pPr>
      <w:r w:rsidRPr="00753FCE">
        <w:rPr>
          <w:rStyle w:val="FootnoteReference"/>
          <w:rFonts w:ascii="Baskerville" w:hAnsi="Baskerville"/>
          <w:sz w:val="22"/>
          <w:szCs w:val="22"/>
        </w:rPr>
        <w:footnoteRef/>
      </w:r>
      <w:r w:rsidRPr="00753FCE">
        <w:rPr>
          <w:rFonts w:ascii="Baskerville" w:hAnsi="Baskerville"/>
          <w:sz w:val="22"/>
          <w:szCs w:val="22"/>
        </w:rPr>
        <w:t xml:space="preserve"> </w:t>
      </w:r>
      <w:r w:rsidRPr="00CC24B6">
        <w:rPr>
          <w:rFonts w:ascii="Baskerville" w:hAnsi="Baskerville"/>
          <w:sz w:val="22"/>
          <w:szCs w:val="22"/>
          <w:lang w:val="en-US"/>
        </w:rPr>
        <w:t>D</w:t>
      </w:r>
      <w:r>
        <w:rPr>
          <w:rFonts w:ascii="Baskerville" w:hAnsi="Baskerville"/>
          <w:sz w:val="22"/>
          <w:szCs w:val="22"/>
          <w:lang w:val="en-US"/>
        </w:rPr>
        <w:t>.</w:t>
      </w:r>
      <w:r w:rsidRPr="00CC24B6">
        <w:rPr>
          <w:rFonts w:ascii="Baskerville" w:hAnsi="Baskerville"/>
          <w:sz w:val="22"/>
          <w:szCs w:val="22"/>
          <w:lang w:val="en-US"/>
        </w:rPr>
        <w:t xml:space="preserve"> Bodansky </w:t>
      </w:r>
      <w:r>
        <w:rPr>
          <w:rFonts w:ascii="Baskerville" w:hAnsi="Baskerville"/>
          <w:sz w:val="22"/>
          <w:szCs w:val="22"/>
          <w:lang w:val="en-US"/>
        </w:rPr>
        <w:t>&amp;</w:t>
      </w:r>
      <w:r w:rsidRPr="00CC24B6">
        <w:rPr>
          <w:rFonts w:ascii="Baskerville" w:hAnsi="Baskerville"/>
          <w:sz w:val="22"/>
          <w:szCs w:val="22"/>
          <w:lang w:val="en-US"/>
        </w:rPr>
        <w:t xml:space="preserve"> J. Shand Watson </w:t>
      </w:r>
      <w:r>
        <w:rPr>
          <w:rFonts w:ascii="Baskerville" w:hAnsi="Baskerville"/>
          <w:sz w:val="22"/>
          <w:szCs w:val="22"/>
          <w:lang w:val="en-US"/>
        </w:rPr>
        <w:t>, ‘</w:t>
      </w:r>
      <w:r w:rsidRPr="0062291A">
        <w:rPr>
          <w:rFonts w:ascii="Baskerville" w:hAnsi="Baskerville"/>
          <w:sz w:val="22"/>
          <w:szCs w:val="22"/>
          <w:lang w:val="en-US"/>
        </w:rPr>
        <w:t>State Consent and the Sources of International Obligation</w:t>
      </w:r>
      <w:r>
        <w:rPr>
          <w:rFonts w:ascii="Baskerville" w:hAnsi="Baskerville"/>
          <w:sz w:val="22"/>
          <w:szCs w:val="22"/>
          <w:lang w:val="en-US"/>
        </w:rPr>
        <w:t>’</w:t>
      </w:r>
      <w:r w:rsidRPr="0062291A">
        <w:rPr>
          <w:rFonts w:ascii="Baskerville" w:hAnsi="Baskerville"/>
          <w:sz w:val="22"/>
          <w:szCs w:val="22"/>
          <w:lang w:val="en-US"/>
        </w:rPr>
        <w:t> </w:t>
      </w:r>
      <w:r>
        <w:rPr>
          <w:rFonts w:ascii="Baskerville" w:hAnsi="Baskerville"/>
          <w:sz w:val="22"/>
          <w:szCs w:val="22"/>
          <w:lang w:val="en-US"/>
        </w:rPr>
        <w:t xml:space="preserve"> in </w:t>
      </w:r>
      <w:r w:rsidRPr="00230D24">
        <w:rPr>
          <w:rFonts w:ascii="Baskerville" w:hAnsi="Baskerville"/>
          <w:sz w:val="22"/>
          <w:szCs w:val="22"/>
          <w:lang w:val="en-US"/>
        </w:rPr>
        <w:t>Proceedings of the Annual Meeting</w:t>
      </w:r>
      <w:r w:rsidRPr="0062291A">
        <w:rPr>
          <w:rFonts w:ascii="Baskerville" w:hAnsi="Baskerville"/>
          <w:sz w:val="22"/>
          <w:szCs w:val="22"/>
          <w:lang w:val="en-US"/>
        </w:rPr>
        <w:t xml:space="preserve"> (American Society of International Law), Vol. 86 (A</w:t>
      </w:r>
      <w:r>
        <w:rPr>
          <w:rFonts w:ascii="Baskerville" w:hAnsi="Baskerville"/>
          <w:sz w:val="22"/>
          <w:szCs w:val="22"/>
          <w:lang w:val="en-US"/>
        </w:rPr>
        <w:t xml:space="preserve">pril 1-4, 1992), </w:t>
      </w:r>
      <w:r>
        <w:rPr>
          <w:rFonts w:ascii="Baskerville" w:hAnsi="Baskerville"/>
          <w:sz w:val="22"/>
          <w:szCs w:val="22"/>
        </w:rPr>
        <w:t>pp. 111-112.</w:t>
      </w:r>
    </w:p>
  </w:footnote>
  <w:footnote w:id="4">
    <w:p w14:paraId="719D8A95" w14:textId="77777777" w:rsidR="0099548D" w:rsidRPr="00F47A0F" w:rsidRDefault="0099548D" w:rsidP="0099548D">
      <w:pPr>
        <w:pStyle w:val="FootnoteText"/>
        <w:rPr>
          <w:rFonts w:ascii="Baskerville" w:hAnsi="Baskerville"/>
          <w:sz w:val="22"/>
          <w:szCs w:val="22"/>
          <w:lang w:val="en-US"/>
        </w:rPr>
      </w:pPr>
      <w:r w:rsidRPr="00F47A0F">
        <w:rPr>
          <w:rStyle w:val="FootnoteReference"/>
          <w:rFonts w:ascii="Baskerville" w:hAnsi="Baskerville"/>
          <w:sz w:val="22"/>
          <w:szCs w:val="22"/>
        </w:rPr>
        <w:footnoteRef/>
      </w:r>
      <w:r w:rsidRPr="00F47A0F">
        <w:rPr>
          <w:rFonts w:ascii="Baskerville" w:hAnsi="Baskerville"/>
          <w:sz w:val="22"/>
          <w:szCs w:val="22"/>
        </w:rPr>
        <w:t xml:space="preserve"> </w:t>
      </w:r>
      <w:r w:rsidRPr="00F47A0F">
        <w:rPr>
          <w:rFonts w:ascii="Baskerville" w:hAnsi="Baskerville"/>
          <w:sz w:val="22"/>
          <w:szCs w:val="22"/>
          <w:lang w:val="en-US"/>
        </w:rPr>
        <w:t>UN Charter</w:t>
      </w:r>
      <w:r>
        <w:rPr>
          <w:rFonts w:ascii="Baskerville" w:hAnsi="Baskerville"/>
          <w:sz w:val="22"/>
          <w:szCs w:val="22"/>
          <w:lang w:val="en-US"/>
        </w:rPr>
        <w:t xml:space="preserve">, </w:t>
      </w:r>
      <w:r w:rsidRPr="00F47A0F">
        <w:rPr>
          <w:rFonts w:ascii="Baskerville" w:hAnsi="Baskerville"/>
          <w:sz w:val="22"/>
          <w:szCs w:val="22"/>
          <w:lang w:val="en-US"/>
        </w:rPr>
        <w:t xml:space="preserve">Articles </w:t>
      </w:r>
      <w:r>
        <w:rPr>
          <w:rFonts w:ascii="Baskerville" w:hAnsi="Baskerville"/>
          <w:sz w:val="22"/>
          <w:szCs w:val="22"/>
          <w:lang w:val="en-US"/>
        </w:rPr>
        <w:t>42</w:t>
      </w:r>
      <w:r w:rsidRPr="00F47A0F">
        <w:rPr>
          <w:rFonts w:ascii="Baskerville" w:hAnsi="Baskerville"/>
          <w:sz w:val="22"/>
          <w:szCs w:val="22"/>
          <w:lang w:val="en-US"/>
        </w:rPr>
        <w:t xml:space="preserve"> and </w:t>
      </w:r>
      <w:r>
        <w:rPr>
          <w:rFonts w:ascii="Baskerville" w:hAnsi="Baskerville"/>
          <w:sz w:val="22"/>
          <w:szCs w:val="22"/>
          <w:lang w:val="en-US"/>
        </w:rPr>
        <w:t>51</w:t>
      </w:r>
      <w:r w:rsidRPr="00F47A0F">
        <w:rPr>
          <w:rFonts w:ascii="Baskerville" w:hAnsi="Baskerville"/>
          <w:sz w:val="22"/>
          <w:szCs w:val="22"/>
          <w:lang w:val="en-US"/>
        </w:rPr>
        <w:t>.</w:t>
      </w:r>
    </w:p>
  </w:footnote>
  <w:footnote w:id="5">
    <w:p w14:paraId="43DA65EC" w14:textId="77777777" w:rsidR="0099548D" w:rsidRPr="00E26E97" w:rsidRDefault="0099548D" w:rsidP="0099548D">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sz w:val="22"/>
          <w:szCs w:val="22"/>
          <w:lang w:val="en-US"/>
        </w:rPr>
        <w:t xml:space="preserve">I. Couzigou, ‘The Fight against the ‘Islamic State’ in Syria and the Right to Self-Defence’, </w:t>
      </w:r>
      <w:r w:rsidRPr="00E26E97">
        <w:rPr>
          <w:rFonts w:ascii="Baskerville" w:hAnsi="Baskerville"/>
          <w:i/>
          <w:sz w:val="22"/>
          <w:szCs w:val="22"/>
          <w:lang w:val="en-US"/>
        </w:rPr>
        <w:t>E-International Relations</w:t>
      </w:r>
      <w:r w:rsidRPr="00E26E97">
        <w:rPr>
          <w:rFonts w:ascii="Baskerville" w:hAnsi="Baskerville"/>
          <w:sz w:val="22"/>
          <w:szCs w:val="22"/>
          <w:lang w:val="en-US"/>
        </w:rPr>
        <w:t>, (5/2/2016) &lt;http://www.e-ir.info/2016/02/05/the-fight-against-the-islamic-state-in-syria-and-the-right-to-self-defence/&gt; Date accessed: 2</w:t>
      </w:r>
      <w:r w:rsidRPr="00E26E97">
        <w:rPr>
          <w:rFonts w:ascii="Baskerville" w:hAnsi="Baskerville"/>
          <w:sz w:val="22"/>
          <w:szCs w:val="22"/>
          <w:vertAlign w:val="superscript"/>
          <w:lang w:val="en-US"/>
        </w:rPr>
        <w:t>nd</w:t>
      </w:r>
      <w:r w:rsidRPr="00E26E97">
        <w:rPr>
          <w:rFonts w:ascii="Baskerville" w:hAnsi="Baskerville"/>
          <w:sz w:val="22"/>
          <w:szCs w:val="22"/>
          <w:lang w:val="en-US"/>
        </w:rPr>
        <w:t xml:space="preserve"> December 2016.</w:t>
      </w:r>
    </w:p>
  </w:footnote>
  <w:footnote w:id="6">
    <w:p w14:paraId="2C84E8E0" w14:textId="77777777" w:rsidR="0099548D" w:rsidRPr="00E26E97" w:rsidRDefault="0099548D" w:rsidP="0099548D">
      <w:pPr>
        <w:pStyle w:val="FootnoteText"/>
        <w:rPr>
          <w:rFonts w:ascii="Baskerville" w:hAnsi="Baskerville"/>
          <w:sz w:val="22"/>
          <w:szCs w:val="22"/>
          <w:lang w:val="en-US"/>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sz w:val="22"/>
          <w:szCs w:val="22"/>
          <w:lang w:val="en-US"/>
        </w:rPr>
        <w:t>Article 20 of the Draft Articles on Responsibility of States for Internationally Wrongful Acts, 2001.</w:t>
      </w:r>
    </w:p>
  </w:footnote>
  <w:footnote w:id="7">
    <w:p w14:paraId="01E6A090" w14:textId="77777777" w:rsidR="0099548D" w:rsidRPr="00E26E97" w:rsidRDefault="0099548D" w:rsidP="0099548D">
      <w:pPr>
        <w:pStyle w:val="FootnoteText"/>
        <w:rPr>
          <w:rFonts w:ascii="Baskerville" w:hAnsi="Baskerville"/>
          <w:sz w:val="22"/>
          <w:szCs w:val="22"/>
          <w:lang w:val="en-US"/>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proofErr w:type="gramStart"/>
      <w:r w:rsidRPr="00E26E97">
        <w:rPr>
          <w:rFonts w:ascii="Baskerville" w:hAnsi="Baskerville"/>
          <w:i/>
          <w:iCs/>
          <w:sz w:val="22"/>
          <w:szCs w:val="22"/>
          <w:lang w:val="en-US"/>
        </w:rPr>
        <w:t>The Corfu Channel Case (United Kingdom v Albania)</w:t>
      </w:r>
      <w:r w:rsidRPr="00E26E97">
        <w:rPr>
          <w:rFonts w:ascii="Baskerville" w:hAnsi="Baskerville"/>
          <w:sz w:val="22"/>
          <w:szCs w:val="22"/>
          <w:lang w:val="en-US"/>
        </w:rPr>
        <w:t xml:space="preserve"> ICJ Rep 1949 22.</w:t>
      </w:r>
      <w:proofErr w:type="gramEnd"/>
    </w:p>
  </w:footnote>
  <w:footnote w:id="8">
    <w:p w14:paraId="07AA56DC" w14:textId="77777777" w:rsidR="0099548D" w:rsidRPr="005304E5" w:rsidRDefault="0099548D" w:rsidP="0099548D">
      <w:pPr>
        <w:pStyle w:val="FootnoteText"/>
        <w:rPr>
          <w:rFonts w:ascii="Baskerville" w:hAnsi="Baskerville"/>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iCs/>
          <w:sz w:val="22"/>
          <w:szCs w:val="22"/>
        </w:rPr>
        <w:t>See, for example,</w:t>
      </w:r>
      <w:r w:rsidRPr="00E26E97">
        <w:rPr>
          <w:rFonts w:ascii="Baskerville" w:hAnsi="Baskerville"/>
          <w:i/>
          <w:iCs/>
          <w:sz w:val="22"/>
          <w:szCs w:val="22"/>
        </w:rPr>
        <w:t xml:space="preserve"> </w:t>
      </w:r>
      <w:r w:rsidRPr="00E26E97">
        <w:rPr>
          <w:rFonts w:ascii="Baskerville" w:hAnsi="Baskerville"/>
          <w:sz w:val="22"/>
          <w:szCs w:val="22"/>
        </w:rPr>
        <w:t xml:space="preserve">D. F. Vagts, </w:t>
      </w:r>
      <w:r w:rsidRPr="00E26E97">
        <w:rPr>
          <w:rFonts w:ascii="Baskerville" w:hAnsi="Baskerville"/>
          <w:i/>
          <w:iCs/>
          <w:sz w:val="22"/>
          <w:szCs w:val="22"/>
        </w:rPr>
        <w:t xml:space="preserve">Hegemonic International Law, </w:t>
      </w:r>
      <w:r w:rsidRPr="00E26E97">
        <w:rPr>
          <w:rFonts w:ascii="Baskerville" w:hAnsi="Baskerville"/>
          <w:sz w:val="22"/>
          <w:szCs w:val="22"/>
        </w:rPr>
        <w:t xml:space="preserve">95 </w:t>
      </w:r>
      <w:proofErr w:type="gramStart"/>
      <w:r w:rsidRPr="00E26E97">
        <w:rPr>
          <w:rFonts w:ascii="Baskerville" w:hAnsi="Baskerville"/>
          <w:sz w:val="22"/>
          <w:szCs w:val="22"/>
        </w:rPr>
        <w:t>AM</w:t>
      </w:r>
      <w:proofErr w:type="gramEnd"/>
      <w:r w:rsidRPr="00E26E97">
        <w:rPr>
          <w:rFonts w:ascii="Baskerville" w:hAnsi="Baskerville"/>
          <w:sz w:val="22"/>
          <w:szCs w:val="22"/>
        </w:rPr>
        <w:t xml:space="preserve">.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L. 843 (2001)</w:t>
      </w:r>
      <w:proofErr w:type="gramStart"/>
      <w:r w:rsidRPr="00E26E97">
        <w:rPr>
          <w:rFonts w:ascii="Baskerville" w:hAnsi="Baskerville"/>
          <w:sz w:val="22"/>
          <w:szCs w:val="22"/>
        </w:rPr>
        <w:t>;</w:t>
      </w:r>
      <w:proofErr w:type="gramEnd"/>
      <w:r w:rsidRPr="00E26E97">
        <w:rPr>
          <w:rFonts w:ascii="Baskerville" w:hAnsi="Baskerville"/>
          <w:sz w:val="22"/>
          <w:szCs w:val="22"/>
        </w:rPr>
        <w:t xml:space="preserve"> J. Alvarez, </w:t>
      </w:r>
      <w:r w:rsidRPr="00E26E97">
        <w:rPr>
          <w:rFonts w:ascii="Baskerville" w:hAnsi="Baskerville"/>
          <w:i/>
          <w:iCs/>
          <w:sz w:val="22"/>
          <w:szCs w:val="22"/>
        </w:rPr>
        <w:t xml:space="preserve">Hegemonic International Law Revisited, </w:t>
      </w:r>
      <w:r w:rsidRPr="00E26E97">
        <w:rPr>
          <w:rFonts w:ascii="Baskerville" w:hAnsi="Baskerville"/>
          <w:sz w:val="22"/>
          <w:szCs w:val="22"/>
        </w:rPr>
        <w:t xml:space="preserve">97 AM.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L. 873 (2003).</w:t>
      </w:r>
      <w:r w:rsidRPr="005304E5">
        <w:rPr>
          <w:rFonts w:ascii="Baskerville" w:hAnsi="Baskerville"/>
        </w:rPr>
        <w:t xml:space="preserve"> </w:t>
      </w:r>
    </w:p>
  </w:footnote>
  <w:footnote w:id="9">
    <w:p w14:paraId="2CD2DF49" w14:textId="77777777" w:rsidR="0099548D" w:rsidRPr="00E26E97" w:rsidRDefault="0099548D" w:rsidP="0099548D">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D. B. Hollis, </w:t>
      </w:r>
      <w:r w:rsidRPr="00E26E97">
        <w:rPr>
          <w:rFonts w:ascii="Baskerville" w:hAnsi="Baskerville"/>
          <w:i/>
          <w:sz w:val="22"/>
          <w:szCs w:val="22"/>
        </w:rPr>
        <w:t>Why State Consent Still Matters - Non-State Actors, Treaties, and the Changing Sources of International Law</w:t>
      </w:r>
      <w:r w:rsidRPr="00E26E97">
        <w:rPr>
          <w:rFonts w:ascii="Baskerville" w:hAnsi="Baskerville"/>
          <w:sz w:val="22"/>
          <w:szCs w:val="22"/>
        </w:rPr>
        <w:t xml:space="preserve">, 23 Berkeley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L. 1, Article 4 (2005), p 138.</w:t>
      </w:r>
    </w:p>
  </w:footnote>
  <w:footnote w:id="10">
    <w:p w14:paraId="30CCC82E" w14:textId="77777777" w:rsidR="0099548D" w:rsidRPr="00E26E97" w:rsidRDefault="0099548D" w:rsidP="0099548D">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proofErr w:type="gramStart"/>
      <w:r>
        <w:rPr>
          <w:rFonts w:ascii="Baskerville" w:hAnsi="Baskerville"/>
          <w:sz w:val="22"/>
          <w:szCs w:val="22"/>
        </w:rPr>
        <w:t>Ibid</w:t>
      </w:r>
      <w:r w:rsidRPr="00E26E97">
        <w:rPr>
          <w:rFonts w:ascii="Baskerville" w:hAnsi="Baskerville"/>
          <w:sz w:val="22"/>
          <w:szCs w:val="22"/>
        </w:rPr>
        <w:t>, p 1</w:t>
      </w:r>
      <w:r>
        <w:rPr>
          <w:rFonts w:ascii="Baskerville" w:hAnsi="Baskerville"/>
          <w:sz w:val="22"/>
          <w:szCs w:val="22"/>
        </w:rPr>
        <w:t>42</w:t>
      </w:r>
      <w:r w:rsidRPr="00E26E97">
        <w:rPr>
          <w:rFonts w:ascii="Baskerville" w:hAnsi="Baskerville"/>
          <w:sz w:val="22"/>
          <w:szCs w:val="22"/>
        </w:rPr>
        <w:t>.</w:t>
      </w:r>
      <w:proofErr w:type="gramEnd"/>
    </w:p>
  </w:footnote>
  <w:footnote w:id="11">
    <w:p w14:paraId="3B28610B" w14:textId="77777777" w:rsidR="0099548D" w:rsidRPr="005661D2" w:rsidRDefault="0099548D" w:rsidP="0099548D">
      <w:pPr>
        <w:pStyle w:val="FootnoteText"/>
        <w:rPr>
          <w:rFonts w:ascii="Baskerville" w:hAnsi="Baskerville"/>
        </w:rPr>
      </w:pPr>
      <w:r w:rsidRPr="00E26E97">
        <w:rPr>
          <w:rStyle w:val="FootnoteReference"/>
          <w:rFonts w:ascii="Baskerville" w:hAnsi="Baskerville"/>
          <w:sz w:val="22"/>
          <w:szCs w:val="22"/>
        </w:rPr>
        <w:footnoteRef/>
      </w:r>
      <w:r>
        <w:rPr>
          <w:rFonts w:ascii="Baskerville" w:hAnsi="Baskerville"/>
          <w:sz w:val="22"/>
          <w:szCs w:val="22"/>
        </w:rPr>
        <w:t xml:space="preserve"> </w:t>
      </w:r>
      <w:r w:rsidRPr="00E26E97">
        <w:rPr>
          <w:rFonts w:ascii="Baskerville" w:hAnsi="Baskerville"/>
          <w:bCs/>
          <w:sz w:val="22"/>
          <w:szCs w:val="22"/>
        </w:rPr>
        <w:t>T.</w:t>
      </w:r>
      <w:r w:rsidRPr="00E26E97">
        <w:rPr>
          <w:rFonts w:ascii="Baskerville" w:hAnsi="Baskerville"/>
          <w:b/>
          <w:bCs/>
          <w:sz w:val="22"/>
          <w:szCs w:val="22"/>
        </w:rPr>
        <w:t xml:space="preserve"> </w:t>
      </w:r>
      <w:r w:rsidRPr="00E26E97">
        <w:rPr>
          <w:rFonts w:ascii="Baskerville" w:hAnsi="Baskerville"/>
          <w:sz w:val="22"/>
          <w:szCs w:val="22"/>
        </w:rPr>
        <w:t xml:space="preserve">M. Franck, </w:t>
      </w:r>
      <w:r w:rsidRPr="00E26E97">
        <w:rPr>
          <w:rFonts w:ascii="Baskerville" w:hAnsi="Baskerville"/>
          <w:i/>
          <w:sz w:val="22"/>
          <w:szCs w:val="22"/>
        </w:rPr>
        <w:t xml:space="preserve">The Power of </w:t>
      </w:r>
      <w:r w:rsidRPr="00E26E97">
        <w:rPr>
          <w:rFonts w:ascii="Baskerville" w:hAnsi="Baskerville"/>
          <w:bCs/>
          <w:i/>
          <w:sz w:val="22"/>
          <w:szCs w:val="22"/>
        </w:rPr>
        <w:t xml:space="preserve">Legitimacy </w:t>
      </w:r>
      <w:r w:rsidRPr="00E26E97">
        <w:rPr>
          <w:rFonts w:ascii="Baskerville" w:hAnsi="Baskerville"/>
          <w:i/>
          <w:sz w:val="22"/>
          <w:szCs w:val="22"/>
        </w:rPr>
        <w:t>Among Nations</w:t>
      </w:r>
      <w:r w:rsidRPr="00E26E97">
        <w:rPr>
          <w:rFonts w:ascii="Baskerville" w:hAnsi="Baskerville"/>
          <w:sz w:val="22"/>
          <w:szCs w:val="22"/>
        </w:rPr>
        <w:t xml:space="preserve"> 187 (Oxford University Press 1990).</w:t>
      </w:r>
    </w:p>
  </w:footnote>
  <w:footnote w:id="12">
    <w:p w14:paraId="171FBA67" w14:textId="77777777" w:rsidR="0099548D" w:rsidRPr="0062291A" w:rsidRDefault="0099548D" w:rsidP="0099548D">
      <w:pPr>
        <w:pStyle w:val="FootnoteText"/>
        <w:rPr>
          <w:rFonts w:ascii="Baskerville" w:hAnsi="Baskerville"/>
          <w:sz w:val="22"/>
          <w:szCs w:val="22"/>
          <w:lang w:val="en-US"/>
        </w:rPr>
      </w:pPr>
      <w:r w:rsidRPr="00245075">
        <w:rPr>
          <w:rStyle w:val="FootnoteReference"/>
          <w:rFonts w:ascii="Baskerville" w:hAnsi="Baskerville"/>
          <w:sz w:val="22"/>
          <w:szCs w:val="22"/>
        </w:rPr>
        <w:footnoteRef/>
      </w:r>
      <w:r>
        <w:rPr>
          <w:rFonts w:ascii="Baskerville" w:hAnsi="Baskerville"/>
          <w:sz w:val="22"/>
          <w:szCs w:val="22"/>
          <w:lang w:val="en-US"/>
        </w:rPr>
        <w:t xml:space="preserve"> </w:t>
      </w:r>
      <w:r w:rsidRPr="00CC24B6">
        <w:rPr>
          <w:rFonts w:ascii="Baskerville" w:hAnsi="Baskerville"/>
          <w:sz w:val="22"/>
          <w:szCs w:val="22"/>
          <w:lang w:val="en-US"/>
        </w:rPr>
        <w:t xml:space="preserve">Bodansky </w:t>
      </w:r>
      <w:r>
        <w:rPr>
          <w:rFonts w:ascii="Baskerville" w:hAnsi="Baskerville"/>
          <w:sz w:val="22"/>
          <w:szCs w:val="22"/>
          <w:lang w:val="en-US"/>
        </w:rPr>
        <w:t>&amp;</w:t>
      </w:r>
      <w:r w:rsidRPr="00CC24B6">
        <w:rPr>
          <w:rFonts w:ascii="Baskerville" w:hAnsi="Baskerville"/>
          <w:sz w:val="22"/>
          <w:szCs w:val="22"/>
          <w:lang w:val="en-US"/>
        </w:rPr>
        <w:t xml:space="preserve"> Watson</w:t>
      </w:r>
      <w:r>
        <w:rPr>
          <w:rFonts w:ascii="Baskerville" w:hAnsi="Baskerville"/>
          <w:sz w:val="22"/>
          <w:szCs w:val="22"/>
          <w:lang w:val="en-US"/>
        </w:rPr>
        <w:t xml:space="preserve"> (n 3), p 109</w:t>
      </w:r>
      <w:proofErr w:type="gramStart"/>
      <w:r>
        <w:rPr>
          <w:rFonts w:ascii="Baskerville" w:hAnsi="Baskerville"/>
          <w:sz w:val="22"/>
          <w:szCs w:val="22"/>
          <w:lang w:val="en-US"/>
        </w:rPr>
        <w:t>.</w:t>
      </w:r>
      <w:r w:rsidRPr="0062291A">
        <w:rPr>
          <w:rFonts w:ascii="Baskerville" w:hAnsi="Baskerville"/>
          <w:sz w:val="22"/>
          <w:szCs w:val="22"/>
          <w:lang w:val="en-US"/>
        </w:rPr>
        <w:t> </w:t>
      </w:r>
      <w:proofErr w:type="gramEnd"/>
    </w:p>
    <w:p w14:paraId="373EC3A8" w14:textId="77777777" w:rsidR="0099548D" w:rsidRPr="00245075" w:rsidRDefault="0099548D" w:rsidP="0099548D">
      <w:pPr>
        <w:pStyle w:val="FootnoteText"/>
        <w:rPr>
          <w:rFonts w:ascii="Baskerville" w:hAnsi="Baskerville"/>
          <w:sz w:val="22"/>
          <w:szCs w:val="22"/>
          <w:lang w:val="en-US"/>
        </w:rPr>
      </w:pPr>
    </w:p>
  </w:footnote>
  <w:footnote w:id="13">
    <w:p w14:paraId="7DE4CD62" w14:textId="77777777" w:rsidR="0099548D" w:rsidRPr="009A2EAD" w:rsidRDefault="0099548D" w:rsidP="0099548D">
      <w:pPr>
        <w:pStyle w:val="FootnoteText"/>
        <w:rPr>
          <w:rFonts w:ascii="Baskerville" w:hAnsi="Baskerville"/>
          <w:sz w:val="22"/>
          <w:szCs w:val="22"/>
          <w:lang w:val="en-US"/>
        </w:rPr>
      </w:pPr>
      <w:r w:rsidRPr="009A2EAD">
        <w:rPr>
          <w:rStyle w:val="FootnoteReference"/>
          <w:rFonts w:ascii="Baskerville" w:hAnsi="Baskerville"/>
          <w:sz w:val="22"/>
          <w:szCs w:val="22"/>
        </w:rPr>
        <w:footnoteRef/>
      </w:r>
      <w:r w:rsidRPr="009A2EAD">
        <w:rPr>
          <w:rFonts w:ascii="Baskerville" w:hAnsi="Baskerville"/>
          <w:sz w:val="22"/>
          <w:szCs w:val="22"/>
        </w:rPr>
        <w:t xml:space="preserve"> </w:t>
      </w:r>
      <w:r>
        <w:rPr>
          <w:rFonts w:ascii="Baskerville" w:hAnsi="Baskerville"/>
          <w:sz w:val="22"/>
          <w:szCs w:val="22"/>
        </w:rPr>
        <w:t>T. Christiano, ‘</w:t>
      </w:r>
      <w:r w:rsidRPr="00C2322E">
        <w:rPr>
          <w:rFonts w:ascii="Baskerville" w:hAnsi="Baskerville"/>
          <w:bCs/>
          <w:sz w:val="22"/>
          <w:szCs w:val="22"/>
          <w:lang w:val="en-US"/>
        </w:rPr>
        <w:t>State Consent and the Legitimacy of International Institutions</w:t>
      </w:r>
      <w:r>
        <w:rPr>
          <w:rFonts w:ascii="Baskerville" w:hAnsi="Baskerville"/>
          <w:bCs/>
          <w:sz w:val="22"/>
          <w:szCs w:val="22"/>
          <w:lang w:val="en-US"/>
        </w:rPr>
        <w:t xml:space="preserve">’ in A. Marmor (ed), </w:t>
      </w:r>
      <w:r>
        <w:rPr>
          <w:rFonts w:ascii="Baskerville" w:hAnsi="Baskerville"/>
          <w:bCs/>
          <w:i/>
          <w:sz w:val="22"/>
          <w:szCs w:val="22"/>
          <w:lang w:val="en-US"/>
        </w:rPr>
        <w:t xml:space="preserve">The Routledge Companion to Philosophy of Law </w:t>
      </w:r>
      <w:r>
        <w:rPr>
          <w:rFonts w:ascii="Baskerville" w:hAnsi="Baskerville"/>
          <w:bCs/>
          <w:sz w:val="22"/>
          <w:szCs w:val="22"/>
          <w:lang w:val="en-US"/>
        </w:rPr>
        <w:t>(London, Routledge</w:t>
      </w:r>
      <w:r>
        <w:rPr>
          <w:rFonts w:ascii="Baskerville" w:hAnsi="Baskerville"/>
          <w:sz w:val="22"/>
          <w:szCs w:val="22"/>
        </w:rPr>
        <w:t>, 2012), p 21.</w:t>
      </w:r>
    </w:p>
  </w:footnote>
  <w:footnote w:id="14">
    <w:p w14:paraId="4DA82222" w14:textId="77777777" w:rsidR="0099548D" w:rsidRPr="00CC1A59" w:rsidRDefault="0099548D" w:rsidP="0099548D">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proofErr w:type="gramStart"/>
      <w:r>
        <w:rPr>
          <w:rFonts w:ascii="Baskerville" w:hAnsi="Baskerville"/>
          <w:sz w:val="22"/>
          <w:szCs w:val="22"/>
        </w:rPr>
        <w:t>Guzman (n 1), p 14.</w:t>
      </w:r>
      <w:proofErr w:type="gramEnd"/>
    </w:p>
  </w:footnote>
  <w:footnote w:id="15">
    <w:p w14:paraId="4632642B" w14:textId="77777777" w:rsidR="0099548D" w:rsidRPr="00CC1A59" w:rsidRDefault="0099548D" w:rsidP="0099548D">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proofErr w:type="gramStart"/>
      <w:r>
        <w:rPr>
          <w:rFonts w:ascii="Baskerville" w:hAnsi="Baskerville"/>
          <w:sz w:val="22"/>
          <w:szCs w:val="22"/>
        </w:rPr>
        <w:t>Ibid, p 60.</w:t>
      </w:r>
      <w:proofErr w:type="gramEnd"/>
    </w:p>
  </w:footnote>
  <w:footnote w:id="16">
    <w:p w14:paraId="16399C17" w14:textId="77777777" w:rsidR="0099548D" w:rsidRPr="00CC1A59" w:rsidRDefault="0099548D" w:rsidP="0099548D">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proofErr w:type="gramStart"/>
      <w:r>
        <w:rPr>
          <w:rFonts w:ascii="Baskerville" w:hAnsi="Baskerville"/>
          <w:sz w:val="22"/>
          <w:szCs w:val="22"/>
        </w:rPr>
        <w:t>Ibid, p 2.</w:t>
      </w:r>
      <w:proofErr w:type="gramEnd"/>
    </w:p>
  </w:footnote>
  <w:footnote w:id="17">
    <w:p w14:paraId="3B25E95C" w14:textId="77777777" w:rsidR="0099548D" w:rsidRPr="00CC1A59" w:rsidRDefault="0099548D" w:rsidP="0099548D">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r>
        <w:rPr>
          <w:rFonts w:ascii="Baskerville" w:hAnsi="Baskerville"/>
          <w:sz w:val="22"/>
          <w:szCs w:val="22"/>
        </w:rPr>
        <w:t>Ibid.</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D9A1E" w14:textId="77777777" w:rsidR="00E730F3" w:rsidRDefault="00E730F3">
    <w:pPr>
      <w:pStyle w:val="Header"/>
    </w:pPr>
  </w:p>
  <w:p w14:paraId="6CEE52AD" w14:textId="77777777" w:rsidR="00E730F3" w:rsidRDefault="00E730F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459CAD" w14:textId="77777777" w:rsidR="00E730F3" w:rsidRDefault="00E730F3">
    <w:pPr>
      <w:pStyle w:val="Header"/>
    </w:pPr>
  </w:p>
  <w:p w14:paraId="74988EC8" w14:textId="77777777" w:rsidR="00E730F3" w:rsidRDefault="00E730F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764171" w14:textId="77777777" w:rsidR="00027BFB" w:rsidRPr="003272A5" w:rsidRDefault="007D6AAC">
    <w:pPr>
      <w:pStyle w:val="Header"/>
      <w:rPr>
        <w:rFonts w:ascii="Baskerville" w:hAnsi="Baskerville"/>
      </w:rPr>
    </w:pPr>
    <w:r>
      <w:rPr>
        <w:rFonts w:ascii="Baskerville" w:hAnsi="Baskerville"/>
      </w:rPr>
      <w:t>Christopher Olsen                                                                                          2/12/2016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1D7A60"/>
    <w:multiLevelType w:val="hybridMultilevel"/>
    <w:tmpl w:val="8F88C0F0"/>
    <w:lvl w:ilvl="0" w:tplc="49F6F034">
      <w:start w:val="1"/>
      <w:numFmt w:val="bullet"/>
      <w:lvlText w:val=""/>
      <w:lvlJc w:val="left"/>
      <w:pPr>
        <w:ind w:left="720" w:hanging="360"/>
      </w:pPr>
      <w:rPr>
        <w:rFonts w:ascii="Wingdings" w:hAnsi="Wingdings"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32C"/>
    <w:rsid w:val="00111378"/>
    <w:rsid w:val="00133E42"/>
    <w:rsid w:val="001D0F8B"/>
    <w:rsid w:val="0034032C"/>
    <w:rsid w:val="00355372"/>
    <w:rsid w:val="00366179"/>
    <w:rsid w:val="00395F06"/>
    <w:rsid w:val="003F1F8A"/>
    <w:rsid w:val="005A5B6E"/>
    <w:rsid w:val="007673D2"/>
    <w:rsid w:val="007A24B8"/>
    <w:rsid w:val="007D6AAC"/>
    <w:rsid w:val="007E4DC1"/>
    <w:rsid w:val="00970252"/>
    <w:rsid w:val="0099548D"/>
    <w:rsid w:val="00AA184E"/>
    <w:rsid w:val="00AE721F"/>
    <w:rsid w:val="00B5388F"/>
    <w:rsid w:val="00DC1662"/>
    <w:rsid w:val="00E00648"/>
    <w:rsid w:val="00E11857"/>
    <w:rsid w:val="00E730F3"/>
    <w:rsid w:val="00F23A67"/>
    <w:rsid w:val="00FD087C"/>
    <w:rsid w:val="00FE32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D0A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3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70252"/>
    <w:pPr>
      <w:ind w:left="720"/>
      <w:contextualSpacing/>
    </w:pPr>
  </w:style>
  <w:style w:type="character" w:styleId="CommentReference">
    <w:name w:val="annotation reference"/>
    <w:basedOn w:val="DefaultParagraphFont"/>
    <w:uiPriority w:val="99"/>
    <w:semiHidden/>
    <w:unhideWhenUsed/>
    <w:rsid w:val="00FD087C"/>
    <w:rPr>
      <w:sz w:val="16"/>
      <w:szCs w:val="16"/>
    </w:rPr>
  </w:style>
  <w:style w:type="paragraph" w:styleId="CommentText">
    <w:name w:val="annotation text"/>
    <w:basedOn w:val="Normal"/>
    <w:link w:val="CommentTextChar"/>
    <w:uiPriority w:val="99"/>
    <w:semiHidden/>
    <w:unhideWhenUsed/>
    <w:rsid w:val="00FD087C"/>
    <w:pPr>
      <w:spacing w:line="240" w:lineRule="auto"/>
    </w:pPr>
    <w:rPr>
      <w:sz w:val="20"/>
      <w:szCs w:val="20"/>
    </w:rPr>
  </w:style>
  <w:style w:type="character" w:customStyle="1" w:styleId="CommentTextChar">
    <w:name w:val="Comment Text Char"/>
    <w:basedOn w:val="DefaultParagraphFont"/>
    <w:link w:val="CommentText"/>
    <w:uiPriority w:val="99"/>
    <w:semiHidden/>
    <w:rsid w:val="00FD087C"/>
    <w:rPr>
      <w:sz w:val="20"/>
      <w:szCs w:val="20"/>
    </w:rPr>
  </w:style>
  <w:style w:type="paragraph" w:styleId="CommentSubject">
    <w:name w:val="annotation subject"/>
    <w:basedOn w:val="CommentText"/>
    <w:next w:val="CommentText"/>
    <w:link w:val="CommentSubjectChar"/>
    <w:uiPriority w:val="99"/>
    <w:semiHidden/>
    <w:unhideWhenUsed/>
    <w:rsid w:val="00FD087C"/>
    <w:rPr>
      <w:b/>
      <w:bCs/>
    </w:rPr>
  </w:style>
  <w:style w:type="character" w:customStyle="1" w:styleId="CommentSubjectChar">
    <w:name w:val="Comment Subject Char"/>
    <w:basedOn w:val="CommentTextChar"/>
    <w:link w:val="CommentSubject"/>
    <w:uiPriority w:val="99"/>
    <w:semiHidden/>
    <w:rsid w:val="00FD087C"/>
    <w:rPr>
      <w:b/>
      <w:bCs/>
      <w:sz w:val="20"/>
      <w:szCs w:val="20"/>
    </w:rPr>
  </w:style>
  <w:style w:type="paragraph" w:styleId="BalloonText">
    <w:name w:val="Balloon Text"/>
    <w:basedOn w:val="Normal"/>
    <w:link w:val="BalloonTextChar"/>
    <w:uiPriority w:val="99"/>
    <w:semiHidden/>
    <w:unhideWhenUsed/>
    <w:rsid w:val="00FD08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87C"/>
    <w:rPr>
      <w:rFonts w:ascii="Tahoma" w:hAnsi="Tahoma" w:cs="Tahoma"/>
      <w:sz w:val="16"/>
      <w:szCs w:val="16"/>
    </w:rPr>
  </w:style>
  <w:style w:type="paragraph" w:styleId="Header">
    <w:name w:val="header"/>
    <w:basedOn w:val="Normal"/>
    <w:link w:val="HeaderChar"/>
    <w:uiPriority w:val="99"/>
    <w:unhideWhenUsed/>
    <w:rsid w:val="00E730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0F3"/>
  </w:style>
  <w:style w:type="paragraph" w:styleId="Footer">
    <w:name w:val="footer"/>
    <w:basedOn w:val="Normal"/>
    <w:link w:val="FooterChar"/>
    <w:uiPriority w:val="99"/>
    <w:unhideWhenUsed/>
    <w:rsid w:val="00E730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0F3"/>
  </w:style>
  <w:style w:type="paragraph" w:styleId="FootnoteText">
    <w:name w:val="footnote text"/>
    <w:basedOn w:val="Normal"/>
    <w:link w:val="FootnoteTextChar"/>
    <w:uiPriority w:val="99"/>
    <w:unhideWhenUsed/>
    <w:rsid w:val="0099548D"/>
    <w:pPr>
      <w:spacing w:after="0" w:line="240" w:lineRule="auto"/>
    </w:pPr>
    <w:rPr>
      <w:rFonts w:eastAsiaTheme="minorEastAsia"/>
      <w:sz w:val="24"/>
      <w:szCs w:val="24"/>
    </w:rPr>
  </w:style>
  <w:style w:type="character" w:customStyle="1" w:styleId="FootnoteTextChar">
    <w:name w:val="Footnote Text Char"/>
    <w:basedOn w:val="DefaultParagraphFont"/>
    <w:link w:val="FootnoteText"/>
    <w:uiPriority w:val="99"/>
    <w:rsid w:val="0099548D"/>
    <w:rPr>
      <w:rFonts w:eastAsiaTheme="minorEastAsia"/>
      <w:sz w:val="24"/>
      <w:szCs w:val="24"/>
    </w:rPr>
  </w:style>
  <w:style w:type="character" w:styleId="FootnoteReference">
    <w:name w:val="footnote reference"/>
    <w:basedOn w:val="DefaultParagraphFont"/>
    <w:uiPriority w:val="99"/>
    <w:unhideWhenUsed/>
    <w:rsid w:val="0099548D"/>
    <w:rPr>
      <w:vertAlign w:val="superscript"/>
    </w:rPr>
  </w:style>
  <w:style w:type="character" w:styleId="PageNumber">
    <w:name w:val="page number"/>
    <w:basedOn w:val="DefaultParagraphFont"/>
    <w:uiPriority w:val="99"/>
    <w:semiHidden/>
    <w:unhideWhenUsed/>
    <w:rsid w:val="0099548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3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70252"/>
    <w:pPr>
      <w:ind w:left="720"/>
      <w:contextualSpacing/>
    </w:pPr>
  </w:style>
  <w:style w:type="character" w:styleId="CommentReference">
    <w:name w:val="annotation reference"/>
    <w:basedOn w:val="DefaultParagraphFont"/>
    <w:uiPriority w:val="99"/>
    <w:semiHidden/>
    <w:unhideWhenUsed/>
    <w:rsid w:val="00FD087C"/>
    <w:rPr>
      <w:sz w:val="16"/>
      <w:szCs w:val="16"/>
    </w:rPr>
  </w:style>
  <w:style w:type="paragraph" w:styleId="CommentText">
    <w:name w:val="annotation text"/>
    <w:basedOn w:val="Normal"/>
    <w:link w:val="CommentTextChar"/>
    <w:uiPriority w:val="99"/>
    <w:semiHidden/>
    <w:unhideWhenUsed/>
    <w:rsid w:val="00FD087C"/>
    <w:pPr>
      <w:spacing w:line="240" w:lineRule="auto"/>
    </w:pPr>
    <w:rPr>
      <w:sz w:val="20"/>
      <w:szCs w:val="20"/>
    </w:rPr>
  </w:style>
  <w:style w:type="character" w:customStyle="1" w:styleId="CommentTextChar">
    <w:name w:val="Comment Text Char"/>
    <w:basedOn w:val="DefaultParagraphFont"/>
    <w:link w:val="CommentText"/>
    <w:uiPriority w:val="99"/>
    <w:semiHidden/>
    <w:rsid w:val="00FD087C"/>
    <w:rPr>
      <w:sz w:val="20"/>
      <w:szCs w:val="20"/>
    </w:rPr>
  </w:style>
  <w:style w:type="paragraph" w:styleId="CommentSubject">
    <w:name w:val="annotation subject"/>
    <w:basedOn w:val="CommentText"/>
    <w:next w:val="CommentText"/>
    <w:link w:val="CommentSubjectChar"/>
    <w:uiPriority w:val="99"/>
    <w:semiHidden/>
    <w:unhideWhenUsed/>
    <w:rsid w:val="00FD087C"/>
    <w:rPr>
      <w:b/>
      <w:bCs/>
    </w:rPr>
  </w:style>
  <w:style w:type="character" w:customStyle="1" w:styleId="CommentSubjectChar">
    <w:name w:val="Comment Subject Char"/>
    <w:basedOn w:val="CommentTextChar"/>
    <w:link w:val="CommentSubject"/>
    <w:uiPriority w:val="99"/>
    <w:semiHidden/>
    <w:rsid w:val="00FD087C"/>
    <w:rPr>
      <w:b/>
      <w:bCs/>
      <w:sz w:val="20"/>
      <w:szCs w:val="20"/>
    </w:rPr>
  </w:style>
  <w:style w:type="paragraph" w:styleId="BalloonText">
    <w:name w:val="Balloon Text"/>
    <w:basedOn w:val="Normal"/>
    <w:link w:val="BalloonTextChar"/>
    <w:uiPriority w:val="99"/>
    <w:semiHidden/>
    <w:unhideWhenUsed/>
    <w:rsid w:val="00FD08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87C"/>
    <w:rPr>
      <w:rFonts w:ascii="Tahoma" w:hAnsi="Tahoma" w:cs="Tahoma"/>
      <w:sz w:val="16"/>
      <w:szCs w:val="16"/>
    </w:rPr>
  </w:style>
  <w:style w:type="paragraph" w:styleId="Header">
    <w:name w:val="header"/>
    <w:basedOn w:val="Normal"/>
    <w:link w:val="HeaderChar"/>
    <w:uiPriority w:val="99"/>
    <w:unhideWhenUsed/>
    <w:rsid w:val="00E730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0F3"/>
  </w:style>
  <w:style w:type="paragraph" w:styleId="Footer">
    <w:name w:val="footer"/>
    <w:basedOn w:val="Normal"/>
    <w:link w:val="FooterChar"/>
    <w:uiPriority w:val="99"/>
    <w:unhideWhenUsed/>
    <w:rsid w:val="00E730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0F3"/>
  </w:style>
  <w:style w:type="paragraph" w:styleId="FootnoteText">
    <w:name w:val="footnote text"/>
    <w:basedOn w:val="Normal"/>
    <w:link w:val="FootnoteTextChar"/>
    <w:uiPriority w:val="99"/>
    <w:unhideWhenUsed/>
    <w:rsid w:val="0099548D"/>
    <w:pPr>
      <w:spacing w:after="0" w:line="240" w:lineRule="auto"/>
    </w:pPr>
    <w:rPr>
      <w:rFonts w:eastAsiaTheme="minorEastAsia"/>
      <w:sz w:val="24"/>
      <w:szCs w:val="24"/>
    </w:rPr>
  </w:style>
  <w:style w:type="character" w:customStyle="1" w:styleId="FootnoteTextChar">
    <w:name w:val="Footnote Text Char"/>
    <w:basedOn w:val="DefaultParagraphFont"/>
    <w:link w:val="FootnoteText"/>
    <w:uiPriority w:val="99"/>
    <w:rsid w:val="0099548D"/>
    <w:rPr>
      <w:rFonts w:eastAsiaTheme="minorEastAsia"/>
      <w:sz w:val="24"/>
      <w:szCs w:val="24"/>
    </w:rPr>
  </w:style>
  <w:style w:type="character" w:styleId="FootnoteReference">
    <w:name w:val="footnote reference"/>
    <w:basedOn w:val="DefaultParagraphFont"/>
    <w:uiPriority w:val="99"/>
    <w:unhideWhenUsed/>
    <w:rsid w:val="0099548D"/>
    <w:rPr>
      <w:vertAlign w:val="superscript"/>
    </w:rPr>
  </w:style>
  <w:style w:type="character" w:styleId="PageNumber">
    <w:name w:val="page number"/>
    <w:basedOn w:val="DefaultParagraphFont"/>
    <w:uiPriority w:val="99"/>
    <w:semiHidden/>
    <w:unhideWhenUsed/>
    <w:rsid w:val="009954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1919</Words>
  <Characters>10346</Characters>
  <Application>Microsoft Macintosh Word</Application>
  <DocSecurity>0</DocSecurity>
  <Lines>184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Moore</dc:creator>
  <cp:lastModifiedBy>Christopher Olsen</cp:lastModifiedBy>
  <cp:revision>5</cp:revision>
  <dcterms:created xsi:type="dcterms:W3CDTF">2016-12-05T16:11:00Z</dcterms:created>
  <dcterms:modified xsi:type="dcterms:W3CDTF">2016-12-05T16:12:00Z</dcterms:modified>
</cp:coreProperties>
</file>