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0DCDCF" w14:textId="77777777" w:rsidR="00767854" w:rsidRPr="00340E4C" w:rsidRDefault="00767854" w:rsidP="00767854">
      <w:pPr>
        <w:jc w:val="center"/>
        <w:rPr>
          <w:rFonts w:ascii="Arial" w:hAnsi="Arial" w:cs="Arial"/>
          <w:b/>
          <w:sz w:val="36"/>
          <w:szCs w:val="36"/>
        </w:rPr>
      </w:pPr>
      <w:r>
        <w:rPr>
          <w:rFonts w:ascii="Arial" w:hAnsi="Arial" w:cs="Arial"/>
          <w:b/>
          <w:sz w:val="36"/>
          <w:szCs w:val="36"/>
        </w:rPr>
        <w:t>HAS THE GENERAL LAW OF RESERVATIONS TO TREATIES EVOLVED ON THE BASIS OF THE HUMAN RIGHTS DEVELOPMENTS IN THE 1990s?</w:t>
      </w:r>
    </w:p>
    <w:p w14:paraId="6A9D69CB" w14:textId="77777777" w:rsidR="00767854" w:rsidRPr="00340E4C" w:rsidRDefault="00767854" w:rsidP="00767854">
      <w:pPr>
        <w:jc w:val="center"/>
        <w:rPr>
          <w:rFonts w:ascii="Arial" w:hAnsi="Arial" w:cs="Arial"/>
          <w:bCs/>
          <w:szCs w:val="24"/>
        </w:rPr>
      </w:pPr>
    </w:p>
    <w:p w14:paraId="33F08AA8" w14:textId="77777777" w:rsidR="00767854" w:rsidRDefault="00767854" w:rsidP="00767854">
      <w:pPr>
        <w:jc w:val="center"/>
        <w:rPr>
          <w:rFonts w:ascii="Arial" w:hAnsi="Arial" w:cs="Arial"/>
          <w:bCs/>
          <w:szCs w:val="24"/>
        </w:rPr>
      </w:pPr>
    </w:p>
    <w:p w14:paraId="2E0416D0" w14:textId="77777777" w:rsidR="00767854" w:rsidRDefault="00767854" w:rsidP="00767854">
      <w:pPr>
        <w:jc w:val="center"/>
        <w:rPr>
          <w:rFonts w:ascii="Arial" w:hAnsi="Arial" w:cs="Arial"/>
          <w:bCs/>
          <w:szCs w:val="24"/>
        </w:rPr>
      </w:pPr>
    </w:p>
    <w:p w14:paraId="6DEC03D9" w14:textId="77777777" w:rsidR="00767854" w:rsidRDefault="00767854" w:rsidP="00767854">
      <w:pPr>
        <w:jc w:val="center"/>
        <w:rPr>
          <w:rFonts w:ascii="Arial" w:hAnsi="Arial" w:cs="Arial"/>
          <w:bCs/>
          <w:szCs w:val="24"/>
        </w:rPr>
      </w:pPr>
    </w:p>
    <w:p w14:paraId="125C9751" w14:textId="77777777" w:rsidR="00767854" w:rsidRDefault="00767854" w:rsidP="00767854">
      <w:pPr>
        <w:jc w:val="center"/>
        <w:rPr>
          <w:rFonts w:ascii="Arial" w:hAnsi="Arial" w:cs="Arial"/>
          <w:bCs/>
          <w:szCs w:val="24"/>
        </w:rPr>
      </w:pPr>
    </w:p>
    <w:p w14:paraId="0525BF18" w14:textId="26B36E53" w:rsidR="00767854" w:rsidRDefault="00F76B52" w:rsidP="00767854">
      <w:pPr>
        <w:jc w:val="center"/>
        <w:rPr>
          <w:rFonts w:ascii="Arial" w:hAnsi="Arial" w:cs="Arial"/>
          <w:bCs/>
          <w:szCs w:val="24"/>
        </w:rPr>
      </w:pPr>
      <w:r>
        <w:rPr>
          <w:rFonts w:ascii="Arial" w:hAnsi="Arial" w:cs="Arial"/>
          <w:bCs/>
          <w:szCs w:val="24"/>
        </w:rPr>
        <w:t>Submitted</w:t>
      </w:r>
      <w:r w:rsidR="00767854">
        <w:rPr>
          <w:rFonts w:ascii="Arial" w:hAnsi="Arial" w:cs="Arial"/>
          <w:bCs/>
          <w:szCs w:val="24"/>
        </w:rPr>
        <w:t xml:space="preserve"> by</w:t>
      </w:r>
    </w:p>
    <w:p w14:paraId="1420A5D5" w14:textId="1713745B" w:rsidR="00767854" w:rsidRDefault="00767854" w:rsidP="00767854">
      <w:pPr>
        <w:jc w:val="center"/>
        <w:rPr>
          <w:rFonts w:ascii="Arial" w:hAnsi="Arial" w:cs="Arial"/>
          <w:bCs/>
          <w:szCs w:val="24"/>
        </w:rPr>
      </w:pPr>
      <w:r>
        <w:rPr>
          <w:rFonts w:ascii="Arial" w:hAnsi="Arial" w:cs="Arial"/>
          <w:bCs/>
          <w:szCs w:val="24"/>
        </w:rPr>
        <w:t xml:space="preserve">Christopher </w:t>
      </w:r>
      <w:r w:rsidR="00473D14">
        <w:rPr>
          <w:rFonts w:ascii="Arial" w:hAnsi="Arial" w:cs="Arial"/>
          <w:bCs/>
          <w:szCs w:val="24"/>
        </w:rPr>
        <w:t xml:space="preserve">James </w:t>
      </w:r>
      <w:r>
        <w:rPr>
          <w:rFonts w:ascii="Arial" w:hAnsi="Arial" w:cs="Arial"/>
          <w:bCs/>
          <w:szCs w:val="24"/>
        </w:rPr>
        <w:t>Olsen</w:t>
      </w:r>
    </w:p>
    <w:p w14:paraId="43869300" w14:textId="77777777" w:rsidR="00767854" w:rsidRDefault="00767854" w:rsidP="00767854">
      <w:pPr>
        <w:rPr>
          <w:rFonts w:ascii="Arial" w:hAnsi="Arial" w:cs="Arial"/>
          <w:bCs/>
          <w:szCs w:val="24"/>
        </w:rPr>
      </w:pPr>
    </w:p>
    <w:p w14:paraId="1CC250CD" w14:textId="77777777" w:rsidR="00767854" w:rsidRDefault="00767854" w:rsidP="00767854">
      <w:pPr>
        <w:rPr>
          <w:rFonts w:ascii="Arial" w:hAnsi="Arial" w:cs="Arial"/>
          <w:bCs/>
          <w:szCs w:val="24"/>
        </w:rPr>
      </w:pPr>
    </w:p>
    <w:p w14:paraId="65A28E3B" w14:textId="77777777" w:rsidR="00767854" w:rsidRPr="00340E4C" w:rsidRDefault="00767854" w:rsidP="00767854">
      <w:pPr>
        <w:rPr>
          <w:rFonts w:ascii="Arial" w:hAnsi="Arial" w:cs="Arial"/>
          <w:bCs/>
          <w:szCs w:val="24"/>
        </w:rPr>
      </w:pPr>
    </w:p>
    <w:p w14:paraId="28374B65" w14:textId="77777777" w:rsidR="00767854" w:rsidRDefault="00767854" w:rsidP="00767854">
      <w:pPr>
        <w:jc w:val="center"/>
        <w:rPr>
          <w:rFonts w:ascii="Arial" w:hAnsi="Arial" w:cs="Arial"/>
          <w:bCs/>
          <w:szCs w:val="24"/>
        </w:rPr>
      </w:pPr>
      <w:r>
        <w:rPr>
          <w:rFonts w:ascii="Arial" w:hAnsi="Arial" w:cs="Arial"/>
          <w:bCs/>
          <w:szCs w:val="24"/>
        </w:rPr>
        <w:t>Supervisor:</w:t>
      </w:r>
    </w:p>
    <w:p w14:paraId="6C5432FC" w14:textId="3C4A20E7" w:rsidR="00767854" w:rsidRDefault="00691A23" w:rsidP="00767854">
      <w:pPr>
        <w:jc w:val="center"/>
        <w:rPr>
          <w:rFonts w:ascii="Arial" w:hAnsi="Arial" w:cs="Arial"/>
          <w:bCs/>
          <w:szCs w:val="24"/>
        </w:rPr>
      </w:pPr>
      <w:r>
        <w:rPr>
          <w:rFonts w:ascii="Arial" w:hAnsi="Arial" w:cs="Arial"/>
          <w:bCs/>
          <w:szCs w:val="24"/>
        </w:rPr>
        <w:t>Dr</w:t>
      </w:r>
      <w:r w:rsidR="00767854">
        <w:rPr>
          <w:rFonts w:ascii="Arial" w:hAnsi="Arial" w:cs="Arial"/>
          <w:bCs/>
          <w:szCs w:val="24"/>
        </w:rPr>
        <w:t xml:space="preserve"> Eirik Bjorge</w:t>
      </w:r>
    </w:p>
    <w:p w14:paraId="7534F0D1" w14:textId="77777777" w:rsidR="00767854" w:rsidRDefault="00767854" w:rsidP="00767854">
      <w:pPr>
        <w:rPr>
          <w:rFonts w:ascii="Arial" w:hAnsi="Arial" w:cs="Arial"/>
          <w:bCs/>
          <w:szCs w:val="24"/>
        </w:rPr>
      </w:pPr>
    </w:p>
    <w:p w14:paraId="0B078B1F" w14:textId="77777777" w:rsidR="00767854" w:rsidRDefault="00767854" w:rsidP="00767854">
      <w:pPr>
        <w:rPr>
          <w:rFonts w:ascii="Arial" w:hAnsi="Arial" w:cs="Arial"/>
          <w:bCs/>
          <w:szCs w:val="24"/>
        </w:rPr>
      </w:pPr>
    </w:p>
    <w:p w14:paraId="3B70EE37" w14:textId="515CF7CF" w:rsidR="00767854" w:rsidRDefault="00767854" w:rsidP="00767854">
      <w:pPr>
        <w:jc w:val="center"/>
        <w:rPr>
          <w:rFonts w:ascii="Arial" w:hAnsi="Arial" w:cs="Arial"/>
          <w:bCs/>
          <w:szCs w:val="24"/>
        </w:rPr>
      </w:pPr>
      <w:r>
        <w:rPr>
          <w:rFonts w:ascii="Arial" w:hAnsi="Arial" w:cs="Arial"/>
          <w:bCs/>
          <w:szCs w:val="24"/>
        </w:rPr>
        <w:t>Word count: 1</w:t>
      </w:r>
      <w:r w:rsidR="00122DAE">
        <w:rPr>
          <w:rFonts w:ascii="Arial" w:hAnsi="Arial" w:cs="Arial"/>
          <w:bCs/>
          <w:szCs w:val="24"/>
        </w:rPr>
        <w:t>1</w:t>
      </w:r>
      <w:r>
        <w:rPr>
          <w:rFonts w:ascii="Arial" w:hAnsi="Arial" w:cs="Arial"/>
          <w:bCs/>
          <w:szCs w:val="24"/>
        </w:rPr>
        <w:t>,</w:t>
      </w:r>
      <w:r w:rsidR="00122DAE">
        <w:rPr>
          <w:rFonts w:ascii="Arial" w:hAnsi="Arial" w:cs="Arial"/>
          <w:bCs/>
          <w:szCs w:val="24"/>
        </w:rPr>
        <w:t>97</w:t>
      </w:r>
      <w:r w:rsidR="00862A28">
        <w:rPr>
          <w:rFonts w:ascii="Arial" w:hAnsi="Arial" w:cs="Arial"/>
          <w:bCs/>
          <w:szCs w:val="24"/>
        </w:rPr>
        <w:t>0</w:t>
      </w:r>
    </w:p>
    <w:p w14:paraId="766F9888" w14:textId="77777777" w:rsidR="00767854" w:rsidRDefault="00767854" w:rsidP="00BB2342">
      <w:pPr>
        <w:jc w:val="center"/>
        <w:rPr>
          <w:rFonts w:ascii="Arial" w:hAnsi="Arial" w:cs="Arial"/>
          <w:bCs/>
          <w:szCs w:val="24"/>
        </w:rPr>
      </w:pPr>
    </w:p>
    <w:p w14:paraId="323B9078" w14:textId="51302A25" w:rsidR="00767854" w:rsidRDefault="00767854" w:rsidP="00BB2342">
      <w:pPr>
        <w:jc w:val="center"/>
        <w:rPr>
          <w:rFonts w:ascii="Arial" w:hAnsi="Arial" w:cs="Arial"/>
          <w:bCs/>
          <w:szCs w:val="24"/>
        </w:rPr>
      </w:pPr>
      <w:r>
        <w:rPr>
          <w:rFonts w:ascii="Arial" w:hAnsi="Arial" w:cs="Arial"/>
          <w:i/>
          <w:iCs/>
          <w:szCs w:val="24"/>
        </w:rPr>
        <w:t>A dissertation submitted to the University of Bristol in accordance with the requirements of the degree of Master of Law</w:t>
      </w:r>
      <w:r w:rsidR="00BB2342">
        <w:rPr>
          <w:rFonts w:ascii="Arial" w:hAnsi="Arial" w:cs="Arial"/>
          <w:i/>
          <w:iCs/>
          <w:szCs w:val="24"/>
        </w:rPr>
        <w:t>s</w:t>
      </w:r>
      <w:r>
        <w:rPr>
          <w:rFonts w:ascii="Arial" w:hAnsi="Arial" w:cs="Arial"/>
          <w:i/>
          <w:iCs/>
          <w:szCs w:val="24"/>
        </w:rPr>
        <w:t xml:space="preserve"> by advanced study in LLM </w:t>
      </w:r>
      <w:r w:rsidR="001640AA">
        <w:rPr>
          <w:rFonts w:ascii="Arial" w:hAnsi="Arial" w:cs="Arial"/>
          <w:i/>
          <w:iCs/>
          <w:szCs w:val="24"/>
        </w:rPr>
        <w:t xml:space="preserve">in </w:t>
      </w:r>
      <w:r>
        <w:rPr>
          <w:rFonts w:ascii="Arial" w:hAnsi="Arial" w:cs="Arial"/>
          <w:i/>
          <w:iCs/>
          <w:szCs w:val="24"/>
        </w:rPr>
        <w:t>Public Law in the Faculty of Social Sciences and Law.</w:t>
      </w:r>
    </w:p>
    <w:p w14:paraId="32221733" w14:textId="77777777" w:rsidR="00767854" w:rsidRDefault="00767854" w:rsidP="00767854">
      <w:pPr>
        <w:rPr>
          <w:rFonts w:ascii="Arial" w:hAnsi="Arial" w:cs="Arial"/>
          <w:bCs/>
          <w:szCs w:val="24"/>
        </w:rPr>
      </w:pPr>
    </w:p>
    <w:p w14:paraId="60E0BD91" w14:textId="5C58D09E" w:rsidR="00767854" w:rsidRDefault="009B049B" w:rsidP="009B049B">
      <w:pPr>
        <w:jc w:val="center"/>
        <w:rPr>
          <w:rFonts w:ascii="Arial" w:hAnsi="Arial" w:cs="Arial"/>
          <w:bCs/>
          <w:szCs w:val="24"/>
        </w:rPr>
      </w:pPr>
      <w:r>
        <w:rPr>
          <w:rFonts w:ascii="Arial" w:hAnsi="Arial" w:cs="Arial"/>
          <w:bCs/>
          <w:szCs w:val="24"/>
        </w:rPr>
        <w:t xml:space="preserve">University of Bristol                                                                                                      </w:t>
      </w:r>
      <w:r w:rsidR="00767854">
        <w:rPr>
          <w:rFonts w:ascii="Arial" w:hAnsi="Arial" w:cs="Arial"/>
          <w:bCs/>
          <w:szCs w:val="24"/>
        </w:rPr>
        <w:t>Law School</w:t>
      </w:r>
    </w:p>
    <w:p w14:paraId="28D54CCD" w14:textId="77777777" w:rsidR="00767854" w:rsidRDefault="00767854" w:rsidP="00767854">
      <w:pPr>
        <w:rPr>
          <w:rFonts w:ascii="Arial" w:hAnsi="Arial" w:cs="Arial"/>
          <w:bCs/>
          <w:szCs w:val="24"/>
        </w:rPr>
      </w:pPr>
    </w:p>
    <w:p w14:paraId="19F0283F" w14:textId="77777777" w:rsidR="00767854" w:rsidRDefault="00767854" w:rsidP="00767854">
      <w:pPr>
        <w:jc w:val="center"/>
        <w:rPr>
          <w:rFonts w:ascii="Arial" w:hAnsi="Arial" w:cs="Arial"/>
          <w:bCs/>
          <w:szCs w:val="24"/>
        </w:rPr>
      </w:pPr>
      <w:r>
        <w:rPr>
          <w:rFonts w:ascii="Arial" w:hAnsi="Arial" w:cs="Arial"/>
          <w:bCs/>
          <w:szCs w:val="24"/>
        </w:rPr>
        <w:t xml:space="preserve">Submitted </w:t>
      </w:r>
      <w:r w:rsidRPr="000E305A">
        <w:rPr>
          <w:rFonts w:ascii="Arial" w:hAnsi="Arial" w:cs="Arial"/>
          <w:bCs/>
          <w:szCs w:val="24"/>
        </w:rPr>
        <w:t xml:space="preserve">on </w:t>
      </w:r>
      <w:r>
        <w:rPr>
          <w:rFonts w:ascii="Arial" w:hAnsi="Arial" w:cs="Arial"/>
          <w:bCs/>
          <w:szCs w:val="24"/>
        </w:rPr>
        <w:t>8th</w:t>
      </w:r>
      <w:r w:rsidRPr="000E305A">
        <w:rPr>
          <w:rFonts w:ascii="Arial" w:hAnsi="Arial" w:cs="Arial"/>
          <w:bCs/>
          <w:szCs w:val="24"/>
        </w:rPr>
        <w:t xml:space="preserve"> September 201</w:t>
      </w:r>
      <w:r>
        <w:rPr>
          <w:rFonts w:ascii="Arial" w:hAnsi="Arial" w:cs="Arial"/>
          <w:bCs/>
          <w:szCs w:val="24"/>
        </w:rPr>
        <w:t>7</w:t>
      </w:r>
    </w:p>
    <w:p w14:paraId="3F02788B" w14:textId="77777777" w:rsidR="00767854" w:rsidRDefault="00767854" w:rsidP="007E5E1D">
      <w:pPr>
        <w:rPr>
          <w:rFonts w:ascii="Arial" w:hAnsi="Arial" w:cs="Arial"/>
          <w:bCs/>
          <w:szCs w:val="24"/>
        </w:rPr>
      </w:pPr>
    </w:p>
    <w:p w14:paraId="287F2174" w14:textId="77777777" w:rsidR="00511F15" w:rsidRDefault="00511F15" w:rsidP="007E5E1D">
      <w:pPr>
        <w:rPr>
          <w:rFonts w:ascii="Arial" w:hAnsi="Arial" w:cs="Arial"/>
          <w:bCs/>
          <w:szCs w:val="24"/>
        </w:rPr>
      </w:pPr>
    </w:p>
    <w:p w14:paraId="5CD742BD" w14:textId="4553FC47" w:rsidR="00767854" w:rsidRPr="00764937" w:rsidRDefault="00767854" w:rsidP="00767854">
      <w:pPr>
        <w:jc w:val="center"/>
        <w:rPr>
          <w:rFonts w:ascii="Arial" w:hAnsi="Arial" w:cs="Arial"/>
          <w:b/>
          <w:sz w:val="28"/>
          <w:szCs w:val="28"/>
        </w:rPr>
      </w:pPr>
      <w:r w:rsidRPr="00764937">
        <w:rPr>
          <w:rFonts w:ascii="Arial" w:hAnsi="Arial" w:cs="Arial"/>
          <w:b/>
          <w:sz w:val="28"/>
          <w:szCs w:val="28"/>
        </w:rPr>
        <w:lastRenderedPageBreak/>
        <w:t>Abstract</w:t>
      </w:r>
      <w:r w:rsidR="00005B4B">
        <w:rPr>
          <w:rFonts w:ascii="Arial" w:hAnsi="Arial" w:cs="Arial"/>
          <w:b/>
          <w:sz w:val="28"/>
          <w:szCs w:val="28"/>
        </w:rPr>
        <w:t xml:space="preserve"> </w:t>
      </w:r>
    </w:p>
    <w:p w14:paraId="7C7EE723" w14:textId="77777777" w:rsidR="00DB3B06" w:rsidRDefault="00012938" w:rsidP="0001137D">
      <w:pPr>
        <w:spacing w:line="240" w:lineRule="auto"/>
        <w:rPr>
          <w:rFonts w:ascii="Arial" w:hAnsi="Arial" w:cs="Arial"/>
          <w:i/>
        </w:rPr>
      </w:pPr>
      <w:r>
        <w:rPr>
          <w:rFonts w:ascii="Arial" w:hAnsi="Arial" w:cs="Arial"/>
          <w:i/>
        </w:rPr>
        <w:t xml:space="preserve">Since the 1990s, </w:t>
      </w:r>
      <w:r w:rsidR="00F56D74">
        <w:rPr>
          <w:rFonts w:ascii="Arial" w:hAnsi="Arial" w:cs="Arial"/>
          <w:i/>
        </w:rPr>
        <w:t xml:space="preserve">the </w:t>
      </w:r>
      <w:r>
        <w:rPr>
          <w:rFonts w:ascii="Arial" w:hAnsi="Arial" w:cs="Arial"/>
          <w:i/>
        </w:rPr>
        <w:t>international law</w:t>
      </w:r>
      <w:r w:rsidR="0057503D">
        <w:rPr>
          <w:rFonts w:ascii="Arial" w:hAnsi="Arial" w:cs="Arial"/>
          <w:i/>
        </w:rPr>
        <w:t xml:space="preserve"> of making reservations to human rights</w:t>
      </w:r>
      <w:r w:rsidR="00F56D74">
        <w:rPr>
          <w:rFonts w:ascii="Arial" w:hAnsi="Arial" w:cs="Arial"/>
          <w:i/>
        </w:rPr>
        <w:t xml:space="preserve"> treaties</w:t>
      </w:r>
      <w:r w:rsidR="00D55895">
        <w:rPr>
          <w:rFonts w:ascii="Arial" w:hAnsi="Arial" w:cs="Arial"/>
          <w:i/>
        </w:rPr>
        <w:t xml:space="preserve"> has deve</w:t>
      </w:r>
      <w:r w:rsidR="00EC3636">
        <w:rPr>
          <w:rFonts w:ascii="Arial" w:hAnsi="Arial" w:cs="Arial"/>
          <w:i/>
        </w:rPr>
        <w:t xml:space="preserve">loped at an astonishing </w:t>
      </w:r>
      <w:r w:rsidR="00D55895">
        <w:rPr>
          <w:rFonts w:ascii="Arial" w:hAnsi="Arial" w:cs="Arial"/>
          <w:i/>
        </w:rPr>
        <w:t>rate.</w:t>
      </w:r>
      <w:r w:rsidR="00F56D74">
        <w:rPr>
          <w:rFonts w:ascii="Arial" w:hAnsi="Arial" w:cs="Arial"/>
          <w:i/>
        </w:rPr>
        <w:t xml:space="preserve"> The jurisprudence of both the Human Rights Committee and the European Court of Rights fundamentally added to this discussion during the 1990s. Their findings put paid to the old system under the Vienna Convention</w:t>
      </w:r>
      <w:r w:rsidR="0057503D">
        <w:rPr>
          <w:rFonts w:ascii="Arial" w:hAnsi="Arial" w:cs="Arial"/>
          <w:i/>
        </w:rPr>
        <w:t xml:space="preserve"> on the Law of Treaties</w:t>
      </w:r>
      <w:r w:rsidR="00750A7A">
        <w:rPr>
          <w:rFonts w:ascii="Arial" w:hAnsi="Arial" w:cs="Arial"/>
          <w:i/>
        </w:rPr>
        <w:t>,</w:t>
      </w:r>
      <w:r w:rsidR="00F56D74">
        <w:rPr>
          <w:rFonts w:ascii="Arial" w:hAnsi="Arial" w:cs="Arial"/>
          <w:i/>
        </w:rPr>
        <w:t xml:space="preserve"> a regime that they exposed for its redundancy in the modern law of reservations. </w:t>
      </w:r>
      <w:r w:rsidR="0057503D">
        <w:rPr>
          <w:rFonts w:ascii="Arial" w:hAnsi="Arial" w:cs="Arial"/>
          <w:i/>
        </w:rPr>
        <w:t xml:space="preserve">International legal scholars have attempted for years to find a definitive set of rules for </w:t>
      </w:r>
      <w:r w:rsidR="00F75325">
        <w:rPr>
          <w:rFonts w:ascii="Arial" w:hAnsi="Arial" w:cs="Arial"/>
          <w:i/>
        </w:rPr>
        <w:t>making</w:t>
      </w:r>
      <w:r w:rsidR="0057503D">
        <w:rPr>
          <w:rFonts w:ascii="Arial" w:hAnsi="Arial" w:cs="Arial"/>
          <w:i/>
        </w:rPr>
        <w:t xml:space="preserve"> reservations</w:t>
      </w:r>
      <w:r w:rsidR="00F75325">
        <w:rPr>
          <w:rFonts w:ascii="Arial" w:hAnsi="Arial" w:cs="Arial"/>
          <w:i/>
        </w:rPr>
        <w:t xml:space="preserve"> to treaties</w:t>
      </w:r>
      <w:r w:rsidR="0057503D">
        <w:rPr>
          <w:rFonts w:ascii="Arial" w:hAnsi="Arial" w:cs="Arial"/>
          <w:i/>
        </w:rPr>
        <w:t>. The International Law Commission (ILC) has been the most active player in this respect. Having placed reservations on its agenda in 1993, its Special Rapporteur conducted some essential research into the area</w:t>
      </w:r>
      <w:r w:rsidR="00F75325">
        <w:rPr>
          <w:rFonts w:ascii="Arial" w:hAnsi="Arial" w:cs="Arial"/>
          <w:i/>
        </w:rPr>
        <w:t xml:space="preserve"> of law</w:t>
      </w:r>
      <w:r w:rsidR="0057503D">
        <w:rPr>
          <w:rFonts w:ascii="Arial" w:hAnsi="Arial" w:cs="Arial"/>
          <w:i/>
        </w:rPr>
        <w:t xml:space="preserve">. </w:t>
      </w:r>
    </w:p>
    <w:p w14:paraId="4928291F" w14:textId="74187150" w:rsidR="00767854" w:rsidRPr="00012938" w:rsidRDefault="0057503D" w:rsidP="0001137D">
      <w:pPr>
        <w:spacing w:line="240" w:lineRule="auto"/>
        <w:rPr>
          <w:rFonts w:ascii="Arial" w:hAnsi="Arial" w:cs="Arial"/>
          <w:i/>
        </w:rPr>
      </w:pPr>
      <w:r>
        <w:rPr>
          <w:rFonts w:ascii="Arial" w:hAnsi="Arial" w:cs="Arial"/>
          <w:i/>
        </w:rPr>
        <w:t xml:space="preserve">Ultimately, the previous judgments of the Human Rights Committee and the European Court of Human Rights were also found to be inadequate by the Special Rapporteur’s draft conclusions. It was </w:t>
      </w:r>
      <w:r w:rsidR="00F75325">
        <w:rPr>
          <w:rFonts w:ascii="Arial" w:hAnsi="Arial" w:cs="Arial"/>
          <w:i/>
        </w:rPr>
        <w:t xml:space="preserve">therefore </w:t>
      </w:r>
      <w:r>
        <w:rPr>
          <w:rFonts w:ascii="Arial" w:hAnsi="Arial" w:cs="Arial"/>
          <w:i/>
        </w:rPr>
        <w:t xml:space="preserve">down to the ILC to produce a comprehensive framework of guidelines to </w:t>
      </w:r>
      <w:r w:rsidR="00F75325">
        <w:rPr>
          <w:rFonts w:ascii="Arial" w:hAnsi="Arial" w:cs="Arial"/>
          <w:i/>
        </w:rPr>
        <w:t>assist</w:t>
      </w:r>
      <w:r>
        <w:rPr>
          <w:rFonts w:ascii="Arial" w:hAnsi="Arial" w:cs="Arial"/>
          <w:i/>
        </w:rPr>
        <w:t xml:space="preserve"> states in their construction of reservations to human rights treaties. The</w:t>
      </w:r>
      <w:r w:rsidR="00F75325">
        <w:rPr>
          <w:rFonts w:ascii="Arial" w:hAnsi="Arial" w:cs="Arial"/>
          <w:i/>
        </w:rPr>
        <w:t xml:space="preserve"> ILC</w:t>
      </w:r>
      <w:r w:rsidR="00F75325" w:rsidRPr="00F75325">
        <w:rPr>
          <w:rFonts w:ascii="Arial" w:hAnsi="Arial" w:cs="Arial"/>
          <w:i/>
          <w:lang w:val="en-US"/>
        </w:rPr>
        <w:t xml:space="preserve"> Guide to Practice on Reservations</w:t>
      </w:r>
      <w:r w:rsidR="00531E3F">
        <w:rPr>
          <w:rFonts w:ascii="Arial" w:hAnsi="Arial" w:cs="Arial"/>
          <w:i/>
        </w:rPr>
        <w:t xml:space="preserve"> arrived in 2011 at the same time as</w:t>
      </w:r>
      <w:r w:rsidR="00F75325">
        <w:rPr>
          <w:rFonts w:ascii="Arial" w:hAnsi="Arial" w:cs="Arial"/>
          <w:i/>
        </w:rPr>
        <w:t xml:space="preserve"> a mass of legal thought on the </w:t>
      </w:r>
      <w:r w:rsidR="00732C60">
        <w:rPr>
          <w:rFonts w:ascii="Arial" w:hAnsi="Arial" w:cs="Arial"/>
          <w:i/>
        </w:rPr>
        <w:t>subject</w:t>
      </w:r>
      <w:r w:rsidR="00F75325">
        <w:rPr>
          <w:rFonts w:ascii="Arial" w:hAnsi="Arial" w:cs="Arial"/>
          <w:i/>
        </w:rPr>
        <w:t xml:space="preserve">. </w:t>
      </w:r>
      <w:r w:rsidR="00DB3B06">
        <w:rPr>
          <w:rFonts w:ascii="Arial" w:hAnsi="Arial" w:cs="Arial"/>
          <w:i/>
        </w:rPr>
        <w:t xml:space="preserve">Would the guide definitively decide whether impermissible reservations were severable from a treaty? </w:t>
      </w:r>
      <w:r w:rsidR="00F75325">
        <w:rPr>
          <w:rFonts w:ascii="Arial" w:hAnsi="Arial" w:cs="Arial"/>
          <w:i/>
        </w:rPr>
        <w:t>Was this the start of a new golden age for our understanding of reservations to human rights treaties? W</w:t>
      </w:r>
      <w:r w:rsidR="003878FF">
        <w:rPr>
          <w:rFonts w:ascii="Arial" w:hAnsi="Arial" w:cs="Arial"/>
          <w:i/>
        </w:rPr>
        <w:t>as this a sign of the emergence of a new reservations regime to counter the previous Vienna Convention one?</w:t>
      </w:r>
      <w:r w:rsidR="00DB3B06">
        <w:rPr>
          <w:rFonts w:ascii="Arial" w:hAnsi="Arial" w:cs="Arial"/>
          <w:i/>
        </w:rPr>
        <w:t xml:space="preserve"> </w:t>
      </w:r>
      <w:r w:rsidR="003878FF">
        <w:rPr>
          <w:rFonts w:ascii="Arial" w:hAnsi="Arial" w:cs="Arial"/>
          <w:i/>
        </w:rPr>
        <w:t xml:space="preserve">If so, were the two regimes now fragmenting or narrowing into one unilateral legal system? It appeared that the ILC held the answers, as did a significant body of </w:t>
      </w:r>
      <w:r w:rsidR="00DB3B06">
        <w:rPr>
          <w:rFonts w:ascii="Arial" w:hAnsi="Arial" w:cs="Arial"/>
          <w:i/>
        </w:rPr>
        <w:t xml:space="preserve">international </w:t>
      </w:r>
      <w:r w:rsidR="003878FF">
        <w:rPr>
          <w:rFonts w:ascii="Arial" w:hAnsi="Arial" w:cs="Arial"/>
          <w:i/>
        </w:rPr>
        <w:t xml:space="preserve">legal thought on the matter. </w:t>
      </w:r>
    </w:p>
    <w:p w14:paraId="24BE69A6" w14:textId="77777777" w:rsidR="00767854" w:rsidRDefault="00767854" w:rsidP="00767854">
      <w:pPr>
        <w:rPr>
          <w:rFonts w:ascii="Arial" w:hAnsi="Arial" w:cs="Arial"/>
        </w:rPr>
      </w:pPr>
    </w:p>
    <w:p w14:paraId="37E7C18C" w14:textId="77777777" w:rsidR="00767854" w:rsidRDefault="00767854" w:rsidP="00767854">
      <w:pPr>
        <w:rPr>
          <w:rFonts w:ascii="Arial" w:hAnsi="Arial" w:cs="Arial"/>
        </w:rPr>
      </w:pPr>
      <w:r>
        <w:rPr>
          <w:rFonts w:ascii="Arial" w:hAnsi="Arial" w:cs="Arial"/>
        </w:rPr>
        <w:br w:type="page"/>
      </w:r>
    </w:p>
    <w:p w14:paraId="50F8F332" w14:textId="77777777" w:rsidR="00767854" w:rsidRDefault="00767854" w:rsidP="00767854">
      <w:pPr>
        <w:rPr>
          <w:rFonts w:ascii="Arial" w:hAnsi="Arial" w:cs="Arial"/>
          <w:b/>
          <w:bCs/>
          <w:szCs w:val="24"/>
        </w:rPr>
      </w:pPr>
      <w:r>
        <w:rPr>
          <w:rFonts w:ascii="Arial" w:hAnsi="Arial" w:cs="Arial"/>
          <w:b/>
          <w:bCs/>
          <w:szCs w:val="24"/>
        </w:rPr>
        <w:t>Author’s declaration</w:t>
      </w:r>
    </w:p>
    <w:p w14:paraId="7996AF1C" w14:textId="77777777" w:rsidR="00767854" w:rsidRDefault="00767854" w:rsidP="00767854">
      <w:pPr>
        <w:rPr>
          <w:rFonts w:ascii="Arial" w:hAnsi="Arial" w:cs="Arial"/>
          <w:i/>
          <w:iCs/>
          <w:szCs w:val="24"/>
        </w:rPr>
      </w:pPr>
      <w:r>
        <w:rPr>
          <w:rFonts w:ascii="Arial" w:hAnsi="Arial" w:cs="Arial"/>
          <w:i/>
          <w:iCs/>
          <w:szCs w:val="24"/>
        </w:rPr>
        <w:t>I declare that the work in this dissertation was carried out in accordance with the requirements of the University’s Regulations and Code of Practice for Taught Postgraduate Programmes and that it has not been submitted for any other academic award. Except where indicated by specific reference in the text, this work is my own work. Work done in collaboration with, or with the assistance of others, is indicated as such. I have identified all material in this dissertation which is not my own work through appropriate referencing and acknowledgement. Where I have quoted from the work of others, I have included the source in the references/bibliography. Any views expressed in the dissertation are those of the author.</w:t>
      </w:r>
    </w:p>
    <w:p w14:paraId="3571444A" w14:textId="09D636CE" w:rsidR="00470D1F" w:rsidRDefault="001640AA" w:rsidP="00767854">
      <w:pPr>
        <w:rPr>
          <w:rFonts w:ascii="Arial" w:hAnsi="Arial" w:cs="Arial"/>
          <w:iCs/>
          <w:szCs w:val="24"/>
        </w:rPr>
      </w:pPr>
      <w:r w:rsidRPr="001640AA">
        <w:rPr>
          <w:rFonts w:ascii="Arial" w:hAnsi="Arial" w:cs="Arial"/>
          <w:iCs/>
          <w:szCs w:val="24"/>
        </w:rPr>
        <w:t>SIGNED:</w:t>
      </w:r>
      <w:r w:rsidR="00767854" w:rsidRPr="001640AA">
        <w:rPr>
          <w:rFonts w:ascii="Arial" w:hAnsi="Arial" w:cs="Arial"/>
          <w:iCs/>
          <w:szCs w:val="24"/>
        </w:rPr>
        <w:t>………</w:t>
      </w:r>
      <w:r w:rsidR="005528CA">
        <w:rPr>
          <w:rFonts w:ascii="Arial" w:hAnsi="Arial" w:cs="Arial"/>
          <w:iCs/>
          <w:szCs w:val="24"/>
        </w:rPr>
        <w:t>Christopher James Olsen</w:t>
      </w:r>
      <w:r w:rsidR="00767854" w:rsidRPr="001640AA">
        <w:rPr>
          <w:rFonts w:ascii="Arial" w:hAnsi="Arial" w:cs="Arial"/>
          <w:iCs/>
          <w:szCs w:val="24"/>
        </w:rPr>
        <w:t xml:space="preserve">……………. </w:t>
      </w:r>
    </w:p>
    <w:p w14:paraId="24C8BF3B" w14:textId="1CD7C585" w:rsidR="00767854" w:rsidRPr="001640AA" w:rsidRDefault="00767854" w:rsidP="00767854">
      <w:r w:rsidRPr="001640AA">
        <w:rPr>
          <w:rFonts w:ascii="Arial" w:hAnsi="Arial" w:cs="Arial"/>
          <w:iCs/>
          <w:szCs w:val="24"/>
        </w:rPr>
        <w:t>DATE:........</w:t>
      </w:r>
      <w:r w:rsidR="00F549FC">
        <w:rPr>
          <w:rFonts w:ascii="Arial" w:hAnsi="Arial" w:cs="Arial"/>
          <w:iCs/>
          <w:szCs w:val="24"/>
        </w:rPr>
        <w:t>.....</w:t>
      </w:r>
      <w:r w:rsidR="005528CA">
        <w:rPr>
          <w:rFonts w:ascii="Arial" w:hAnsi="Arial" w:cs="Arial"/>
          <w:iCs/>
          <w:szCs w:val="24"/>
        </w:rPr>
        <w:t>8/9/2017</w:t>
      </w:r>
      <w:r w:rsidR="00F549FC">
        <w:rPr>
          <w:rFonts w:ascii="Arial" w:hAnsi="Arial" w:cs="Arial"/>
          <w:iCs/>
          <w:szCs w:val="24"/>
        </w:rPr>
        <w:t>.........</w:t>
      </w:r>
      <w:r w:rsidRPr="001640AA">
        <w:rPr>
          <w:rFonts w:ascii="Arial" w:hAnsi="Arial" w:cs="Arial"/>
          <w:iCs/>
          <w:szCs w:val="24"/>
        </w:rPr>
        <w:t>...........</w:t>
      </w:r>
    </w:p>
    <w:p w14:paraId="445D103A" w14:textId="77777777" w:rsidR="00767854" w:rsidRDefault="00767854" w:rsidP="00767854">
      <w:pPr>
        <w:rPr>
          <w:rFonts w:ascii="Arial" w:hAnsi="Arial" w:cs="Arial"/>
        </w:rPr>
      </w:pPr>
    </w:p>
    <w:p w14:paraId="41445A16" w14:textId="77777777" w:rsidR="00767854" w:rsidRDefault="00767854" w:rsidP="00767854">
      <w:pPr>
        <w:rPr>
          <w:rFonts w:ascii="Arial" w:hAnsi="Arial" w:cs="Arial"/>
        </w:rPr>
      </w:pPr>
      <w:r>
        <w:rPr>
          <w:rFonts w:ascii="Arial" w:hAnsi="Arial" w:cs="Arial"/>
        </w:rPr>
        <w:br w:type="page"/>
      </w:r>
    </w:p>
    <w:p w14:paraId="7640CFBC" w14:textId="77777777" w:rsidR="00767854" w:rsidRPr="001B591C" w:rsidRDefault="00767854" w:rsidP="00A82BC2">
      <w:pPr>
        <w:spacing w:line="480" w:lineRule="auto"/>
        <w:rPr>
          <w:rFonts w:ascii="Arial" w:hAnsi="Arial" w:cs="Arial"/>
          <w:b/>
          <w:sz w:val="24"/>
          <w:szCs w:val="24"/>
        </w:rPr>
      </w:pPr>
      <w:r w:rsidRPr="001B591C">
        <w:rPr>
          <w:rFonts w:ascii="Arial" w:hAnsi="Arial" w:cs="Arial"/>
          <w:b/>
          <w:sz w:val="24"/>
          <w:szCs w:val="24"/>
        </w:rPr>
        <w:t>Table of Contents</w:t>
      </w:r>
    </w:p>
    <w:p w14:paraId="65FB150F" w14:textId="2054644C" w:rsidR="00381CC0" w:rsidRPr="00936978" w:rsidRDefault="00381CC0" w:rsidP="00A82BC2">
      <w:pPr>
        <w:pStyle w:val="ListParagraph"/>
        <w:numPr>
          <w:ilvl w:val="0"/>
          <w:numId w:val="1"/>
        </w:numPr>
        <w:spacing w:line="480" w:lineRule="auto"/>
        <w:rPr>
          <w:rFonts w:ascii="Arial" w:hAnsi="Arial" w:cs="Arial"/>
          <w:b/>
        </w:rPr>
      </w:pPr>
      <w:r w:rsidRPr="00936978">
        <w:rPr>
          <w:rFonts w:ascii="Arial" w:hAnsi="Arial" w:cs="Arial"/>
          <w:b/>
        </w:rPr>
        <w:t>Introduction</w:t>
      </w:r>
      <w:r w:rsidR="00637C20" w:rsidRPr="00936978">
        <w:rPr>
          <w:rFonts w:ascii="Arial" w:hAnsi="Arial" w:cs="Arial"/>
          <w:b/>
        </w:rPr>
        <w:t>…………………………………………………………………</w:t>
      </w:r>
      <w:r w:rsidR="00D70B4B">
        <w:rPr>
          <w:rFonts w:ascii="Arial" w:hAnsi="Arial" w:cs="Arial"/>
          <w:b/>
        </w:rPr>
        <w:t>.</w:t>
      </w:r>
      <w:r w:rsidR="00637C20" w:rsidRPr="00936978">
        <w:rPr>
          <w:rFonts w:ascii="Arial" w:hAnsi="Arial" w:cs="Arial"/>
          <w:b/>
        </w:rPr>
        <w:t>…</w:t>
      </w:r>
      <w:r w:rsidR="00D70B4B">
        <w:rPr>
          <w:rFonts w:ascii="Arial" w:hAnsi="Arial" w:cs="Arial"/>
          <w:b/>
        </w:rPr>
        <w:t>.</w:t>
      </w:r>
      <w:r w:rsidR="00DC43A3">
        <w:rPr>
          <w:rFonts w:ascii="Arial" w:hAnsi="Arial" w:cs="Arial"/>
          <w:b/>
        </w:rPr>
        <w:t xml:space="preserve"> </w:t>
      </w:r>
      <w:r w:rsidR="00637C20" w:rsidRPr="00936978">
        <w:rPr>
          <w:rFonts w:ascii="Arial" w:hAnsi="Arial" w:cs="Arial"/>
          <w:b/>
        </w:rPr>
        <w:t>5</w:t>
      </w:r>
    </w:p>
    <w:p w14:paraId="39082791" w14:textId="1E78EE23" w:rsidR="00381CC0" w:rsidRPr="00936978" w:rsidRDefault="00381CC0" w:rsidP="00A82BC2">
      <w:pPr>
        <w:pStyle w:val="ListParagraph"/>
        <w:numPr>
          <w:ilvl w:val="0"/>
          <w:numId w:val="1"/>
        </w:numPr>
        <w:spacing w:line="480" w:lineRule="auto"/>
        <w:rPr>
          <w:rFonts w:ascii="Arial" w:hAnsi="Arial" w:cs="Arial"/>
          <w:b/>
        </w:rPr>
      </w:pPr>
      <w:r w:rsidRPr="00936978">
        <w:rPr>
          <w:rFonts w:ascii="Arial" w:hAnsi="Arial" w:cs="Arial"/>
          <w:b/>
        </w:rPr>
        <w:t>The Traditional Position of General International Law</w:t>
      </w:r>
      <w:r w:rsidR="00773D65" w:rsidRPr="00936978">
        <w:rPr>
          <w:rFonts w:ascii="Arial" w:hAnsi="Arial" w:cs="Arial"/>
          <w:b/>
        </w:rPr>
        <w:t>………………..</w:t>
      </w:r>
      <w:r w:rsidR="00D70B4B">
        <w:rPr>
          <w:rFonts w:ascii="Arial" w:hAnsi="Arial" w:cs="Arial"/>
          <w:b/>
        </w:rPr>
        <w:t>.</w:t>
      </w:r>
      <w:r w:rsidR="00773D65" w:rsidRPr="00936978">
        <w:rPr>
          <w:rFonts w:ascii="Arial" w:hAnsi="Arial" w:cs="Arial"/>
          <w:b/>
        </w:rPr>
        <w:t>.</w:t>
      </w:r>
      <w:r w:rsidR="00D70B4B">
        <w:rPr>
          <w:rFonts w:ascii="Arial" w:hAnsi="Arial" w:cs="Arial"/>
          <w:b/>
        </w:rPr>
        <w:t>.</w:t>
      </w:r>
      <w:r w:rsidR="00A929C8" w:rsidRPr="00936978">
        <w:rPr>
          <w:rFonts w:ascii="Arial" w:hAnsi="Arial" w:cs="Arial"/>
          <w:b/>
        </w:rPr>
        <w:t xml:space="preserve"> </w:t>
      </w:r>
      <w:r w:rsidR="00592406" w:rsidRPr="00936978">
        <w:rPr>
          <w:rFonts w:ascii="Arial" w:hAnsi="Arial" w:cs="Arial"/>
          <w:b/>
        </w:rPr>
        <w:t>8</w:t>
      </w:r>
    </w:p>
    <w:p w14:paraId="6864D35C" w14:textId="2EDB8B41" w:rsidR="00504AFF" w:rsidRPr="00936978" w:rsidRDefault="00504AFF" w:rsidP="00A82BC2">
      <w:pPr>
        <w:pStyle w:val="ListParagraph"/>
        <w:numPr>
          <w:ilvl w:val="1"/>
          <w:numId w:val="1"/>
        </w:numPr>
        <w:spacing w:line="480" w:lineRule="auto"/>
        <w:ind w:left="1560" w:hanging="567"/>
        <w:rPr>
          <w:rFonts w:ascii="Arial" w:hAnsi="Arial" w:cs="Arial"/>
          <w:b/>
        </w:rPr>
      </w:pPr>
      <w:r w:rsidRPr="00936978">
        <w:rPr>
          <w:rFonts w:ascii="Arial" w:hAnsi="Arial" w:cs="Arial"/>
          <w:b/>
        </w:rPr>
        <w:t xml:space="preserve">Presumed </w:t>
      </w:r>
      <w:r w:rsidR="00897344" w:rsidRPr="00936978">
        <w:rPr>
          <w:rFonts w:ascii="Arial" w:hAnsi="Arial" w:cs="Arial"/>
          <w:b/>
        </w:rPr>
        <w:t>U</w:t>
      </w:r>
      <w:r w:rsidRPr="00936978">
        <w:rPr>
          <w:rFonts w:ascii="Arial" w:hAnsi="Arial" w:cs="Arial"/>
          <w:b/>
        </w:rPr>
        <w:t xml:space="preserve">nanimous </w:t>
      </w:r>
      <w:r w:rsidR="00D56237" w:rsidRPr="00936978">
        <w:rPr>
          <w:rFonts w:ascii="Arial" w:hAnsi="Arial" w:cs="Arial"/>
          <w:b/>
        </w:rPr>
        <w:t>S</w:t>
      </w:r>
      <w:r w:rsidRPr="00936978">
        <w:rPr>
          <w:rFonts w:ascii="Arial" w:hAnsi="Arial" w:cs="Arial"/>
          <w:b/>
        </w:rPr>
        <w:t xml:space="preserve">tate </w:t>
      </w:r>
      <w:r w:rsidR="00D56237" w:rsidRPr="00936978">
        <w:rPr>
          <w:rFonts w:ascii="Arial" w:hAnsi="Arial" w:cs="Arial"/>
          <w:b/>
        </w:rPr>
        <w:t>C</w:t>
      </w:r>
      <w:r w:rsidR="00D70B4B">
        <w:rPr>
          <w:rFonts w:ascii="Arial" w:hAnsi="Arial" w:cs="Arial"/>
          <w:b/>
        </w:rPr>
        <w:t>onsent……………………………</w:t>
      </w:r>
      <w:r w:rsidR="00592406" w:rsidRPr="00936978">
        <w:rPr>
          <w:rFonts w:ascii="Arial" w:hAnsi="Arial" w:cs="Arial"/>
          <w:b/>
        </w:rPr>
        <w:t xml:space="preserve"> 8</w:t>
      </w:r>
    </w:p>
    <w:p w14:paraId="5E662FE1" w14:textId="3779F8C8" w:rsidR="00942AFA" w:rsidRPr="00936978" w:rsidRDefault="00942AFA" w:rsidP="00A82BC2">
      <w:pPr>
        <w:pStyle w:val="ListParagraph"/>
        <w:numPr>
          <w:ilvl w:val="1"/>
          <w:numId w:val="1"/>
        </w:numPr>
        <w:spacing w:line="480" w:lineRule="auto"/>
        <w:ind w:left="1560" w:hanging="567"/>
        <w:rPr>
          <w:rFonts w:ascii="Arial" w:hAnsi="Arial" w:cs="Arial"/>
          <w:b/>
        </w:rPr>
      </w:pPr>
      <w:r w:rsidRPr="00936978">
        <w:rPr>
          <w:rFonts w:ascii="Arial" w:hAnsi="Arial" w:cs="Arial"/>
          <w:b/>
        </w:rPr>
        <w:t>The Vienna Conven</w:t>
      </w:r>
      <w:r w:rsidR="00FC619F" w:rsidRPr="00936978">
        <w:rPr>
          <w:rFonts w:ascii="Arial" w:hAnsi="Arial" w:cs="Arial"/>
          <w:b/>
        </w:rPr>
        <w:t>tion on the Law of Treaties 1969………</w:t>
      </w:r>
      <w:r w:rsidR="00DC43A3">
        <w:rPr>
          <w:rFonts w:ascii="Arial" w:hAnsi="Arial" w:cs="Arial"/>
          <w:b/>
        </w:rPr>
        <w:t>.</w:t>
      </w:r>
      <w:r w:rsidR="00D70B4B">
        <w:rPr>
          <w:rFonts w:ascii="Arial" w:hAnsi="Arial" w:cs="Arial"/>
          <w:b/>
        </w:rPr>
        <w:t>.</w:t>
      </w:r>
      <w:r w:rsidR="00DC43A3">
        <w:rPr>
          <w:rFonts w:ascii="Arial" w:hAnsi="Arial" w:cs="Arial"/>
          <w:b/>
        </w:rPr>
        <w:t xml:space="preserve">.. </w:t>
      </w:r>
      <w:r w:rsidR="00FC619F" w:rsidRPr="00936978">
        <w:rPr>
          <w:rFonts w:ascii="Arial" w:hAnsi="Arial" w:cs="Arial"/>
          <w:b/>
        </w:rPr>
        <w:t>9</w:t>
      </w:r>
    </w:p>
    <w:p w14:paraId="16A99B64" w14:textId="293B982E" w:rsidR="000F3B19" w:rsidRPr="00936978" w:rsidRDefault="00254F18" w:rsidP="00A82BC2">
      <w:pPr>
        <w:pStyle w:val="ListParagraph"/>
        <w:numPr>
          <w:ilvl w:val="1"/>
          <w:numId w:val="1"/>
        </w:numPr>
        <w:spacing w:line="480" w:lineRule="auto"/>
        <w:ind w:left="1560" w:hanging="567"/>
        <w:rPr>
          <w:rFonts w:ascii="Arial" w:hAnsi="Arial" w:cs="Arial"/>
          <w:b/>
        </w:rPr>
      </w:pPr>
      <w:r w:rsidRPr="00936978">
        <w:rPr>
          <w:rFonts w:ascii="Arial" w:hAnsi="Arial" w:cs="Arial"/>
          <w:b/>
        </w:rPr>
        <w:t xml:space="preserve">The </w:t>
      </w:r>
      <w:r w:rsidR="00D56237" w:rsidRPr="00936978">
        <w:rPr>
          <w:rFonts w:ascii="Arial" w:hAnsi="Arial" w:cs="Arial"/>
          <w:b/>
        </w:rPr>
        <w:t>d</w:t>
      </w:r>
      <w:r w:rsidR="00194C99" w:rsidRPr="00936978">
        <w:rPr>
          <w:rFonts w:ascii="Arial" w:hAnsi="Arial" w:cs="Arial"/>
          <w:b/>
        </w:rPr>
        <w:t>isadvantages of</w:t>
      </w:r>
      <w:r w:rsidRPr="00936978">
        <w:rPr>
          <w:rFonts w:ascii="Arial" w:hAnsi="Arial" w:cs="Arial"/>
          <w:b/>
        </w:rPr>
        <w:t xml:space="preserve"> the Vienna Convention</w:t>
      </w:r>
      <w:r w:rsidR="00194C99" w:rsidRPr="00936978">
        <w:rPr>
          <w:rFonts w:ascii="Arial" w:hAnsi="Arial" w:cs="Arial"/>
          <w:b/>
        </w:rPr>
        <w:t xml:space="preserve"> regime</w:t>
      </w:r>
      <w:r w:rsidR="00D37123" w:rsidRPr="00936978">
        <w:rPr>
          <w:rFonts w:ascii="Arial" w:hAnsi="Arial" w:cs="Arial"/>
          <w:b/>
        </w:rPr>
        <w:t>.</w:t>
      </w:r>
      <w:r w:rsidR="00FC6EDB" w:rsidRPr="00936978">
        <w:rPr>
          <w:rFonts w:ascii="Arial" w:hAnsi="Arial" w:cs="Arial"/>
          <w:b/>
        </w:rPr>
        <w:t>……</w:t>
      </w:r>
      <w:r w:rsidR="001054C2" w:rsidRPr="00936978">
        <w:rPr>
          <w:rFonts w:ascii="Arial" w:hAnsi="Arial" w:cs="Arial"/>
          <w:b/>
        </w:rPr>
        <w:t>…</w:t>
      </w:r>
      <w:r w:rsidR="001A5BF9">
        <w:rPr>
          <w:rFonts w:ascii="Arial" w:hAnsi="Arial" w:cs="Arial"/>
          <w:b/>
        </w:rPr>
        <w:t>.</w:t>
      </w:r>
      <w:r w:rsidR="00AB5F17" w:rsidRPr="00936978">
        <w:rPr>
          <w:rFonts w:ascii="Arial" w:hAnsi="Arial" w:cs="Arial"/>
          <w:b/>
        </w:rPr>
        <w:t>12</w:t>
      </w:r>
    </w:p>
    <w:p w14:paraId="544712E8" w14:textId="52ED9941" w:rsidR="00381CC0" w:rsidRPr="00936978" w:rsidRDefault="00381CC0" w:rsidP="00060081">
      <w:pPr>
        <w:pStyle w:val="ListParagraph"/>
        <w:numPr>
          <w:ilvl w:val="0"/>
          <w:numId w:val="1"/>
        </w:numPr>
        <w:tabs>
          <w:tab w:val="left" w:pos="8364"/>
        </w:tabs>
        <w:spacing w:line="480" w:lineRule="auto"/>
        <w:ind w:right="185"/>
        <w:rPr>
          <w:rFonts w:ascii="Arial" w:hAnsi="Arial" w:cs="Arial"/>
          <w:b/>
        </w:rPr>
      </w:pPr>
      <w:r w:rsidRPr="00936978">
        <w:rPr>
          <w:rFonts w:ascii="Arial" w:hAnsi="Arial" w:cs="Arial"/>
          <w:b/>
        </w:rPr>
        <w:t>The Jurisprudence of the European Court of Human Rights – a general comment from the UN Human Rights Committee in the 1990s</w:t>
      </w:r>
      <w:r w:rsidR="00A134AD" w:rsidRPr="00936978">
        <w:rPr>
          <w:rFonts w:ascii="Arial" w:hAnsi="Arial" w:cs="Arial"/>
          <w:b/>
        </w:rPr>
        <w:t>…………………………………………………………………………</w:t>
      </w:r>
      <w:r w:rsidR="00060081" w:rsidRPr="00936978">
        <w:rPr>
          <w:rFonts w:ascii="Arial" w:hAnsi="Arial" w:cs="Arial"/>
          <w:b/>
        </w:rPr>
        <w:t>…</w:t>
      </w:r>
      <w:r w:rsidR="0048217C">
        <w:rPr>
          <w:rFonts w:ascii="Arial" w:hAnsi="Arial" w:cs="Arial"/>
          <w:b/>
        </w:rPr>
        <w:t>.</w:t>
      </w:r>
      <w:r w:rsidR="00A134AD" w:rsidRPr="00936978">
        <w:rPr>
          <w:rFonts w:ascii="Arial" w:hAnsi="Arial" w:cs="Arial"/>
          <w:b/>
        </w:rPr>
        <w:t>1</w:t>
      </w:r>
      <w:r w:rsidR="00060081" w:rsidRPr="00936978">
        <w:rPr>
          <w:rFonts w:ascii="Arial" w:hAnsi="Arial" w:cs="Arial"/>
          <w:b/>
        </w:rPr>
        <w:t>6</w:t>
      </w:r>
    </w:p>
    <w:p w14:paraId="032A865F" w14:textId="227F83C1" w:rsidR="003F0B6E" w:rsidRPr="00936978" w:rsidRDefault="00F0331E" w:rsidP="00A82BC2">
      <w:pPr>
        <w:pStyle w:val="ListParagraph"/>
        <w:numPr>
          <w:ilvl w:val="1"/>
          <w:numId w:val="1"/>
        </w:numPr>
        <w:spacing w:line="480" w:lineRule="auto"/>
        <w:rPr>
          <w:rFonts w:ascii="Arial" w:hAnsi="Arial" w:cs="Arial"/>
          <w:b/>
        </w:rPr>
      </w:pPr>
      <w:r w:rsidRPr="00936978">
        <w:rPr>
          <w:rFonts w:ascii="Arial" w:hAnsi="Arial" w:cs="Arial"/>
          <w:b/>
        </w:rPr>
        <w:t>Has the ILC taken on board these human rights developments?</w:t>
      </w:r>
      <w:r w:rsidR="00B90897" w:rsidRPr="00936978">
        <w:rPr>
          <w:rFonts w:ascii="Arial" w:hAnsi="Arial" w:cs="Arial"/>
          <w:b/>
        </w:rPr>
        <w:t>........................................................................</w:t>
      </w:r>
      <w:r w:rsidR="00DC43A3">
        <w:rPr>
          <w:rFonts w:ascii="Arial" w:hAnsi="Arial" w:cs="Arial"/>
          <w:b/>
        </w:rPr>
        <w:t xml:space="preserve"> </w:t>
      </w:r>
      <w:r w:rsidR="00385D0B" w:rsidRPr="00936978">
        <w:rPr>
          <w:rFonts w:ascii="Arial" w:hAnsi="Arial" w:cs="Arial"/>
          <w:b/>
        </w:rPr>
        <w:t>21</w:t>
      </w:r>
    </w:p>
    <w:p w14:paraId="4E4AE51F" w14:textId="336B6E03" w:rsidR="00F0331E" w:rsidRPr="00936978" w:rsidRDefault="00F0331E" w:rsidP="00A82BC2">
      <w:pPr>
        <w:pStyle w:val="ListParagraph"/>
        <w:numPr>
          <w:ilvl w:val="1"/>
          <w:numId w:val="1"/>
        </w:numPr>
        <w:spacing w:line="480" w:lineRule="auto"/>
        <w:rPr>
          <w:rFonts w:ascii="Arial" w:hAnsi="Arial" w:cs="Arial"/>
          <w:b/>
        </w:rPr>
      </w:pPr>
      <w:r w:rsidRPr="00936978">
        <w:rPr>
          <w:rFonts w:ascii="Arial" w:hAnsi="Arial" w:cs="Arial"/>
          <w:b/>
        </w:rPr>
        <w:t>Are unacceptable reservations severable?</w:t>
      </w:r>
      <w:r w:rsidR="00763E21" w:rsidRPr="00936978">
        <w:rPr>
          <w:rFonts w:ascii="Arial" w:hAnsi="Arial" w:cs="Arial"/>
          <w:b/>
        </w:rPr>
        <w:t>..........................</w:t>
      </w:r>
      <w:r w:rsidR="00DC43A3">
        <w:rPr>
          <w:rFonts w:ascii="Arial" w:hAnsi="Arial" w:cs="Arial"/>
          <w:b/>
        </w:rPr>
        <w:t xml:space="preserve"> </w:t>
      </w:r>
      <w:r w:rsidR="003F7AEA">
        <w:rPr>
          <w:rFonts w:ascii="Arial" w:hAnsi="Arial" w:cs="Arial"/>
          <w:b/>
        </w:rPr>
        <w:t>30</w:t>
      </w:r>
    </w:p>
    <w:p w14:paraId="1012DD04" w14:textId="2A0CA84B" w:rsidR="00D37123" w:rsidRPr="00936978" w:rsidRDefault="00594FF5" w:rsidP="00A82BC2">
      <w:pPr>
        <w:pStyle w:val="ListParagraph"/>
        <w:spacing w:line="480" w:lineRule="auto"/>
        <w:ind w:left="1418"/>
        <w:rPr>
          <w:rFonts w:ascii="Arial" w:hAnsi="Arial" w:cs="Arial"/>
          <w:b/>
        </w:rPr>
      </w:pPr>
      <w:r w:rsidRPr="00936978">
        <w:rPr>
          <w:rFonts w:ascii="Arial" w:hAnsi="Arial" w:cs="Arial"/>
          <w:b/>
        </w:rPr>
        <w:t xml:space="preserve">3.2.1    </w:t>
      </w:r>
      <w:r w:rsidR="00D37123" w:rsidRPr="00936978">
        <w:rPr>
          <w:rFonts w:ascii="Arial" w:hAnsi="Arial" w:cs="Arial"/>
          <w:b/>
          <w:lang w:val="en-US"/>
        </w:rPr>
        <w:t>Severability in the European Court of Human Rights</w:t>
      </w:r>
      <w:r w:rsidR="00DC43A3">
        <w:rPr>
          <w:rFonts w:ascii="Arial" w:hAnsi="Arial" w:cs="Arial"/>
          <w:b/>
          <w:lang w:val="en-US"/>
        </w:rPr>
        <w:t>.. 33</w:t>
      </w:r>
    </w:p>
    <w:p w14:paraId="2C673F4C" w14:textId="65EA5A6F" w:rsidR="00594FF5" w:rsidRPr="00936978" w:rsidRDefault="00D37123" w:rsidP="00A82BC2">
      <w:pPr>
        <w:pStyle w:val="ListParagraph"/>
        <w:spacing w:line="480" w:lineRule="auto"/>
        <w:ind w:left="2127" w:hanging="426"/>
        <w:rPr>
          <w:rFonts w:ascii="Arial" w:hAnsi="Arial" w:cs="Arial"/>
          <w:b/>
          <w:i/>
        </w:rPr>
      </w:pPr>
      <w:r w:rsidRPr="00936978">
        <w:rPr>
          <w:rFonts w:ascii="Arial" w:hAnsi="Arial" w:cs="Arial"/>
          <w:b/>
          <w:i/>
        </w:rPr>
        <w:t xml:space="preserve">            </w:t>
      </w:r>
      <w:r w:rsidRPr="00936978">
        <w:rPr>
          <w:rFonts w:ascii="Arial" w:hAnsi="Arial" w:cs="Arial"/>
          <w:b/>
        </w:rPr>
        <w:t>3.2.1.1</w:t>
      </w:r>
      <w:r w:rsidRPr="00936978">
        <w:rPr>
          <w:rFonts w:ascii="Arial" w:hAnsi="Arial" w:cs="Arial"/>
          <w:b/>
          <w:i/>
        </w:rPr>
        <w:t xml:space="preserve"> </w:t>
      </w:r>
      <w:r w:rsidR="00594FF5" w:rsidRPr="00936978">
        <w:rPr>
          <w:rFonts w:ascii="Arial" w:hAnsi="Arial" w:cs="Arial"/>
          <w:b/>
          <w:i/>
        </w:rPr>
        <w:t>Belilos</w:t>
      </w:r>
      <w:r w:rsidRPr="00936978">
        <w:rPr>
          <w:rFonts w:ascii="Arial" w:hAnsi="Arial" w:cs="Arial"/>
          <w:b/>
          <w:i/>
        </w:rPr>
        <w:t xml:space="preserve"> </w:t>
      </w:r>
      <w:r w:rsidRPr="00936978">
        <w:rPr>
          <w:rFonts w:ascii="Arial" w:hAnsi="Arial" w:cs="Arial"/>
          <w:b/>
        </w:rPr>
        <w:t xml:space="preserve">v </w:t>
      </w:r>
      <w:r w:rsidRPr="00936978">
        <w:rPr>
          <w:rFonts w:ascii="Arial" w:hAnsi="Arial" w:cs="Arial"/>
          <w:b/>
          <w:i/>
        </w:rPr>
        <w:t>Switzerland</w:t>
      </w:r>
      <w:r w:rsidRPr="00936978">
        <w:rPr>
          <w:rFonts w:ascii="Arial" w:hAnsi="Arial" w:cs="Arial"/>
          <w:b/>
        </w:rPr>
        <w:t xml:space="preserve"> ...…..</w:t>
      </w:r>
      <w:r w:rsidR="00B90897" w:rsidRPr="00936978">
        <w:rPr>
          <w:rFonts w:ascii="Arial" w:hAnsi="Arial" w:cs="Arial"/>
          <w:b/>
        </w:rPr>
        <w:t>……………………</w:t>
      </w:r>
      <w:r w:rsidR="0047252E">
        <w:rPr>
          <w:rFonts w:ascii="Arial" w:hAnsi="Arial" w:cs="Arial"/>
          <w:b/>
        </w:rPr>
        <w:t xml:space="preserve"> 34</w:t>
      </w:r>
    </w:p>
    <w:p w14:paraId="22E9D4D3" w14:textId="05A9672A" w:rsidR="00594FF5" w:rsidRPr="00936978" w:rsidRDefault="00D37123" w:rsidP="00A82BC2">
      <w:pPr>
        <w:pStyle w:val="ListParagraph"/>
        <w:spacing w:line="480" w:lineRule="auto"/>
        <w:ind w:left="1713"/>
        <w:rPr>
          <w:rFonts w:ascii="Arial" w:hAnsi="Arial" w:cs="Arial"/>
          <w:b/>
        </w:rPr>
      </w:pPr>
      <w:r w:rsidRPr="00936978">
        <w:rPr>
          <w:rFonts w:ascii="Arial" w:hAnsi="Arial" w:cs="Arial"/>
          <w:b/>
        </w:rPr>
        <w:t xml:space="preserve">            3.2.1.2 </w:t>
      </w:r>
      <w:r w:rsidR="00594FF5" w:rsidRPr="00936978">
        <w:rPr>
          <w:rFonts w:ascii="Arial" w:hAnsi="Arial" w:cs="Arial"/>
          <w:b/>
          <w:i/>
        </w:rPr>
        <w:t>Loizidou</w:t>
      </w:r>
      <w:r w:rsidRPr="00936978">
        <w:rPr>
          <w:rFonts w:ascii="Arial" w:hAnsi="Arial" w:cs="Arial"/>
          <w:b/>
          <w:i/>
        </w:rPr>
        <w:t xml:space="preserve"> </w:t>
      </w:r>
      <w:r w:rsidRPr="00936978">
        <w:rPr>
          <w:rFonts w:ascii="Arial" w:hAnsi="Arial" w:cs="Arial"/>
          <w:b/>
        </w:rPr>
        <w:t xml:space="preserve">v </w:t>
      </w:r>
      <w:r w:rsidR="00954F89" w:rsidRPr="00936978">
        <w:rPr>
          <w:rFonts w:ascii="Arial" w:hAnsi="Arial" w:cs="Arial"/>
          <w:b/>
          <w:i/>
        </w:rPr>
        <w:t>Turkey</w:t>
      </w:r>
      <w:r w:rsidR="00954F89" w:rsidRPr="00936978">
        <w:rPr>
          <w:rFonts w:ascii="Arial" w:hAnsi="Arial" w:cs="Arial"/>
          <w:b/>
        </w:rPr>
        <w:t>..</w:t>
      </w:r>
      <w:r w:rsidR="00B90897" w:rsidRPr="00936978">
        <w:rPr>
          <w:rFonts w:ascii="Arial" w:hAnsi="Arial" w:cs="Arial"/>
          <w:b/>
        </w:rPr>
        <w:t>………</w:t>
      </w:r>
      <w:r w:rsidR="001F53CA" w:rsidRPr="00936978">
        <w:rPr>
          <w:rFonts w:ascii="Arial" w:hAnsi="Arial" w:cs="Arial"/>
          <w:b/>
        </w:rPr>
        <w:t>……</w:t>
      </w:r>
      <w:r w:rsidR="0047252E">
        <w:rPr>
          <w:rFonts w:ascii="Arial" w:hAnsi="Arial" w:cs="Arial"/>
          <w:b/>
        </w:rPr>
        <w:t>……………….. 36</w:t>
      </w:r>
    </w:p>
    <w:p w14:paraId="1D6DB56D" w14:textId="2440020E" w:rsidR="00594FF5" w:rsidRPr="00936978" w:rsidRDefault="00594FF5" w:rsidP="00A82BC2">
      <w:pPr>
        <w:pStyle w:val="ListParagraph"/>
        <w:spacing w:line="480" w:lineRule="auto"/>
        <w:ind w:left="1713" w:hanging="295"/>
        <w:rPr>
          <w:rFonts w:ascii="Arial" w:hAnsi="Arial" w:cs="Arial"/>
          <w:b/>
        </w:rPr>
      </w:pPr>
      <w:r w:rsidRPr="00936978">
        <w:rPr>
          <w:rFonts w:ascii="Arial" w:hAnsi="Arial" w:cs="Arial"/>
          <w:b/>
        </w:rPr>
        <w:t>3.2.</w:t>
      </w:r>
      <w:r w:rsidR="00D37123" w:rsidRPr="00936978">
        <w:rPr>
          <w:rFonts w:ascii="Arial" w:hAnsi="Arial" w:cs="Arial"/>
          <w:b/>
        </w:rPr>
        <w:t>2</w:t>
      </w:r>
      <w:r w:rsidRPr="00936978">
        <w:rPr>
          <w:rFonts w:ascii="Arial" w:hAnsi="Arial" w:cs="Arial"/>
          <w:b/>
        </w:rPr>
        <w:t xml:space="preserve">    Input from the ILC Guide 2011</w:t>
      </w:r>
      <w:r w:rsidR="001F53CA" w:rsidRPr="00936978">
        <w:rPr>
          <w:rFonts w:ascii="Arial" w:hAnsi="Arial" w:cs="Arial"/>
          <w:b/>
        </w:rPr>
        <w:t>…………………………</w:t>
      </w:r>
      <w:r w:rsidR="00C74890">
        <w:rPr>
          <w:rFonts w:ascii="Arial" w:hAnsi="Arial" w:cs="Arial"/>
          <w:b/>
        </w:rPr>
        <w:t>… 4</w:t>
      </w:r>
      <w:r w:rsidR="0086178B">
        <w:rPr>
          <w:rFonts w:ascii="Arial" w:hAnsi="Arial" w:cs="Arial"/>
          <w:b/>
        </w:rPr>
        <w:t>1</w:t>
      </w:r>
    </w:p>
    <w:p w14:paraId="3D9AFBF8" w14:textId="4B1FA4DB" w:rsidR="00381CC0" w:rsidRPr="00936978" w:rsidRDefault="00381CC0" w:rsidP="00D01AE5">
      <w:pPr>
        <w:pStyle w:val="ListParagraph"/>
        <w:numPr>
          <w:ilvl w:val="0"/>
          <w:numId w:val="1"/>
        </w:numPr>
        <w:tabs>
          <w:tab w:val="left" w:pos="8080"/>
          <w:tab w:val="left" w:pos="8222"/>
          <w:tab w:val="left" w:pos="8364"/>
        </w:tabs>
        <w:spacing w:line="480" w:lineRule="auto"/>
        <w:ind w:right="185"/>
        <w:rPr>
          <w:rFonts w:ascii="Arial" w:hAnsi="Arial" w:cs="Arial"/>
          <w:b/>
        </w:rPr>
      </w:pPr>
      <w:r w:rsidRPr="00936978">
        <w:rPr>
          <w:rFonts w:ascii="Arial" w:hAnsi="Arial" w:cs="Arial"/>
          <w:b/>
        </w:rPr>
        <w:t xml:space="preserve">Is there a new law of reservations in general international law </w:t>
      </w:r>
      <w:r w:rsidR="00C25381" w:rsidRPr="00936978">
        <w:rPr>
          <w:rFonts w:ascii="Arial" w:hAnsi="Arial" w:cs="Arial"/>
          <w:b/>
        </w:rPr>
        <w:t>that</w:t>
      </w:r>
      <w:r w:rsidRPr="00936978">
        <w:rPr>
          <w:rFonts w:ascii="Arial" w:hAnsi="Arial" w:cs="Arial"/>
          <w:b/>
        </w:rPr>
        <w:t xml:space="preserve"> is based on both the traditional </w:t>
      </w:r>
      <w:r w:rsidR="00C25381" w:rsidRPr="00936978">
        <w:rPr>
          <w:rFonts w:ascii="Arial" w:hAnsi="Arial" w:cs="Arial"/>
          <w:b/>
        </w:rPr>
        <w:t xml:space="preserve">and </w:t>
      </w:r>
      <w:r w:rsidRPr="00936978">
        <w:rPr>
          <w:rFonts w:ascii="Arial" w:hAnsi="Arial" w:cs="Arial"/>
          <w:b/>
        </w:rPr>
        <w:t>human rights approach</w:t>
      </w:r>
      <w:r w:rsidR="00C25381" w:rsidRPr="00936978">
        <w:rPr>
          <w:rFonts w:ascii="Arial" w:hAnsi="Arial" w:cs="Arial"/>
          <w:b/>
        </w:rPr>
        <w:t>es</w:t>
      </w:r>
      <w:r w:rsidRPr="00936978">
        <w:rPr>
          <w:rFonts w:ascii="Arial" w:hAnsi="Arial" w:cs="Arial"/>
          <w:b/>
        </w:rPr>
        <w:t>?</w:t>
      </w:r>
      <w:r w:rsidR="00A134AD" w:rsidRPr="00936978">
        <w:rPr>
          <w:rFonts w:ascii="Arial" w:hAnsi="Arial" w:cs="Arial"/>
          <w:b/>
        </w:rPr>
        <w:t>.........................................................................................</w:t>
      </w:r>
      <w:r w:rsidR="00D01AE5">
        <w:rPr>
          <w:rFonts w:ascii="Arial" w:hAnsi="Arial" w:cs="Arial"/>
          <w:b/>
        </w:rPr>
        <w:t>..</w:t>
      </w:r>
      <w:r w:rsidR="00A134AD" w:rsidRPr="00936978">
        <w:rPr>
          <w:rFonts w:ascii="Arial" w:hAnsi="Arial" w:cs="Arial"/>
          <w:b/>
        </w:rPr>
        <w:t xml:space="preserve">. </w:t>
      </w:r>
      <w:r w:rsidR="00D01AE5">
        <w:rPr>
          <w:rFonts w:ascii="Arial" w:hAnsi="Arial" w:cs="Arial"/>
          <w:b/>
        </w:rPr>
        <w:t>4</w:t>
      </w:r>
      <w:r w:rsidR="00EE0F08">
        <w:rPr>
          <w:rFonts w:ascii="Arial" w:hAnsi="Arial" w:cs="Arial"/>
          <w:b/>
        </w:rPr>
        <w:t>5</w:t>
      </w:r>
    </w:p>
    <w:p w14:paraId="56A312AC" w14:textId="77F52739" w:rsidR="002B567E" w:rsidRPr="00936978" w:rsidRDefault="002B567E" w:rsidP="00A82BC2">
      <w:pPr>
        <w:pStyle w:val="ListParagraph"/>
        <w:numPr>
          <w:ilvl w:val="1"/>
          <w:numId w:val="1"/>
        </w:numPr>
        <w:spacing w:line="480" w:lineRule="auto"/>
        <w:rPr>
          <w:rFonts w:ascii="Arial" w:hAnsi="Arial" w:cs="Arial"/>
          <w:b/>
        </w:rPr>
      </w:pPr>
      <w:r w:rsidRPr="00936978">
        <w:rPr>
          <w:rFonts w:ascii="Arial" w:hAnsi="Arial" w:cs="Arial"/>
          <w:b/>
        </w:rPr>
        <w:t>Is it possible to reconcile the two approaches?</w:t>
      </w:r>
      <w:r w:rsidR="001F53CA" w:rsidRPr="00936978">
        <w:rPr>
          <w:rFonts w:ascii="Arial" w:hAnsi="Arial" w:cs="Arial"/>
          <w:b/>
        </w:rPr>
        <w:t>................</w:t>
      </w:r>
      <w:r w:rsidR="00AA401D">
        <w:rPr>
          <w:rFonts w:ascii="Arial" w:hAnsi="Arial" w:cs="Arial"/>
          <w:b/>
        </w:rPr>
        <w:t>.. 4</w:t>
      </w:r>
      <w:r w:rsidR="00EE0F08">
        <w:rPr>
          <w:rFonts w:ascii="Arial" w:hAnsi="Arial" w:cs="Arial"/>
          <w:b/>
        </w:rPr>
        <w:t>6</w:t>
      </w:r>
    </w:p>
    <w:p w14:paraId="0E045CAC" w14:textId="25239DB5" w:rsidR="000D3FAA" w:rsidRPr="00936978" w:rsidRDefault="000D3FAA" w:rsidP="00A82BC2">
      <w:pPr>
        <w:pStyle w:val="ListParagraph"/>
        <w:numPr>
          <w:ilvl w:val="1"/>
          <w:numId w:val="1"/>
        </w:numPr>
        <w:spacing w:line="480" w:lineRule="auto"/>
        <w:rPr>
          <w:rFonts w:ascii="Arial" w:hAnsi="Arial" w:cs="Arial"/>
          <w:b/>
        </w:rPr>
      </w:pPr>
      <w:r w:rsidRPr="00936978">
        <w:rPr>
          <w:rFonts w:ascii="Arial" w:hAnsi="Arial" w:cs="Arial"/>
          <w:b/>
        </w:rPr>
        <w:t>Has such reconciliation taken place?</w:t>
      </w:r>
      <w:r w:rsidR="001F53CA" w:rsidRPr="00936978">
        <w:rPr>
          <w:rFonts w:ascii="Arial" w:hAnsi="Arial" w:cs="Arial"/>
          <w:b/>
        </w:rPr>
        <w:t>.................................</w:t>
      </w:r>
      <w:r w:rsidR="00AA401D">
        <w:rPr>
          <w:rFonts w:ascii="Arial" w:hAnsi="Arial" w:cs="Arial"/>
          <w:b/>
        </w:rPr>
        <w:t>.. 48</w:t>
      </w:r>
    </w:p>
    <w:p w14:paraId="7DAB1EE9" w14:textId="11290325" w:rsidR="004735DD" w:rsidRPr="00936978" w:rsidRDefault="004735DD" w:rsidP="00A82BC2">
      <w:pPr>
        <w:pStyle w:val="ListParagraph"/>
        <w:numPr>
          <w:ilvl w:val="1"/>
          <w:numId w:val="1"/>
        </w:numPr>
        <w:spacing w:line="480" w:lineRule="auto"/>
        <w:rPr>
          <w:rFonts w:ascii="Arial" w:hAnsi="Arial" w:cs="Arial"/>
          <w:b/>
        </w:rPr>
      </w:pPr>
      <w:r w:rsidRPr="00936978">
        <w:rPr>
          <w:rFonts w:ascii="Arial" w:hAnsi="Arial" w:cs="Arial"/>
          <w:b/>
        </w:rPr>
        <w:t>Fragmentation</w:t>
      </w:r>
      <w:r w:rsidR="001F53CA" w:rsidRPr="00936978">
        <w:rPr>
          <w:rFonts w:ascii="Arial" w:hAnsi="Arial" w:cs="Arial"/>
          <w:b/>
        </w:rPr>
        <w:t>……………………………………………………</w:t>
      </w:r>
      <w:r w:rsidR="00D70B4B">
        <w:rPr>
          <w:rFonts w:ascii="Arial" w:hAnsi="Arial" w:cs="Arial"/>
          <w:b/>
        </w:rPr>
        <w:t>. 54</w:t>
      </w:r>
    </w:p>
    <w:p w14:paraId="10B15CBE" w14:textId="42F1D72F" w:rsidR="00381CC0" w:rsidRPr="00936978" w:rsidRDefault="00381CC0" w:rsidP="00A82BC2">
      <w:pPr>
        <w:pStyle w:val="ListParagraph"/>
        <w:numPr>
          <w:ilvl w:val="0"/>
          <w:numId w:val="1"/>
        </w:numPr>
        <w:spacing w:line="480" w:lineRule="auto"/>
        <w:rPr>
          <w:rFonts w:ascii="Arial" w:hAnsi="Arial" w:cs="Arial"/>
          <w:b/>
        </w:rPr>
      </w:pPr>
      <w:r w:rsidRPr="00936978">
        <w:rPr>
          <w:rFonts w:ascii="Arial" w:hAnsi="Arial" w:cs="Arial"/>
          <w:b/>
        </w:rPr>
        <w:t>Conclusion</w:t>
      </w:r>
      <w:r w:rsidR="00A929C8" w:rsidRPr="00936978">
        <w:rPr>
          <w:rFonts w:ascii="Arial" w:hAnsi="Arial" w:cs="Arial"/>
          <w:b/>
        </w:rPr>
        <w:t>……………………………………………………………………</w:t>
      </w:r>
      <w:r w:rsidR="00D70B4B">
        <w:rPr>
          <w:rFonts w:ascii="Arial" w:hAnsi="Arial" w:cs="Arial"/>
          <w:b/>
        </w:rPr>
        <w:t>.</w:t>
      </w:r>
      <w:r w:rsidR="00A134AD" w:rsidRPr="00936978">
        <w:rPr>
          <w:rFonts w:ascii="Arial" w:hAnsi="Arial" w:cs="Arial"/>
          <w:b/>
        </w:rPr>
        <w:t xml:space="preserve"> </w:t>
      </w:r>
      <w:r w:rsidR="00D70B4B">
        <w:rPr>
          <w:rFonts w:ascii="Arial" w:hAnsi="Arial" w:cs="Arial"/>
          <w:b/>
        </w:rPr>
        <w:t>6</w:t>
      </w:r>
      <w:r w:rsidR="00871A09">
        <w:rPr>
          <w:rFonts w:ascii="Arial" w:hAnsi="Arial" w:cs="Arial"/>
          <w:b/>
        </w:rPr>
        <w:t>3</w:t>
      </w:r>
    </w:p>
    <w:p w14:paraId="2B100414" w14:textId="5B3960FD" w:rsidR="00C73BB4" w:rsidRPr="00936978" w:rsidRDefault="00C73BB4" w:rsidP="00A82BC2">
      <w:pPr>
        <w:pStyle w:val="ListParagraph"/>
        <w:numPr>
          <w:ilvl w:val="0"/>
          <w:numId w:val="1"/>
        </w:numPr>
        <w:spacing w:line="480" w:lineRule="auto"/>
        <w:rPr>
          <w:rFonts w:ascii="Arial" w:hAnsi="Arial" w:cs="Arial"/>
          <w:b/>
        </w:rPr>
      </w:pPr>
      <w:r w:rsidRPr="00936978">
        <w:rPr>
          <w:rFonts w:ascii="Arial" w:hAnsi="Arial" w:cs="Arial"/>
          <w:b/>
        </w:rPr>
        <w:t>Bibliography</w:t>
      </w:r>
      <w:r w:rsidR="00A929C8" w:rsidRPr="00936978">
        <w:rPr>
          <w:rFonts w:ascii="Arial" w:hAnsi="Arial" w:cs="Arial"/>
          <w:b/>
        </w:rPr>
        <w:t>…………………………………………………………………</w:t>
      </w:r>
      <w:r w:rsidR="00A134AD" w:rsidRPr="00936978">
        <w:rPr>
          <w:rFonts w:ascii="Arial" w:hAnsi="Arial" w:cs="Arial"/>
          <w:b/>
        </w:rPr>
        <w:t>.</w:t>
      </w:r>
      <w:r w:rsidR="00D70B4B">
        <w:rPr>
          <w:rFonts w:ascii="Arial" w:hAnsi="Arial" w:cs="Arial"/>
          <w:b/>
        </w:rPr>
        <w:t>.</w:t>
      </w:r>
      <w:r w:rsidR="00A134AD" w:rsidRPr="00936978">
        <w:rPr>
          <w:rFonts w:ascii="Arial" w:hAnsi="Arial" w:cs="Arial"/>
          <w:b/>
        </w:rPr>
        <w:t xml:space="preserve"> </w:t>
      </w:r>
      <w:r w:rsidR="00D70B4B">
        <w:rPr>
          <w:rFonts w:ascii="Arial" w:hAnsi="Arial" w:cs="Arial"/>
          <w:b/>
        </w:rPr>
        <w:t>64</w:t>
      </w:r>
    </w:p>
    <w:p w14:paraId="43B11FAD" w14:textId="77777777" w:rsidR="00A02F5D" w:rsidRDefault="00A02F5D" w:rsidP="00A02F5D">
      <w:pPr>
        <w:spacing w:line="360" w:lineRule="auto"/>
        <w:rPr>
          <w:rFonts w:ascii="Arial" w:hAnsi="Arial" w:cs="Arial"/>
          <w:b/>
        </w:rPr>
      </w:pPr>
    </w:p>
    <w:p w14:paraId="1531630C" w14:textId="77777777" w:rsidR="00A02F5D" w:rsidRDefault="00A02F5D" w:rsidP="00A02F5D">
      <w:pPr>
        <w:spacing w:line="360" w:lineRule="auto"/>
        <w:rPr>
          <w:rFonts w:ascii="Arial" w:hAnsi="Arial" w:cs="Arial"/>
          <w:b/>
        </w:rPr>
      </w:pPr>
    </w:p>
    <w:p w14:paraId="7AF07AA8" w14:textId="77777777" w:rsidR="00997FBB" w:rsidRPr="00A97BEE" w:rsidRDefault="00997FBB" w:rsidP="00A97BEE">
      <w:pPr>
        <w:spacing w:line="360" w:lineRule="auto"/>
        <w:rPr>
          <w:rFonts w:ascii="Arial" w:hAnsi="Arial" w:cs="Arial"/>
          <w:b/>
          <w:color w:val="FF0000"/>
        </w:rPr>
      </w:pPr>
    </w:p>
    <w:p w14:paraId="5B47909F" w14:textId="1A504896" w:rsidR="0013663B" w:rsidRPr="00A34D67" w:rsidRDefault="0013663B" w:rsidP="00401E4C">
      <w:pPr>
        <w:pStyle w:val="ListParagraph"/>
        <w:numPr>
          <w:ilvl w:val="0"/>
          <w:numId w:val="2"/>
        </w:numPr>
        <w:spacing w:line="480" w:lineRule="auto"/>
        <w:rPr>
          <w:rFonts w:ascii="Arial" w:hAnsi="Arial" w:cs="Arial"/>
          <w:b/>
          <w:sz w:val="24"/>
          <w:szCs w:val="24"/>
        </w:rPr>
      </w:pPr>
      <w:r w:rsidRPr="00A34D67">
        <w:rPr>
          <w:rFonts w:ascii="Arial" w:hAnsi="Arial" w:cs="Arial"/>
          <w:b/>
          <w:sz w:val="24"/>
          <w:szCs w:val="24"/>
        </w:rPr>
        <w:t>Introduction</w:t>
      </w:r>
      <w:r w:rsidR="00D4532E" w:rsidRPr="00A34D67">
        <w:rPr>
          <w:rFonts w:ascii="Arial" w:hAnsi="Arial" w:cs="Arial"/>
          <w:b/>
          <w:sz w:val="24"/>
          <w:szCs w:val="24"/>
        </w:rPr>
        <w:t xml:space="preserve"> </w:t>
      </w:r>
    </w:p>
    <w:p w14:paraId="4700A475" w14:textId="2FF3A872" w:rsidR="00E51770" w:rsidRPr="00A34D67" w:rsidRDefault="009109AE" w:rsidP="00401E4C">
      <w:pPr>
        <w:spacing w:line="480" w:lineRule="auto"/>
        <w:rPr>
          <w:rFonts w:ascii="Arial" w:hAnsi="Arial" w:cs="Arial"/>
          <w:sz w:val="24"/>
          <w:szCs w:val="24"/>
        </w:rPr>
      </w:pPr>
      <w:r w:rsidRPr="00A34D67">
        <w:rPr>
          <w:rFonts w:ascii="Arial" w:hAnsi="Arial" w:cs="Arial"/>
          <w:sz w:val="24"/>
          <w:szCs w:val="24"/>
        </w:rPr>
        <w:t xml:space="preserve">In international law, </w:t>
      </w:r>
      <w:r w:rsidR="0013663B" w:rsidRPr="00A34D67">
        <w:rPr>
          <w:rFonts w:ascii="Arial" w:hAnsi="Arial" w:cs="Arial"/>
          <w:sz w:val="24"/>
          <w:szCs w:val="24"/>
        </w:rPr>
        <w:t>i</w:t>
      </w:r>
      <w:r w:rsidR="00407C4B" w:rsidRPr="00A34D67">
        <w:rPr>
          <w:rFonts w:ascii="Arial" w:hAnsi="Arial" w:cs="Arial"/>
          <w:sz w:val="24"/>
          <w:szCs w:val="24"/>
        </w:rPr>
        <w:t xml:space="preserve">t is unrealistic to expect a consensus from all of the negotiating states party to a multilateral treaty on every provision contained within. Consequently, international law </w:t>
      </w:r>
      <w:r w:rsidR="00E33830" w:rsidRPr="00A34D67">
        <w:rPr>
          <w:rFonts w:ascii="Arial" w:hAnsi="Arial" w:cs="Arial"/>
          <w:sz w:val="24"/>
          <w:szCs w:val="24"/>
        </w:rPr>
        <w:t xml:space="preserve">compromises by </w:t>
      </w:r>
      <w:r w:rsidR="00407C4B" w:rsidRPr="00A34D67">
        <w:rPr>
          <w:rFonts w:ascii="Arial" w:hAnsi="Arial" w:cs="Arial"/>
          <w:sz w:val="24"/>
          <w:szCs w:val="24"/>
        </w:rPr>
        <w:t>allow</w:t>
      </w:r>
      <w:r w:rsidR="00E33830" w:rsidRPr="00A34D67">
        <w:rPr>
          <w:rFonts w:ascii="Arial" w:hAnsi="Arial" w:cs="Arial"/>
          <w:sz w:val="24"/>
          <w:szCs w:val="24"/>
        </w:rPr>
        <w:t>ing</w:t>
      </w:r>
      <w:r w:rsidR="00407C4B" w:rsidRPr="00A34D67">
        <w:rPr>
          <w:rFonts w:ascii="Arial" w:hAnsi="Arial" w:cs="Arial"/>
          <w:sz w:val="24"/>
          <w:szCs w:val="24"/>
        </w:rPr>
        <w:t xml:space="preserve"> states to be party to a treaty without being subject to all of its provisions thereof. These abstentions are referred to as ‘reservations’ to treaties, the validity and effect of which are outlined in the Vienna Convention</w:t>
      </w:r>
      <w:r w:rsidR="008364C5" w:rsidRPr="00A34D67">
        <w:rPr>
          <w:rFonts w:ascii="Arial" w:hAnsi="Arial" w:cs="Arial"/>
          <w:sz w:val="24"/>
          <w:szCs w:val="24"/>
        </w:rPr>
        <w:t xml:space="preserve"> on the Law of Treaties</w:t>
      </w:r>
      <w:r w:rsidR="00407C4B" w:rsidRPr="00A34D67">
        <w:rPr>
          <w:rFonts w:ascii="Arial" w:hAnsi="Arial" w:cs="Arial"/>
          <w:sz w:val="24"/>
          <w:szCs w:val="24"/>
        </w:rPr>
        <w:t>.</w:t>
      </w:r>
      <w:r w:rsidR="007F5159" w:rsidRPr="00A34D67">
        <w:rPr>
          <w:rStyle w:val="FootnoteReference"/>
          <w:rFonts w:ascii="Arial" w:hAnsi="Arial" w:cs="Arial"/>
          <w:sz w:val="24"/>
          <w:szCs w:val="24"/>
        </w:rPr>
        <w:footnoteReference w:id="1"/>
      </w:r>
      <w:r w:rsidR="00407C4B" w:rsidRPr="00A34D67">
        <w:rPr>
          <w:rFonts w:ascii="Arial" w:hAnsi="Arial" w:cs="Arial"/>
          <w:sz w:val="24"/>
          <w:szCs w:val="24"/>
        </w:rPr>
        <w:t xml:space="preserve"> </w:t>
      </w:r>
      <w:r w:rsidR="009746B7" w:rsidRPr="00A34D67">
        <w:rPr>
          <w:rFonts w:ascii="Arial" w:hAnsi="Arial" w:cs="Arial"/>
          <w:sz w:val="24"/>
          <w:szCs w:val="24"/>
        </w:rPr>
        <w:t xml:space="preserve">The purpose of reservations is to </w:t>
      </w:r>
      <w:r w:rsidR="00E56868" w:rsidRPr="00A34D67">
        <w:rPr>
          <w:rFonts w:ascii="Arial" w:hAnsi="Arial" w:cs="Arial"/>
          <w:sz w:val="24"/>
          <w:szCs w:val="24"/>
        </w:rPr>
        <w:t>enable</w:t>
      </w:r>
      <w:r w:rsidR="009746B7" w:rsidRPr="00A34D67">
        <w:rPr>
          <w:rFonts w:ascii="Arial" w:hAnsi="Arial" w:cs="Arial"/>
          <w:sz w:val="24"/>
          <w:szCs w:val="24"/>
        </w:rPr>
        <w:t xml:space="preserve"> the ratification of treaties</w:t>
      </w:r>
      <w:r w:rsidR="00CE008B" w:rsidRPr="00A34D67">
        <w:rPr>
          <w:rFonts w:ascii="Arial" w:hAnsi="Arial" w:cs="Arial"/>
          <w:sz w:val="24"/>
          <w:szCs w:val="24"/>
        </w:rPr>
        <w:t>,</w:t>
      </w:r>
      <w:r w:rsidR="00CE008B" w:rsidRPr="00A34D67">
        <w:rPr>
          <w:rStyle w:val="FootnoteReference"/>
          <w:rFonts w:ascii="Arial" w:hAnsi="Arial" w:cs="Arial"/>
          <w:sz w:val="24"/>
          <w:szCs w:val="24"/>
        </w:rPr>
        <w:footnoteReference w:id="2"/>
      </w:r>
      <w:r w:rsidR="00CE008B" w:rsidRPr="00A34D67">
        <w:rPr>
          <w:rFonts w:ascii="Arial" w:hAnsi="Arial" w:cs="Arial"/>
          <w:sz w:val="24"/>
          <w:szCs w:val="24"/>
        </w:rPr>
        <w:t xml:space="preserve"> whilst also maintaining an opt-out process for states party to a treaty that disagree with ‘the application of certain provisions’</w:t>
      </w:r>
      <w:r w:rsidR="009746B7" w:rsidRPr="00A34D67">
        <w:rPr>
          <w:rFonts w:ascii="Arial" w:hAnsi="Arial" w:cs="Arial"/>
          <w:sz w:val="24"/>
          <w:szCs w:val="24"/>
        </w:rPr>
        <w:t>.</w:t>
      </w:r>
      <w:r w:rsidR="001C735F" w:rsidRPr="00A34D67">
        <w:rPr>
          <w:rStyle w:val="FootnoteReference"/>
          <w:rFonts w:ascii="Arial" w:hAnsi="Arial" w:cs="Arial"/>
          <w:sz w:val="24"/>
          <w:szCs w:val="24"/>
        </w:rPr>
        <w:footnoteReference w:id="3"/>
      </w:r>
      <w:r w:rsidR="009746B7" w:rsidRPr="00A34D67">
        <w:rPr>
          <w:rFonts w:ascii="Arial" w:hAnsi="Arial" w:cs="Arial"/>
          <w:sz w:val="24"/>
          <w:szCs w:val="24"/>
        </w:rPr>
        <w:t xml:space="preserve"> </w:t>
      </w:r>
    </w:p>
    <w:p w14:paraId="140D777A" w14:textId="77777777" w:rsidR="00674426" w:rsidRDefault="00733D7B" w:rsidP="00401E4C">
      <w:pPr>
        <w:spacing w:line="480" w:lineRule="auto"/>
        <w:rPr>
          <w:rFonts w:ascii="Arial" w:hAnsi="Arial" w:cs="Arial"/>
          <w:color w:val="FF0000"/>
          <w:sz w:val="24"/>
          <w:szCs w:val="24"/>
        </w:rPr>
      </w:pPr>
      <w:r w:rsidRPr="00A34D67">
        <w:rPr>
          <w:rFonts w:ascii="Arial" w:hAnsi="Arial" w:cs="Arial"/>
          <w:sz w:val="24"/>
          <w:szCs w:val="24"/>
        </w:rPr>
        <w:t>Reservations, which ought to be distinguished from interpretative declarations,</w:t>
      </w:r>
      <w:r w:rsidRPr="00A34D67">
        <w:rPr>
          <w:rStyle w:val="FootnoteReference"/>
          <w:rFonts w:ascii="Arial" w:hAnsi="Arial" w:cs="Arial"/>
          <w:sz w:val="24"/>
          <w:szCs w:val="24"/>
        </w:rPr>
        <w:footnoteReference w:id="4"/>
      </w:r>
      <w:r w:rsidR="009746B7" w:rsidRPr="00A34D67">
        <w:rPr>
          <w:rFonts w:ascii="Arial" w:hAnsi="Arial" w:cs="Arial"/>
          <w:sz w:val="24"/>
          <w:szCs w:val="24"/>
        </w:rPr>
        <w:t xml:space="preserve"> are ‘unilateral statements’ that are formulated either by signature, ratification, accession or approval.</w:t>
      </w:r>
      <w:r w:rsidR="009746B7" w:rsidRPr="00A34D67">
        <w:rPr>
          <w:rStyle w:val="FootnoteReference"/>
          <w:rFonts w:ascii="Arial" w:hAnsi="Arial" w:cs="Arial"/>
          <w:sz w:val="24"/>
          <w:szCs w:val="24"/>
        </w:rPr>
        <w:footnoteReference w:id="5"/>
      </w:r>
      <w:r w:rsidR="009746B7" w:rsidRPr="00A34D67">
        <w:rPr>
          <w:rFonts w:ascii="Arial" w:hAnsi="Arial" w:cs="Arial"/>
          <w:sz w:val="24"/>
          <w:szCs w:val="24"/>
        </w:rPr>
        <w:t xml:space="preserve"> </w:t>
      </w:r>
      <w:r w:rsidR="00E51770" w:rsidRPr="00A34D67">
        <w:rPr>
          <w:rFonts w:ascii="Arial" w:hAnsi="Arial" w:cs="Arial"/>
          <w:sz w:val="24"/>
          <w:szCs w:val="24"/>
        </w:rPr>
        <w:t>They have no fixed structure and often tend to take the form of declarations ‘made in connection with processes for becoming a party to a treaty’.</w:t>
      </w:r>
      <w:r w:rsidR="00E51770" w:rsidRPr="00A34D67">
        <w:rPr>
          <w:rStyle w:val="FootnoteReference"/>
          <w:rFonts w:ascii="Arial" w:hAnsi="Arial" w:cs="Arial"/>
          <w:sz w:val="24"/>
          <w:szCs w:val="24"/>
        </w:rPr>
        <w:footnoteReference w:id="6"/>
      </w:r>
      <w:r w:rsidR="00047769" w:rsidRPr="00A34D67">
        <w:rPr>
          <w:rFonts w:ascii="Arial" w:hAnsi="Arial" w:cs="Arial"/>
          <w:sz w:val="24"/>
          <w:szCs w:val="24"/>
        </w:rPr>
        <w:t xml:space="preserve"> </w:t>
      </w:r>
      <w:r w:rsidR="00E839E3" w:rsidRPr="00A34D67">
        <w:rPr>
          <w:rFonts w:ascii="Arial" w:hAnsi="Arial" w:cs="Arial"/>
          <w:sz w:val="24"/>
          <w:szCs w:val="24"/>
        </w:rPr>
        <w:t xml:space="preserve">Before the Vienna Convention, </w:t>
      </w:r>
      <w:r w:rsidR="00D317B9" w:rsidRPr="00A34D67">
        <w:rPr>
          <w:rFonts w:ascii="Arial" w:hAnsi="Arial" w:cs="Arial"/>
          <w:sz w:val="24"/>
          <w:szCs w:val="24"/>
        </w:rPr>
        <w:t>there was considerable international debate concerning the effect of a reservation on a state’s consent to a multilateral treaty. The League of Nations took the view that when a reserving state to a multilateral treaty made a reservation, it ‘had to be accepted by all the other parties to the treaty’.</w:t>
      </w:r>
      <w:r w:rsidR="0095518C" w:rsidRPr="00A34D67">
        <w:rPr>
          <w:rStyle w:val="FootnoteReference"/>
          <w:rFonts w:ascii="Arial" w:hAnsi="Arial" w:cs="Arial"/>
          <w:sz w:val="24"/>
          <w:szCs w:val="24"/>
        </w:rPr>
        <w:footnoteReference w:id="7"/>
      </w:r>
      <w:r w:rsidR="00F725C9" w:rsidRPr="00A34D67">
        <w:rPr>
          <w:rFonts w:ascii="Arial" w:hAnsi="Arial" w:cs="Arial"/>
          <w:sz w:val="24"/>
          <w:szCs w:val="24"/>
        </w:rPr>
        <w:t xml:space="preserve"> </w:t>
      </w:r>
      <w:r w:rsidR="005D2C98" w:rsidRPr="00A34D67">
        <w:rPr>
          <w:rFonts w:ascii="Arial" w:hAnsi="Arial" w:cs="Arial"/>
          <w:sz w:val="24"/>
          <w:szCs w:val="24"/>
        </w:rPr>
        <w:t xml:space="preserve">In 1950, the </w:t>
      </w:r>
      <w:r w:rsidR="000F5B1E">
        <w:rPr>
          <w:rFonts w:ascii="Arial" w:hAnsi="Arial" w:cs="Arial"/>
          <w:sz w:val="24"/>
          <w:szCs w:val="24"/>
        </w:rPr>
        <w:t xml:space="preserve">United Nations </w:t>
      </w:r>
      <w:r w:rsidR="005D2C98" w:rsidRPr="00A34D67">
        <w:rPr>
          <w:rFonts w:ascii="Arial" w:hAnsi="Arial" w:cs="Arial"/>
          <w:sz w:val="24"/>
          <w:szCs w:val="24"/>
        </w:rPr>
        <w:t xml:space="preserve">General Assembly requested an Advisory Opinion from the </w:t>
      </w:r>
      <w:r w:rsidR="00A130B9">
        <w:rPr>
          <w:rFonts w:ascii="Arial" w:hAnsi="Arial" w:cs="Arial"/>
          <w:sz w:val="24"/>
          <w:szCs w:val="24"/>
        </w:rPr>
        <w:t>International Court of Justice (</w:t>
      </w:r>
      <w:r w:rsidR="005D2C98" w:rsidRPr="00A34D67">
        <w:rPr>
          <w:rFonts w:ascii="Arial" w:hAnsi="Arial" w:cs="Arial"/>
          <w:sz w:val="24"/>
          <w:szCs w:val="24"/>
        </w:rPr>
        <w:t>ICJ</w:t>
      </w:r>
      <w:r w:rsidR="00A130B9">
        <w:rPr>
          <w:rFonts w:ascii="Arial" w:hAnsi="Arial" w:cs="Arial"/>
          <w:sz w:val="24"/>
          <w:szCs w:val="24"/>
        </w:rPr>
        <w:t>)</w:t>
      </w:r>
      <w:r w:rsidR="005D2C98" w:rsidRPr="00A34D67">
        <w:rPr>
          <w:rFonts w:ascii="Arial" w:hAnsi="Arial" w:cs="Arial"/>
          <w:sz w:val="24"/>
          <w:szCs w:val="24"/>
        </w:rPr>
        <w:t xml:space="preserve"> regarding the legal effect of reservations made to the Convention on the Prevention and Punishment of the Crime of Genocide 1948.</w:t>
      </w:r>
      <w:r w:rsidR="00620364" w:rsidRPr="00A34D67">
        <w:rPr>
          <w:rStyle w:val="FootnoteReference"/>
          <w:rFonts w:ascii="Arial" w:hAnsi="Arial" w:cs="Arial"/>
          <w:sz w:val="24"/>
          <w:szCs w:val="24"/>
        </w:rPr>
        <w:footnoteReference w:id="8"/>
      </w:r>
      <w:r w:rsidR="00620364" w:rsidRPr="00A34D67">
        <w:rPr>
          <w:rFonts w:ascii="Arial" w:hAnsi="Arial" w:cs="Arial"/>
          <w:sz w:val="24"/>
          <w:szCs w:val="24"/>
        </w:rPr>
        <w:t xml:space="preserve"> The ICJ </w:t>
      </w:r>
      <w:r w:rsidR="009D3B23" w:rsidRPr="00A34D67">
        <w:rPr>
          <w:rFonts w:ascii="Arial" w:hAnsi="Arial" w:cs="Arial"/>
          <w:sz w:val="24"/>
          <w:szCs w:val="24"/>
        </w:rPr>
        <w:t>responded</w:t>
      </w:r>
      <w:r w:rsidR="0071336F">
        <w:rPr>
          <w:rFonts w:ascii="Arial" w:hAnsi="Arial" w:cs="Arial"/>
          <w:sz w:val="24"/>
          <w:szCs w:val="24"/>
        </w:rPr>
        <w:t xml:space="preserve"> with its landmark Advisory Opinion on</w:t>
      </w:r>
      <w:r w:rsidR="00620364" w:rsidRPr="00A34D67">
        <w:rPr>
          <w:rFonts w:ascii="Arial" w:hAnsi="Arial" w:cs="Arial"/>
          <w:sz w:val="24"/>
          <w:szCs w:val="24"/>
        </w:rPr>
        <w:t xml:space="preserve"> </w:t>
      </w:r>
      <w:r w:rsidR="00620364" w:rsidRPr="00A34D67">
        <w:rPr>
          <w:rFonts w:ascii="Arial" w:hAnsi="Arial" w:cs="Arial"/>
          <w:i/>
          <w:sz w:val="24"/>
          <w:szCs w:val="24"/>
        </w:rPr>
        <w:t>Reservations to the Convention on the Prevention and Punishment of the Crime of Genocide</w:t>
      </w:r>
      <w:r w:rsidR="007F678E">
        <w:rPr>
          <w:rFonts w:ascii="Arial" w:hAnsi="Arial" w:cs="Arial"/>
          <w:sz w:val="24"/>
          <w:szCs w:val="24"/>
        </w:rPr>
        <w:t>,</w:t>
      </w:r>
      <w:r w:rsidR="00AC3A89" w:rsidRPr="00A34D67">
        <w:rPr>
          <w:rStyle w:val="FootnoteReference"/>
          <w:rFonts w:ascii="Arial" w:hAnsi="Arial" w:cs="Arial"/>
          <w:sz w:val="24"/>
          <w:szCs w:val="24"/>
        </w:rPr>
        <w:footnoteReference w:id="9"/>
      </w:r>
      <w:r w:rsidR="00620364" w:rsidRPr="00A34D67">
        <w:rPr>
          <w:rFonts w:ascii="Arial" w:hAnsi="Arial" w:cs="Arial"/>
          <w:sz w:val="24"/>
          <w:szCs w:val="24"/>
        </w:rPr>
        <w:t xml:space="preserve"> </w:t>
      </w:r>
      <w:r w:rsidR="007F678E" w:rsidRPr="00984A31">
        <w:rPr>
          <w:rFonts w:ascii="Arial" w:hAnsi="Arial" w:cs="Arial"/>
          <w:sz w:val="24"/>
          <w:szCs w:val="24"/>
        </w:rPr>
        <w:t xml:space="preserve">the core </w:t>
      </w:r>
      <w:r w:rsidR="00984A31" w:rsidRPr="00984A31">
        <w:rPr>
          <w:rFonts w:ascii="Arial" w:hAnsi="Arial" w:cs="Arial"/>
          <w:sz w:val="24"/>
          <w:szCs w:val="24"/>
        </w:rPr>
        <w:t>characteristics</w:t>
      </w:r>
      <w:r w:rsidR="007F678E" w:rsidRPr="00984A31">
        <w:rPr>
          <w:rFonts w:ascii="Arial" w:hAnsi="Arial" w:cs="Arial"/>
          <w:sz w:val="24"/>
          <w:szCs w:val="24"/>
        </w:rPr>
        <w:t xml:space="preserve"> of which were that:</w:t>
      </w:r>
      <w:r w:rsidR="007F678E">
        <w:rPr>
          <w:rFonts w:ascii="Arial" w:hAnsi="Arial" w:cs="Arial"/>
          <w:color w:val="FF0000"/>
          <w:sz w:val="24"/>
          <w:szCs w:val="24"/>
        </w:rPr>
        <w:t xml:space="preserve"> </w:t>
      </w:r>
    </w:p>
    <w:p w14:paraId="7736D09C" w14:textId="51C351DC" w:rsidR="009F1861" w:rsidRPr="009B0F5C" w:rsidRDefault="007F678E" w:rsidP="00674426">
      <w:pPr>
        <w:spacing w:line="480" w:lineRule="auto"/>
        <w:ind w:left="709" w:right="752"/>
        <w:rPr>
          <w:rFonts w:ascii="Arial" w:hAnsi="Arial" w:cs="Arial"/>
          <w:sz w:val="24"/>
          <w:szCs w:val="24"/>
        </w:rPr>
      </w:pPr>
      <w:r w:rsidRPr="009B0F5C">
        <w:rPr>
          <w:rFonts w:ascii="Arial" w:hAnsi="Arial" w:cs="Arial"/>
          <w:sz w:val="24"/>
          <w:szCs w:val="24"/>
        </w:rPr>
        <w:t>‘A State which has made and</w:t>
      </w:r>
      <w:r w:rsidR="00674426" w:rsidRPr="009B0F5C">
        <w:rPr>
          <w:rFonts w:ascii="Arial" w:hAnsi="Arial" w:cs="Arial"/>
          <w:sz w:val="24"/>
          <w:szCs w:val="24"/>
        </w:rPr>
        <w:t xml:space="preserve"> maintained a reservation which has been objected to by one or more of the parties to the Convention but not by others, can be regarded as being party to the Convention if the reservation is compatible with the object and purpose of the Convention; otherwise, that State cannot be regarded as being a party to the Convention’.</w:t>
      </w:r>
      <w:r w:rsidR="00674426" w:rsidRPr="009B0F5C">
        <w:rPr>
          <w:rStyle w:val="FootnoteReference"/>
          <w:rFonts w:ascii="Arial" w:hAnsi="Arial" w:cs="Arial"/>
          <w:sz w:val="24"/>
          <w:szCs w:val="24"/>
        </w:rPr>
        <w:footnoteReference w:id="10"/>
      </w:r>
      <w:r w:rsidRPr="009B0F5C">
        <w:rPr>
          <w:rFonts w:ascii="Arial" w:hAnsi="Arial" w:cs="Arial"/>
          <w:sz w:val="24"/>
          <w:szCs w:val="24"/>
        </w:rPr>
        <w:t xml:space="preserve"> </w:t>
      </w:r>
      <w:r w:rsidR="007A159A" w:rsidRPr="009B0F5C">
        <w:rPr>
          <w:rFonts w:ascii="Arial" w:hAnsi="Arial" w:cs="Arial"/>
          <w:sz w:val="24"/>
          <w:szCs w:val="24"/>
        </w:rPr>
        <w:t xml:space="preserve"> </w:t>
      </w:r>
    </w:p>
    <w:p w14:paraId="0EBADC85" w14:textId="207F031F" w:rsidR="0054516D" w:rsidRPr="00A34D67" w:rsidRDefault="0071336F" w:rsidP="00401E4C">
      <w:pPr>
        <w:spacing w:line="480" w:lineRule="auto"/>
        <w:rPr>
          <w:rFonts w:ascii="Arial" w:hAnsi="Arial" w:cs="Arial"/>
          <w:color w:val="FF0000"/>
          <w:sz w:val="24"/>
          <w:szCs w:val="24"/>
        </w:rPr>
      </w:pPr>
      <w:r>
        <w:rPr>
          <w:rFonts w:ascii="Arial" w:hAnsi="Arial" w:cs="Arial"/>
          <w:sz w:val="24"/>
          <w:szCs w:val="24"/>
        </w:rPr>
        <w:t>Following this</w:t>
      </w:r>
      <w:r w:rsidR="00117EFF" w:rsidRPr="00A34D67">
        <w:rPr>
          <w:rFonts w:ascii="Arial" w:hAnsi="Arial" w:cs="Arial"/>
          <w:sz w:val="24"/>
          <w:szCs w:val="24"/>
        </w:rPr>
        <w:t xml:space="preserve"> judg</w:t>
      </w:r>
      <w:r>
        <w:rPr>
          <w:rFonts w:ascii="Arial" w:hAnsi="Arial" w:cs="Arial"/>
          <w:sz w:val="24"/>
          <w:szCs w:val="24"/>
        </w:rPr>
        <w:t>ment</w:t>
      </w:r>
      <w:r w:rsidR="00117EFF" w:rsidRPr="00A34D67">
        <w:rPr>
          <w:rFonts w:ascii="Arial" w:hAnsi="Arial" w:cs="Arial"/>
          <w:sz w:val="24"/>
          <w:szCs w:val="24"/>
        </w:rPr>
        <w:t xml:space="preserve">, the law of reservations </w:t>
      </w:r>
      <w:r w:rsidR="00477898">
        <w:rPr>
          <w:rFonts w:ascii="Arial" w:hAnsi="Arial" w:cs="Arial"/>
          <w:sz w:val="24"/>
          <w:szCs w:val="24"/>
        </w:rPr>
        <w:t>set out</w:t>
      </w:r>
      <w:r w:rsidR="00117EFF" w:rsidRPr="00A34D67">
        <w:rPr>
          <w:rFonts w:ascii="Arial" w:hAnsi="Arial" w:cs="Arial"/>
          <w:sz w:val="24"/>
          <w:szCs w:val="24"/>
        </w:rPr>
        <w:t xml:space="preserve"> in the Vienna Convention was thought to be </w:t>
      </w:r>
      <w:r w:rsidR="007E0738" w:rsidRPr="00A34D67">
        <w:rPr>
          <w:rFonts w:ascii="Arial" w:hAnsi="Arial" w:cs="Arial"/>
          <w:sz w:val="24"/>
          <w:szCs w:val="24"/>
        </w:rPr>
        <w:t>‘</w:t>
      </w:r>
      <w:r w:rsidR="00117EFF" w:rsidRPr="00A34D67">
        <w:rPr>
          <w:rFonts w:ascii="Arial" w:hAnsi="Arial" w:cs="Arial"/>
          <w:sz w:val="24"/>
          <w:szCs w:val="24"/>
        </w:rPr>
        <w:t>comprehensive</w:t>
      </w:r>
      <w:r w:rsidR="007E0738" w:rsidRPr="00A34D67">
        <w:rPr>
          <w:rFonts w:ascii="Arial" w:hAnsi="Arial" w:cs="Arial"/>
          <w:sz w:val="24"/>
          <w:szCs w:val="24"/>
        </w:rPr>
        <w:t>’</w:t>
      </w:r>
      <w:r w:rsidR="00117EFF" w:rsidRPr="00A34D67">
        <w:rPr>
          <w:rFonts w:ascii="Arial" w:hAnsi="Arial" w:cs="Arial"/>
          <w:sz w:val="24"/>
          <w:szCs w:val="24"/>
        </w:rPr>
        <w:t>.</w:t>
      </w:r>
      <w:r w:rsidR="006E6E0E" w:rsidRPr="00A34D67">
        <w:rPr>
          <w:rStyle w:val="FootnoteReference"/>
          <w:rFonts w:ascii="Arial" w:hAnsi="Arial" w:cs="Arial"/>
          <w:sz w:val="24"/>
          <w:szCs w:val="24"/>
        </w:rPr>
        <w:footnoteReference w:id="11"/>
      </w:r>
      <w:r w:rsidR="00117EFF" w:rsidRPr="00A34D67">
        <w:rPr>
          <w:rFonts w:ascii="Arial" w:hAnsi="Arial" w:cs="Arial"/>
          <w:sz w:val="24"/>
          <w:szCs w:val="24"/>
        </w:rPr>
        <w:t xml:space="preserve"> </w:t>
      </w:r>
      <w:r w:rsidR="00B41931" w:rsidRPr="00A34D67">
        <w:rPr>
          <w:rFonts w:ascii="Arial" w:hAnsi="Arial" w:cs="Arial"/>
          <w:sz w:val="24"/>
          <w:szCs w:val="24"/>
        </w:rPr>
        <w:t xml:space="preserve">But by the late 1980s, it was obvious that there were significant gaps in the regime regarding the compatibility of reservations to human rights treaties with </w:t>
      </w:r>
      <w:r w:rsidR="00F318BC" w:rsidRPr="00A34D67">
        <w:rPr>
          <w:rFonts w:ascii="Arial" w:hAnsi="Arial" w:cs="Arial"/>
          <w:sz w:val="24"/>
          <w:szCs w:val="24"/>
        </w:rPr>
        <w:t>their ‘object and purpose’.</w:t>
      </w:r>
      <w:r w:rsidR="00CA3D25" w:rsidRPr="00A34D67">
        <w:rPr>
          <w:rStyle w:val="FootnoteReference"/>
          <w:rFonts w:ascii="Arial" w:hAnsi="Arial" w:cs="Arial"/>
          <w:sz w:val="24"/>
          <w:szCs w:val="24"/>
        </w:rPr>
        <w:footnoteReference w:id="12"/>
      </w:r>
      <w:r w:rsidR="00F318BC" w:rsidRPr="00A34D67">
        <w:rPr>
          <w:rFonts w:ascii="Arial" w:hAnsi="Arial" w:cs="Arial"/>
          <w:sz w:val="24"/>
          <w:szCs w:val="24"/>
        </w:rPr>
        <w:t xml:space="preserve"> </w:t>
      </w:r>
      <w:r w:rsidR="00F725C9" w:rsidRPr="00A34D67">
        <w:rPr>
          <w:rFonts w:ascii="Arial" w:hAnsi="Arial" w:cs="Arial"/>
          <w:sz w:val="24"/>
          <w:szCs w:val="24"/>
        </w:rPr>
        <w:t xml:space="preserve">During the 1990s, however, there were significant developments in international human rights law that transformed the way in which reservations to human rights treaties were </w:t>
      </w:r>
      <w:r w:rsidR="005E3E1E" w:rsidRPr="00A34D67">
        <w:rPr>
          <w:rFonts w:ascii="Arial" w:hAnsi="Arial" w:cs="Arial"/>
          <w:sz w:val="24"/>
          <w:szCs w:val="24"/>
        </w:rPr>
        <w:t xml:space="preserve">viewed </w:t>
      </w:r>
      <w:r w:rsidR="005E3E1E" w:rsidRPr="00FD5CF8">
        <w:rPr>
          <w:rFonts w:ascii="Arial" w:hAnsi="Arial" w:cs="Arial"/>
          <w:sz w:val="24"/>
          <w:szCs w:val="24"/>
        </w:rPr>
        <w:t xml:space="preserve">and </w:t>
      </w:r>
      <w:r w:rsidR="00F725C9" w:rsidRPr="00FD5CF8">
        <w:rPr>
          <w:rFonts w:ascii="Arial" w:hAnsi="Arial" w:cs="Arial"/>
          <w:sz w:val="24"/>
          <w:szCs w:val="24"/>
        </w:rPr>
        <w:t>formulated.</w:t>
      </w:r>
      <w:r w:rsidR="00F725C9" w:rsidRPr="00A34D67">
        <w:rPr>
          <w:rFonts w:ascii="Arial" w:hAnsi="Arial" w:cs="Arial"/>
          <w:sz w:val="24"/>
          <w:szCs w:val="24"/>
        </w:rPr>
        <w:t xml:space="preserve"> </w:t>
      </w:r>
      <w:r w:rsidR="005E3E1E" w:rsidRPr="00A34D67">
        <w:rPr>
          <w:rFonts w:ascii="Arial" w:hAnsi="Arial" w:cs="Arial"/>
          <w:sz w:val="24"/>
          <w:szCs w:val="24"/>
        </w:rPr>
        <w:t>The International Law Commission (ILC) placed reservations to treaties on their agenda in 1993</w:t>
      </w:r>
      <w:r w:rsidR="0054516D" w:rsidRPr="00A34D67">
        <w:rPr>
          <w:rFonts w:ascii="Arial" w:hAnsi="Arial" w:cs="Arial"/>
          <w:sz w:val="24"/>
          <w:szCs w:val="24"/>
        </w:rPr>
        <w:t xml:space="preserve">. The research carried out by the ILC’s Special Rapporteur Alain Pellet culminated in the ILC’s </w:t>
      </w:r>
      <w:r w:rsidR="00C50CD8" w:rsidRPr="00A34D67">
        <w:rPr>
          <w:rFonts w:ascii="Arial" w:hAnsi="Arial" w:cs="Arial"/>
          <w:sz w:val="24"/>
          <w:szCs w:val="24"/>
        </w:rPr>
        <w:t xml:space="preserve">landmark </w:t>
      </w:r>
      <w:r w:rsidR="0054516D" w:rsidRPr="00A34D67">
        <w:rPr>
          <w:rFonts w:ascii="Arial" w:hAnsi="Arial" w:cs="Arial"/>
          <w:sz w:val="24"/>
          <w:szCs w:val="24"/>
        </w:rPr>
        <w:t xml:space="preserve">2011 Guide to Practice on Reservations to Treaties. </w:t>
      </w:r>
    </w:p>
    <w:p w14:paraId="5EE7C619" w14:textId="56A8E4D1" w:rsidR="00F725C9" w:rsidRDefault="0054516D" w:rsidP="00401E4C">
      <w:pPr>
        <w:spacing w:line="480" w:lineRule="auto"/>
        <w:rPr>
          <w:rFonts w:ascii="Arial" w:hAnsi="Arial" w:cs="Arial"/>
          <w:color w:val="008000"/>
          <w:sz w:val="24"/>
          <w:szCs w:val="24"/>
        </w:rPr>
      </w:pPr>
      <w:r w:rsidRPr="00A34D67">
        <w:rPr>
          <w:rFonts w:ascii="Arial" w:hAnsi="Arial" w:cs="Arial"/>
          <w:sz w:val="24"/>
          <w:szCs w:val="24"/>
        </w:rPr>
        <w:t xml:space="preserve">Various legal scholars, </w:t>
      </w:r>
      <w:r w:rsidR="00E12BA5">
        <w:rPr>
          <w:rFonts w:ascii="Arial" w:hAnsi="Arial" w:cs="Arial"/>
          <w:sz w:val="24"/>
          <w:szCs w:val="24"/>
        </w:rPr>
        <w:t>most notably</w:t>
      </w:r>
      <w:r w:rsidRPr="00A34D67">
        <w:rPr>
          <w:rFonts w:ascii="Arial" w:hAnsi="Arial" w:cs="Arial"/>
          <w:sz w:val="24"/>
          <w:szCs w:val="24"/>
        </w:rPr>
        <w:t xml:space="preserve"> Sir Nigel Rodley, have begun to consider whether there are now two reservations regimes that exist in international law. First, </w:t>
      </w:r>
      <w:r w:rsidR="0023437A" w:rsidRPr="00A34D67">
        <w:rPr>
          <w:rFonts w:ascii="Arial" w:hAnsi="Arial" w:cs="Arial"/>
          <w:sz w:val="24"/>
          <w:szCs w:val="24"/>
        </w:rPr>
        <w:t>one</w:t>
      </w:r>
      <w:r w:rsidR="00C50CD8" w:rsidRPr="00A34D67">
        <w:rPr>
          <w:rFonts w:ascii="Arial" w:hAnsi="Arial" w:cs="Arial"/>
          <w:sz w:val="24"/>
          <w:szCs w:val="24"/>
        </w:rPr>
        <w:t xml:space="preserve"> that ratifies </w:t>
      </w:r>
      <w:r w:rsidRPr="00A34D67">
        <w:rPr>
          <w:rFonts w:ascii="Arial" w:hAnsi="Arial" w:cs="Arial"/>
          <w:sz w:val="24"/>
          <w:szCs w:val="24"/>
        </w:rPr>
        <w:t>the provisions of the Vienna Conv</w:t>
      </w:r>
      <w:r w:rsidR="0023437A" w:rsidRPr="00A34D67">
        <w:rPr>
          <w:rFonts w:ascii="Arial" w:hAnsi="Arial" w:cs="Arial"/>
          <w:sz w:val="24"/>
          <w:szCs w:val="24"/>
        </w:rPr>
        <w:t>ention concerning reservations. A</w:t>
      </w:r>
      <w:r w:rsidRPr="00A34D67">
        <w:rPr>
          <w:rFonts w:ascii="Arial" w:hAnsi="Arial" w:cs="Arial"/>
          <w:sz w:val="24"/>
          <w:szCs w:val="24"/>
        </w:rPr>
        <w:t>nd second, an emerging area of human rights law that accounts for the judgment</w:t>
      </w:r>
      <w:r w:rsidR="00BD7A8E" w:rsidRPr="00A34D67">
        <w:rPr>
          <w:rFonts w:ascii="Arial" w:hAnsi="Arial" w:cs="Arial"/>
          <w:sz w:val="24"/>
          <w:szCs w:val="24"/>
        </w:rPr>
        <w:t>s</w:t>
      </w:r>
      <w:r w:rsidRPr="00A34D67">
        <w:rPr>
          <w:rFonts w:ascii="Arial" w:hAnsi="Arial" w:cs="Arial"/>
          <w:sz w:val="24"/>
          <w:szCs w:val="24"/>
        </w:rPr>
        <w:t xml:space="preserve"> of the</w:t>
      </w:r>
      <w:r w:rsidR="002A06F0">
        <w:rPr>
          <w:rFonts w:ascii="Arial" w:hAnsi="Arial" w:cs="Arial"/>
          <w:sz w:val="24"/>
          <w:szCs w:val="24"/>
        </w:rPr>
        <w:t xml:space="preserve"> European Court of Human Rights (ECtHR) and the</w:t>
      </w:r>
      <w:r w:rsidRPr="00A34D67">
        <w:rPr>
          <w:rFonts w:ascii="Arial" w:hAnsi="Arial" w:cs="Arial"/>
          <w:sz w:val="24"/>
          <w:szCs w:val="24"/>
        </w:rPr>
        <w:t xml:space="preserve"> </w:t>
      </w:r>
      <w:r w:rsidR="00897CEC">
        <w:rPr>
          <w:rFonts w:ascii="Arial" w:hAnsi="Arial" w:cs="Arial"/>
          <w:sz w:val="24"/>
          <w:szCs w:val="24"/>
        </w:rPr>
        <w:t>Human Rights Co</w:t>
      </w:r>
      <w:bookmarkStart w:id="0" w:name="_GoBack"/>
      <w:bookmarkEnd w:id="0"/>
      <w:r w:rsidR="00897CEC">
        <w:rPr>
          <w:rFonts w:ascii="Arial" w:hAnsi="Arial" w:cs="Arial"/>
          <w:sz w:val="24"/>
          <w:szCs w:val="24"/>
        </w:rPr>
        <w:t>mmittee (</w:t>
      </w:r>
      <w:r w:rsidRPr="00A34D67">
        <w:rPr>
          <w:rFonts w:ascii="Arial" w:hAnsi="Arial" w:cs="Arial"/>
          <w:sz w:val="24"/>
          <w:szCs w:val="24"/>
        </w:rPr>
        <w:t>HRC</w:t>
      </w:r>
      <w:r w:rsidR="00897CEC">
        <w:rPr>
          <w:rFonts w:ascii="Arial" w:hAnsi="Arial" w:cs="Arial"/>
          <w:sz w:val="24"/>
          <w:szCs w:val="24"/>
        </w:rPr>
        <w:t>)</w:t>
      </w:r>
      <w:r w:rsidR="00C50CD8" w:rsidRPr="00A34D67">
        <w:rPr>
          <w:rFonts w:ascii="Arial" w:hAnsi="Arial" w:cs="Arial"/>
          <w:sz w:val="24"/>
          <w:szCs w:val="24"/>
        </w:rPr>
        <w:t xml:space="preserve">, which rejects the </w:t>
      </w:r>
      <w:r w:rsidR="001471DE" w:rsidRPr="00A34D67">
        <w:rPr>
          <w:rFonts w:ascii="Arial" w:hAnsi="Arial" w:cs="Arial"/>
          <w:sz w:val="24"/>
          <w:szCs w:val="24"/>
        </w:rPr>
        <w:t>deficiencies</w:t>
      </w:r>
      <w:r w:rsidR="00C50CD8" w:rsidRPr="00A34D67">
        <w:rPr>
          <w:rFonts w:ascii="Arial" w:hAnsi="Arial" w:cs="Arial"/>
          <w:sz w:val="24"/>
          <w:szCs w:val="24"/>
        </w:rPr>
        <w:t xml:space="preserve"> of the </w:t>
      </w:r>
      <w:r w:rsidR="00103B0B" w:rsidRPr="00A34D67">
        <w:rPr>
          <w:rFonts w:ascii="Arial" w:hAnsi="Arial" w:cs="Arial"/>
          <w:sz w:val="24"/>
          <w:szCs w:val="24"/>
        </w:rPr>
        <w:t>out</w:t>
      </w:r>
      <w:r w:rsidR="0048216C" w:rsidRPr="00A34D67">
        <w:rPr>
          <w:rFonts w:ascii="Arial" w:hAnsi="Arial" w:cs="Arial"/>
          <w:sz w:val="24"/>
          <w:szCs w:val="24"/>
        </w:rPr>
        <w:t xml:space="preserve">dated </w:t>
      </w:r>
      <w:r w:rsidR="00C50CD8" w:rsidRPr="00A34D67">
        <w:rPr>
          <w:rFonts w:ascii="Arial" w:hAnsi="Arial" w:cs="Arial"/>
          <w:sz w:val="24"/>
          <w:szCs w:val="24"/>
        </w:rPr>
        <w:t xml:space="preserve">Convention. </w:t>
      </w:r>
      <w:r w:rsidRPr="00A34D67">
        <w:rPr>
          <w:rFonts w:ascii="Arial" w:hAnsi="Arial" w:cs="Arial"/>
          <w:sz w:val="24"/>
          <w:szCs w:val="24"/>
        </w:rPr>
        <w:t xml:space="preserve">This dissertation will explore the various methods of drafting reservations to </w:t>
      </w:r>
      <w:r w:rsidR="00D16DA4" w:rsidRPr="00A34D67">
        <w:rPr>
          <w:rFonts w:ascii="Arial" w:hAnsi="Arial" w:cs="Arial"/>
          <w:sz w:val="24"/>
          <w:szCs w:val="24"/>
        </w:rPr>
        <w:t xml:space="preserve">human rights </w:t>
      </w:r>
      <w:r w:rsidRPr="00A34D67">
        <w:rPr>
          <w:rFonts w:ascii="Arial" w:hAnsi="Arial" w:cs="Arial"/>
          <w:sz w:val="24"/>
          <w:szCs w:val="24"/>
        </w:rPr>
        <w:t>treaties</w:t>
      </w:r>
      <w:r w:rsidR="00B25F00">
        <w:rPr>
          <w:rFonts w:ascii="Arial" w:hAnsi="Arial" w:cs="Arial"/>
          <w:sz w:val="24"/>
          <w:szCs w:val="24"/>
        </w:rPr>
        <w:t>;</w:t>
      </w:r>
      <w:r w:rsidRPr="00A34D67">
        <w:rPr>
          <w:rFonts w:ascii="Arial" w:hAnsi="Arial" w:cs="Arial"/>
          <w:sz w:val="24"/>
          <w:szCs w:val="24"/>
        </w:rPr>
        <w:t xml:space="preserve"> whether the ILC has acknowledged both of the primary systems</w:t>
      </w:r>
      <w:r w:rsidR="00D16DA4" w:rsidRPr="00A34D67">
        <w:rPr>
          <w:rFonts w:ascii="Arial" w:hAnsi="Arial" w:cs="Arial"/>
          <w:sz w:val="24"/>
          <w:szCs w:val="24"/>
        </w:rPr>
        <w:t xml:space="preserve"> for doing so</w:t>
      </w:r>
      <w:r w:rsidRPr="00A34D67">
        <w:rPr>
          <w:rFonts w:ascii="Arial" w:hAnsi="Arial" w:cs="Arial"/>
          <w:sz w:val="24"/>
          <w:szCs w:val="24"/>
        </w:rPr>
        <w:t xml:space="preserve"> and also come to a conclusion as to whether invalid reservations to human rights treaties are </w:t>
      </w:r>
      <w:r w:rsidRPr="00E903C2">
        <w:rPr>
          <w:rFonts w:ascii="Arial" w:hAnsi="Arial" w:cs="Arial"/>
          <w:sz w:val="24"/>
          <w:szCs w:val="24"/>
        </w:rPr>
        <w:t>severable. My thesis will ultimately determine whether the recent advancements in human rights law in the 1990s have merged the two previous approaches into one regime concerning reservations to human rights treaties</w:t>
      </w:r>
      <w:r w:rsidR="00132D00" w:rsidRPr="00E903C2">
        <w:rPr>
          <w:rFonts w:ascii="Arial" w:hAnsi="Arial" w:cs="Arial"/>
          <w:sz w:val="24"/>
          <w:szCs w:val="24"/>
        </w:rPr>
        <w:t xml:space="preserve"> under customary international law</w:t>
      </w:r>
      <w:r w:rsidRPr="00E903C2">
        <w:rPr>
          <w:rFonts w:ascii="Arial" w:hAnsi="Arial" w:cs="Arial"/>
          <w:sz w:val="24"/>
          <w:szCs w:val="24"/>
        </w:rPr>
        <w:t>.</w:t>
      </w:r>
      <w:r w:rsidRPr="00132D00">
        <w:rPr>
          <w:rFonts w:ascii="Arial" w:hAnsi="Arial" w:cs="Arial"/>
          <w:color w:val="008000"/>
          <w:sz w:val="24"/>
          <w:szCs w:val="24"/>
        </w:rPr>
        <w:t xml:space="preserve"> </w:t>
      </w:r>
    </w:p>
    <w:p w14:paraId="636C05EF" w14:textId="77777777" w:rsidR="00FD4384" w:rsidRDefault="00FD4384" w:rsidP="00401E4C">
      <w:pPr>
        <w:spacing w:line="480" w:lineRule="auto"/>
        <w:rPr>
          <w:rFonts w:ascii="Arial" w:hAnsi="Arial" w:cs="Arial"/>
          <w:color w:val="008000"/>
          <w:sz w:val="24"/>
          <w:szCs w:val="24"/>
        </w:rPr>
      </w:pPr>
    </w:p>
    <w:p w14:paraId="422C9836" w14:textId="77777777" w:rsidR="00FD4384" w:rsidRPr="00A34D67" w:rsidRDefault="00FD4384" w:rsidP="00401E4C">
      <w:pPr>
        <w:spacing w:line="480" w:lineRule="auto"/>
        <w:rPr>
          <w:rFonts w:ascii="Arial" w:hAnsi="Arial" w:cs="Arial"/>
          <w:b/>
          <w:sz w:val="24"/>
          <w:szCs w:val="24"/>
        </w:rPr>
      </w:pPr>
    </w:p>
    <w:p w14:paraId="0FAB3315" w14:textId="3E8D54B3" w:rsidR="00AF6265" w:rsidRPr="00AF6265" w:rsidRDefault="007D7C04" w:rsidP="00401E4C">
      <w:pPr>
        <w:pStyle w:val="ListParagraph"/>
        <w:numPr>
          <w:ilvl w:val="0"/>
          <w:numId w:val="2"/>
        </w:numPr>
        <w:spacing w:line="480" w:lineRule="auto"/>
        <w:rPr>
          <w:rFonts w:ascii="Arial" w:hAnsi="Arial" w:cs="Arial"/>
          <w:b/>
          <w:sz w:val="24"/>
          <w:szCs w:val="24"/>
        </w:rPr>
      </w:pPr>
      <w:r w:rsidRPr="00A34D67">
        <w:rPr>
          <w:rFonts w:ascii="Arial" w:hAnsi="Arial" w:cs="Arial"/>
          <w:b/>
          <w:sz w:val="24"/>
          <w:szCs w:val="24"/>
        </w:rPr>
        <w:t>The Traditional Position of General International Law</w:t>
      </w:r>
    </w:p>
    <w:p w14:paraId="55626BD1" w14:textId="67E62B0D" w:rsidR="00B233E3" w:rsidRDefault="00AF6265" w:rsidP="00401E4C">
      <w:pPr>
        <w:spacing w:line="480" w:lineRule="auto"/>
        <w:rPr>
          <w:rFonts w:ascii="Arial" w:hAnsi="Arial" w:cs="Arial"/>
          <w:sz w:val="24"/>
          <w:szCs w:val="24"/>
        </w:rPr>
      </w:pPr>
      <w:r>
        <w:rPr>
          <w:rFonts w:ascii="Arial" w:hAnsi="Arial" w:cs="Arial"/>
          <w:sz w:val="24"/>
          <w:szCs w:val="24"/>
        </w:rPr>
        <w:t xml:space="preserve">Under the rules of </w:t>
      </w:r>
      <w:r w:rsidR="00E31ADC">
        <w:rPr>
          <w:rFonts w:ascii="Arial" w:hAnsi="Arial" w:cs="Arial"/>
          <w:sz w:val="24"/>
          <w:szCs w:val="24"/>
        </w:rPr>
        <w:t>g</w:t>
      </w:r>
      <w:r>
        <w:rPr>
          <w:rFonts w:ascii="Arial" w:hAnsi="Arial" w:cs="Arial"/>
          <w:sz w:val="24"/>
          <w:szCs w:val="24"/>
        </w:rPr>
        <w:t xml:space="preserve">eneral </w:t>
      </w:r>
      <w:r w:rsidR="00E31ADC">
        <w:rPr>
          <w:rFonts w:ascii="Arial" w:hAnsi="Arial" w:cs="Arial"/>
          <w:sz w:val="24"/>
          <w:szCs w:val="24"/>
        </w:rPr>
        <w:t>i</w:t>
      </w:r>
      <w:r>
        <w:rPr>
          <w:rFonts w:ascii="Arial" w:hAnsi="Arial" w:cs="Arial"/>
          <w:sz w:val="24"/>
          <w:szCs w:val="24"/>
        </w:rPr>
        <w:t xml:space="preserve">nternational </w:t>
      </w:r>
      <w:r w:rsidR="00E31ADC">
        <w:rPr>
          <w:rFonts w:ascii="Arial" w:hAnsi="Arial" w:cs="Arial"/>
          <w:sz w:val="24"/>
          <w:szCs w:val="24"/>
        </w:rPr>
        <w:t>l</w:t>
      </w:r>
      <w:r>
        <w:rPr>
          <w:rFonts w:ascii="Arial" w:hAnsi="Arial" w:cs="Arial"/>
          <w:sz w:val="24"/>
          <w:szCs w:val="24"/>
        </w:rPr>
        <w:t>aw, states are permitted to make reservations to treaties</w:t>
      </w:r>
      <w:r w:rsidR="00AD20BB">
        <w:rPr>
          <w:rFonts w:ascii="Arial" w:hAnsi="Arial" w:cs="Arial"/>
          <w:sz w:val="24"/>
          <w:szCs w:val="24"/>
        </w:rPr>
        <w:t xml:space="preserve"> in order to opt out of aspects of a treaty that they do not wish to be bound by</w:t>
      </w:r>
      <w:r>
        <w:rPr>
          <w:rFonts w:ascii="Arial" w:hAnsi="Arial" w:cs="Arial"/>
          <w:sz w:val="24"/>
          <w:szCs w:val="24"/>
        </w:rPr>
        <w:t>.</w:t>
      </w:r>
      <w:r w:rsidR="001821F0">
        <w:rPr>
          <w:rFonts w:ascii="Arial" w:hAnsi="Arial" w:cs="Arial"/>
          <w:sz w:val="24"/>
          <w:szCs w:val="24"/>
        </w:rPr>
        <w:t xml:space="preserve"> Historically, the main instrument for doing so was the Vienna Convention on the Law </w:t>
      </w:r>
      <w:r w:rsidR="006944A2">
        <w:rPr>
          <w:rFonts w:ascii="Arial" w:hAnsi="Arial" w:cs="Arial"/>
          <w:sz w:val="24"/>
          <w:szCs w:val="24"/>
        </w:rPr>
        <w:t>of Treaties 1969</w:t>
      </w:r>
      <w:r w:rsidR="001821F0">
        <w:rPr>
          <w:rFonts w:ascii="Arial" w:hAnsi="Arial" w:cs="Arial"/>
          <w:sz w:val="24"/>
          <w:szCs w:val="24"/>
        </w:rPr>
        <w:t xml:space="preserve">. However, prior to the creation of the </w:t>
      </w:r>
      <w:r w:rsidR="006944A2">
        <w:rPr>
          <w:rFonts w:ascii="Arial" w:hAnsi="Arial" w:cs="Arial"/>
          <w:sz w:val="24"/>
          <w:szCs w:val="24"/>
        </w:rPr>
        <w:t>C</w:t>
      </w:r>
      <w:r w:rsidR="001821F0">
        <w:rPr>
          <w:rFonts w:ascii="Arial" w:hAnsi="Arial" w:cs="Arial"/>
          <w:sz w:val="24"/>
          <w:szCs w:val="24"/>
        </w:rPr>
        <w:t xml:space="preserve">onvention there were several different </w:t>
      </w:r>
      <w:r w:rsidR="00441E68">
        <w:rPr>
          <w:rFonts w:ascii="Arial" w:hAnsi="Arial" w:cs="Arial"/>
          <w:sz w:val="24"/>
          <w:szCs w:val="24"/>
        </w:rPr>
        <w:t xml:space="preserve">implementation </w:t>
      </w:r>
      <w:r w:rsidR="001821F0">
        <w:rPr>
          <w:rFonts w:ascii="Arial" w:hAnsi="Arial" w:cs="Arial"/>
          <w:sz w:val="24"/>
          <w:szCs w:val="24"/>
        </w:rPr>
        <w:t>methods of making reservations to treaties.</w:t>
      </w:r>
      <w:r>
        <w:rPr>
          <w:rFonts w:ascii="Arial" w:hAnsi="Arial" w:cs="Arial"/>
          <w:sz w:val="24"/>
          <w:szCs w:val="24"/>
        </w:rPr>
        <w:t xml:space="preserve"> </w:t>
      </w:r>
      <w:r w:rsidR="00B233E3" w:rsidRPr="00A34D67">
        <w:rPr>
          <w:rFonts w:ascii="Arial" w:hAnsi="Arial" w:cs="Arial"/>
          <w:sz w:val="24"/>
          <w:szCs w:val="24"/>
        </w:rPr>
        <w:t xml:space="preserve">This chapter will address the traditional principles and legislation of general international law in relation to reservations to treaties. </w:t>
      </w:r>
    </w:p>
    <w:p w14:paraId="784F8449" w14:textId="24C73092" w:rsidR="00861A16" w:rsidRPr="00521881" w:rsidRDefault="00210B0A" w:rsidP="00401E4C">
      <w:pPr>
        <w:spacing w:line="480" w:lineRule="auto"/>
        <w:ind w:left="993"/>
        <w:rPr>
          <w:rFonts w:ascii="Arial" w:hAnsi="Arial" w:cs="Arial"/>
          <w:b/>
          <w:sz w:val="24"/>
          <w:szCs w:val="24"/>
          <w:lang w:val="en-US"/>
        </w:rPr>
      </w:pPr>
      <w:r w:rsidRPr="00521881">
        <w:rPr>
          <w:rFonts w:ascii="Arial" w:hAnsi="Arial" w:cs="Arial"/>
          <w:b/>
          <w:sz w:val="24"/>
          <w:szCs w:val="24"/>
          <w:lang w:val="en-US"/>
        </w:rPr>
        <w:t xml:space="preserve">2.1    </w:t>
      </w:r>
      <w:r w:rsidR="00861A16" w:rsidRPr="00521881">
        <w:rPr>
          <w:rFonts w:ascii="Arial" w:hAnsi="Arial" w:cs="Arial"/>
          <w:b/>
          <w:sz w:val="24"/>
          <w:szCs w:val="24"/>
          <w:lang w:val="en-US"/>
        </w:rPr>
        <w:t xml:space="preserve">Presumed </w:t>
      </w:r>
      <w:r w:rsidR="00897344">
        <w:rPr>
          <w:rFonts w:ascii="Arial" w:hAnsi="Arial" w:cs="Arial"/>
          <w:b/>
          <w:sz w:val="24"/>
          <w:szCs w:val="24"/>
          <w:lang w:val="en-US"/>
        </w:rPr>
        <w:t>U</w:t>
      </w:r>
      <w:r w:rsidR="006916D5" w:rsidRPr="00521881">
        <w:rPr>
          <w:rFonts w:ascii="Arial" w:hAnsi="Arial" w:cs="Arial"/>
          <w:b/>
          <w:sz w:val="24"/>
          <w:szCs w:val="24"/>
          <w:lang w:val="en-US"/>
        </w:rPr>
        <w:t>nanimous</w:t>
      </w:r>
      <w:r w:rsidR="00861A16" w:rsidRPr="00521881">
        <w:rPr>
          <w:rFonts w:ascii="Arial" w:hAnsi="Arial" w:cs="Arial"/>
          <w:b/>
          <w:sz w:val="24"/>
          <w:szCs w:val="24"/>
          <w:lang w:val="en-US"/>
        </w:rPr>
        <w:t xml:space="preserve"> State Consent </w:t>
      </w:r>
    </w:p>
    <w:p w14:paraId="37BF4139" w14:textId="51AAFE9E" w:rsidR="005A00F7" w:rsidRPr="00A34D67" w:rsidRDefault="00476570" w:rsidP="00401E4C">
      <w:pPr>
        <w:spacing w:line="480" w:lineRule="auto"/>
        <w:rPr>
          <w:rFonts w:ascii="Arial" w:hAnsi="Arial" w:cs="Arial"/>
          <w:color w:val="FF0000"/>
          <w:sz w:val="24"/>
          <w:szCs w:val="24"/>
          <w:lang w:val="en-US"/>
        </w:rPr>
      </w:pPr>
      <w:r>
        <w:rPr>
          <w:rFonts w:ascii="Arial" w:hAnsi="Arial" w:cs="Arial"/>
          <w:sz w:val="24"/>
          <w:szCs w:val="24"/>
          <w:lang w:val="en-US"/>
        </w:rPr>
        <w:t>One</w:t>
      </w:r>
      <w:r w:rsidR="005A00F7" w:rsidRPr="00A34D67">
        <w:rPr>
          <w:rFonts w:ascii="Arial" w:hAnsi="Arial" w:cs="Arial"/>
          <w:sz w:val="24"/>
          <w:szCs w:val="24"/>
          <w:lang w:val="en-US"/>
        </w:rPr>
        <w:t xml:space="preserve"> </w:t>
      </w:r>
      <w:r w:rsidR="005A00F7">
        <w:rPr>
          <w:rFonts w:ascii="Arial" w:hAnsi="Arial" w:cs="Arial"/>
          <w:sz w:val="24"/>
          <w:szCs w:val="24"/>
          <w:lang w:val="en-US"/>
        </w:rPr>
        <w:t xml:space="preserve">frequently </w:t>
      </w:r>
      <w:r w:rsidR="005A00F7" w:rsidRPr="00A34D67">
        <w:rPr>
          <w:rFonts w:ascii="Arial" w:hAnsi="Arial" w:cs="Arial"/>
          <w:sz w:val="24"/>
          <w:szCs w:val="24"/>
          <w:lang w:val="en-US"/>
        </w:rPr>
        <w:t xml:space="preserve">mentioned perspective </w:t>
      </w:r>
      <w:r w:rsidR="005A00F7">
        <w:rPr>
          <w:rFonts w:ascii="Arial" w:hAnsi="Arial" w:cs="Arial"/>
          <w:sz w:val="24"/>
          <w:szCs w:val="24"/>
          <w:lang w:val="en-US"/>
        </w:rPr>
        <w:t>claims</w:t>
      </w:r>
      <w:r w:rsidR="005A00F7" w:rsidRPr="00A34D67">
        <w:rPr>
          <w:rFonts w:ascii="Arial" w:hAnsi="Arial" w:cs="Arial"/>
          <w:sz w:val="24"/>
          <w:szCs w:val="24"/>
          <w:lang w:val="en-US"/>
        </w:rPr>
        <w:t xml:space="preserve"> </w:t>
      </w:r>
      <w:r w:rsidR="001F29EC">
        <w:rPr>
          <w:rFonts w:ascii="Arial" w:hAnsi="Arial" w:cs="Arial"/>
          <w:sz w:val="24"/>
          <w:szCs w:val="24"/>
          <w:lang w:val="en-US"/>
        </w:rPr>
        <w:t>that there is a pres</w:t>
      </w:r>
      <w:r w:rsidR="005A00F7" w:rsidRPr="00A34D67">
        <w:rPr>
          <w:rFonts w:ascii="Arial" w:hAnsi="Arial" w:cs="Arial"/>
          <w:sz w:val="24"/>
          <w:szCs w:val="24"/>
          <w:lang w:val="en-US"/>
        </w:rPr>
        <w:t>umption that a reserving state has agreed to the review of its proposed reservation by other states.</w:t>
      </w:r>
      <w:r w:rsidR="00B77F5C" w:rsidRPr="00A34D67">
        <w:rPr>
          <w:rStyle w:val="FootnoteReference"/>
          <w:rFonts w:ascii="Arial" w:hAnsi="Arial" w:cs="Arial"/>
          <w:sz w:val="24"/>
          <w:szCs w:val="24"/>
          <w:lang w:val="en-US"/>
        </w:rPr>
        <w:footnoteReference w:id="13"/>
      </w:r>
      <w:r w:rsidR="005A00F7" w:rsidRPr="00A34D67">
        <w:rPr>
          <w:rFonts w:ascii="Arial" w:hAnsi="Arial" w:cs="Arial"/>
          <w:color w:val="FF0000"/>
          <w:sz w:val="24"/>
          <w:szCs w:val="24"/>
          <w:lang w:val="en-US"/>
        </w:rPr>
        <w:t xml:space="preserve"> </w:t>
      </w:r>
      <w:r w:rsidR="00417432" w:rsidRPr="00A34D67">
        <w:rPr>
          <w:rFonts w:ascii="Arial" w:hAnsi="Arial" w:cs="Arial"/>
          <w:sz w:val="24"/>
          <w:szCs w:val="24"/>
          <w:lang w:val="en-US"/>
        </w:rPr>
        <w:t>Prior to</w:t>
      </w:r>
      <w:r w:rsidR="00460CF1" w:rsidRPr="00A34D67">
        <w:rPr>
          <w:rFonts w:ascii="Arial" w:hAnsi="Arial" w:cs="Arial"/>
          <w:sz w:val="24"/>
          <w:szCs w:val="24"/>
          <w:lang w:val="en-US"/>
        </w:rPr>
        <w:t xml:space="preserve"> the Vienna Convention in 1969,</w:t>
      </w:r>
      <w:r w:rsidR="00417432" w:rsidRPr="00A34D67">
        <w:rPr>
          <w:rFonts w:ascii="Arial" w:hAnsi="Arial" w:cs="Arial"/>
          <w:sz w:val="24"/>
          <w:szCs w:val="24"/>
          <w:lang w:val="en-US"/>
        </w:rPr>
        <w:t xml:space="preserve"> the old method of making reservations to treaties merely allowed unanimity principles </w:t>
      </w:r>
      <w:r w:rsidR="00460CF1" w:rsidRPr="00A34D67">
        <w:rPr>
          <w:rFonts w:ascii="Arial" w:hAnsi="Arial" w:cs="Arial"/>
          <w:sz w:val="24"/>
          <w:szCs w:val="24"/>
          <w:lang w:val="en-US"/>
        </w:rPr>
        <w:t xml:space="preserve">to </w:t>
      </w:r>
      <w:r w:rsidR="00B54CA1" w:rsidRPr="00A34D67">
        <w:rPr>
          <w:rFonts w:ascii="Arial" w:hAnsi="Arial" w:cs="Arial"/>
          <w:sz w:val="24"/>
          <w:szCs w:val="24"/>
          <w:lang w:val="en-US"/>
        </w:rPr>
        <w:t>regulate</w:t>
      </w:r>
      <w:r w:rsidR="00460CF1" w:rsidRPr="00A34D67">
        <w:rPr>
          <w:rFonts w:ascii="Arial" w:hAnsi="Arial" w:cs="Arial"/>
          <w:sz w:val="24"/>
          <w:szCs w:val="24"/>
          <w:lang w:val="en-US"/>
        </w:rPr>
        <w:t xml:space="preserve"> </w:t>
      </w:r>
      <w:r w:rsidR="008E31F0" w:rsidRPr="00A34D67">
        <w:rPr>
          <w:rFonts w:ascii="Arial" w:hAnsi="Arial" w:cs="Arial"/>
          <w:sz w:val="24"/>
          <w:szCs w:val="24"/>
          <w:lang w:val="en-US"/>
        </w:rPr>
        <w:t xml:space="preserve">the </w:t>
      </w:r>
      <w:r w:rsidR="00B54CA1" w:rsidRPr="00A34D67">
        <w:rPr>
          <w:rFonts w:ascii="Arial" w:hAnsi="Arial" w:cs="Arial"/>
          <w:sz w:val="24"/>
          <w:szCs w:val="24"/>
          <w:lang w:val="en-US"/>
        </w:rPr>
        <w:t>consequences</w:t>
      </w:r>
      <w:r w:rsidR="008E31F0" w:rsidRPr="00A34D67">
        <w:rPr>
          <w:rFonts w:ascii="Arial" w:hAnsi="Arial" w:cs="Arial"/>
          <w:sz w:val="24"/>
          <w:szCs w:val="24"/>
          <w:lang w:val="en-US"/>
        </w:rPr>
        <w:t xml:space="preserve"> of unilateral reservations </w:t>
      </w:r>
      <w:r w:rsidR="00B54CA1" w:rsidRPr="00A34D67">
        <w:rPr>
          <w:rFonts w:ascii="Arial" w:hAnsi="Arial" w:cs="Arial"/>
          <w:sz w:val="24"/>
          <w:szCs w:val="24"/>
          <w:lang w:val="en-US"/>
        </w:rPr>
        <w:t>made during</w:t>
      </w:r>
      <w:r w:rsidR="008E31F0" w:rsidRPr="00A34D67">
        <w:rPr>
          <w:rFonts w:ascii="Arial" w:hAnsi="Arial" w:cs="Arial"/>
          <w:sz w:val="24"/>
          <w:szCs w:val="24"/>
          <w:lang w:val="en-US"/>
        </w:rPr>
        <w:t xml:space="preserve"> treaty accession and ratification. </w:t>
      </w:r>
      <w:r w:rsidR="005A00F7" w:rsidRPr="00A34D67">
        <w:rPr>
          <w:rFonts w:ascii="Arial" w:hAnsi="Arial" w:cs="Arial"/>
          <w:sz w:val="24"/>
          <w:szCs w:val="24"/>
          <w:lang w:val="en-US"/>
        </w:rPr>
        <w:t>Under such circumstances,</w:t>
      </w:r>
      <w:r w:rsidR="005A00F7" w:rsidRPr="00A34D67">
        <w:rPr>
          <w:rFonts w:ascii="Arial" w:hAnsi="Arial" w:cs="Arial"/>
          <w:color w:val="FF0000"/>
          <w:sz w:val="24"/>
          <w:szCs w:val="24"/>
          <w:lang w:val="en-US"/>
        </w:rPr>
        <w:t xml:space="preserve"> </w:t>
      </w:r>
      <w:r w:rsidR="005A00F7" w:rsidRPr="00A34D67">
        <w:rPr>
          <w:rFonts w:ascii="Arial" w:hAnsi="Arial" w:cs="Arial"/>
          <w:sz w:val="24"/>
          <w:szCs w:val="24"/>
          <w:lang w:val="en-US"/>
        </w:rPr>
        <w:t>the reserving state may</w:t>
      </w:r>
      <w:r w:rsidR="005A00F7" w:rsidRPr="00A34D67">
        <w:rPr>
          <w:rFonts w:ascii="Arial" w:hAnsi="Arial" w:cs="Arial"/>
          <w:color w:val="FF0000"/>
          <w:sz w:val="24"/>
          <w:szCs w:val="24"/>
          <w:lang w:val="en-US"/>
        </w:rPr>
        <w:t xml:space="preserve"> </w:t>
      </w:r>
      <w:r w:rsidR="005A00F7" w:rsidRPr="00A34D67">
        <w:rPr>
          <w:rFonts w:ascii="Arial" w:hAnsi="Arial" w:cs="Arial"/>
          <w:sz w:val="24"/>
          <w:szCs w:val="24"/>
          <w:lang w:val="en-US"/>
        </w:rPr>
        <w:t>also implicitly and knowingly consent to take the risk</w:t>
      </w:r>
      <w:r w:rsidR="005A00F7" w:rsidRPr="00A34D67">
        <w:rPr>
          <w:rFonts w:ascii="Arial" w:hAnsi="Arial" w:cs="Arial"/>
          <w:color w:val="FF0000"/>
          <w:sz w:val="24"/>
          <w:szCs w:val="24"/>
          <w:lang w:val="en-US"/>
        </w:rPr>
        <w:t xml:space="preserve"> </w:t>
      </w:r>
      <w:r w:rsidR="005A00F7" w:rsidRPr="00A34D67">
        <w:rPr>
          <w:rFonts w:ascii="Arial" w:hAnsi="Arial" w:cs="Arial"/>
          <w:sz w:val="24"/>
          <w:szCs w:val="24"/>
          <w:lang w:val="en-US"/>
        </w:rPr>
        <w:t>that its proposed reservation may be prohibited and therefore severed ‘from its expression of consent to be bound,’</w:t>
      </w:r>
      <w:r w:rsidR="005A00F7" w:rsidRPr="00A34D67">
        <w:rPr>
          <w:rStyle w:val="FootnoteReference"/>
          <w:rFonts w:ascii="Arial" w:hAnsi="Arial" w:cs="Arial"/>
          <w:sz w:val="24"/>
          <w:szCs w:val="24"/>
          <w:lang w:val="en-US"/>
        </w:rPr>
        <w:footnoteReference w:id="14"/>
      </w:r>
      <w:r w:rsidR="005A00F7" w:rsidRPr="00A34D67">
        <w:rPr>
          <w:rFonts w:ascii="Arial" w:hAnsi="Arial" w:cs="Arial"/>
          <w:sz w:val="24"/>
          <w:szCs w:val="24"/>
          <w:lang w:val="en-US"/>
        </w:rPr>
        <w:t xml:space="preserve"> but the means of facilitating its approval may be permitted. In effect, the reserving state becomes party to the treaty, ‘but without the reservation it had in mind’.</w:t>
      </w:r>
      <w:r w:rsidR="005A00F7" w:rsidRPr="00A34D67">
        <w:rPr>
          <w:rStyle w:val="FootnoteReference"/>
          <w:rFonts w:ascii="Arial" w:hAnsi="Arial" w:cs="Arial"/>
          <w:sz w:val="24"/>
          <w:szCs w:val="24"/>
          <w:lang w:val="en-US"/>
        </w:rPr>
        <w:footnoteReference w:id="15"/>
      </w:r>
      <w:r w:rsidR="005A00F7" w:rsidRPr="00A34D67">
        <w:rPr>
          <w:rFonts w:ascii="Arial" w:hAnsi="Arial" w:cs="Arial"/>
          <w:color w:val="FF0000"/>
          <w:sz w:val="24"/>
          <w:szCs w:val="24"/>
          <w:lang w:val="en-US"/>
        </w:rPr>
        <w:t xml:space="preserve"> </w:t>
      </w:r>
    </w:p>
    <w:p w14:paraId="254C8F3A" w14:textId="70B8A6EA" w:rsidR="00F83302" w:rsidRDefault="00460CF1" w:rsidP="00401E4C">
      <w:pPr>
        <w:spacing w:line="480" w:lineRule="auto"/>
        <w:rPr>
          <w:rFonts w:ascii="Arial" w:hAnsi="Arial" w:cs="Arial"/>
          <w:color w:val="FF0000"/>
          <w:sz w:val="24"/>
          <w:szCs w:val="24"/>
          <w:lang w:val="en-US"/>
        </w:rPr>
      </w:pPr>
      <w:r w:rsidRPr="00A34D67">
        <w:rPr>
          <w:rFonts w:ascii="Arial" w:hAnsi="Arial" w:cs="Arial"/>
          <w:sz w:val="24"/>
          <w:szCs w:val="24"/>
          <w:lang w:val="en-US"/>
        </w:rPr>
        <w:t>Reservations needed to be unanimously consented to by all other states if they wished to be legally effective u</w:t>
      </w:r>
      <w:r w:rsidR="008E31F0" w:rsidRPr="00A34D67">
        <w:rPr>
          <w:rFonts w:ascii="Arial" w:hAnsi="Arial" w:cs="Arial"/>
          <w:sz w:val="24"/>
          <w:szCs w:val="24"/>
          <w:lang w:val="en-US"/>
        </w:rPr>
        <w:t xml:space="preserve">nder </w:t>
      </w:r>
      <w:r w:rsidRPr="00A34D67">
        <w:rPr>
          <w:rFonts w:ascii="Arial" w:hAnsi="Arial" w:cs="Arial"/>
          <w:sz w:val="24"/>
          <w:szCs w:val="24"/>
          <w:lang w:val="en-US"/>
        </w:rPr>
        <w:t>this</w:t>
      </w:r>
      <w:r w:rsidR="008E31F0" w:rsidRPr="00A34D67">
        <w:rPr>
          <w:rFonts w:ascii="Arial" w:hAnsi="Arial" w:cs="Arial"/>
          <w:sz w:val="24"/>
          <w:szCs w:val="24"/>
          <w:lang w:val="en-US"/>
        </w:rPr>
        <w:t xml:space="preserve"> </w:t>
      </w:r>
      <w:r w:rsidRPr="00A34D67">
        <w:rPr>
          <w:rFonts w:ascii="Arial" w:hAnsi="Arial" w:cs="Arial"/>
          <w:sz w:val="24"/>
          <w:szCs w:val="24"/>
          <w:lang w:val="en-US"/>
        </w:rPr>
        <w:t>prior system.</w:t>
      </w:r>
      <w:r w:rsidR="00603C9E">
        <w:rPr>
          <w:rStyle w:val="FootnoteReference"/>
          <w:rFonts w:ascii="Arial" w:hAnsi="Arial" w:cs="Arial"/>
          <w:sz w:val="24"/>
          <w:szCs w:val="24"/>
          <w:lang w:val="en-US"/>
        </w:rPr>
        <w:footnoteReference w:id="16"/>
      </w:r>
      <w:r w:rsidR="00603C9E" w:rsidRPr="00A34D67">
        <w:rPr>
          <w:rFonts w:ascii="Arial" w:hAnsi="Arial" w:cs="Arial"/>
          <w:color w:val="FF0000"/>
          <w:sz w:val="24"/>
          <w:szCs w:val="24"/>
          <w:lang w:val="en-US"/>
        </w:rPr>
        <w:t xml:space="preserve"> </w:t>
      </w:r>
      <w:r w:rsidR="00FF1A6C" w:rsidRPr="00EB4E9A">
        <w:rPr>
          <w:rFonts w:ascii="Arial" w:hAnsi="Arial" w:cs="Arial"/>
          <w:sz w:val="24"/>
          <w:szCs w:val="24"/>
          <w:lang w:val="en-US"/>
        </w:rPr>
        <w:t xml:space="preserve">Unanimous consent </w:t>
      </w:r>
      <w:r w:rsidR="0070747D" w:rsidRPr="00EB4E9A">
        <w:rPr>
          <w:rFonts w:ascii="Arial" w:hAnsi="Arial" w:cs="Arial"/>
          <w:sz w:val="24"/>
          <w:szCs w:val="24"/>
          <w:lang w:val="en-US"/>
        </w:rPr>
        <w:t>‘</w:t>
      </w:r>
      <w:r w:rsidR="00FF1A6C" w:rsidRPr="00EB4E9A">
        <w:rPr>
          <w:rFonts w:ascii="Arial" w:hAnsi="Arial" w:cs="Arial"/>
          <w:sz w:val="24"/>
          <w:szCs w:val="24"/>
          <w:lang w:val="en-US"/>
        </w:rPr>
        <w:t>as regards the admissibility of reservations</w:t>
      </w:r>
      <w:r w:rsidR="0070747D" w:rsidRPr="00EB4E9A">
        <w:rPr>
          <w:rFonts w:ascii="Arial" w:hAnsi="Arial" w:cs="Arial"/>
          <w:sz w:val="24"/>
          <w:szCs w:val="24"/>
          <w:lang w:val="en-US"/>
        </w:rPr>
        <w:t>’</w:t>
      </w:r>
      <w:r w:rsidR="00FF1A6C" w:rsidRPr="00EB4E9A">
        <w:rPr>
          <w:rFonts w:ascii="Arial" w:hAnsi="Arial" w:cs="Arial"/>
          <w:sz w:val="24"/>
          <w:szCs w:val="24"/>
          <w:lang w:val="en-US"/>
        </w:rPr>
        <w:t xml:space="preserve"> was the </w:t>
      </w:r>
      <w:r w:rsidR="001778ED" w:rsidRPr="00EB4E9A">
        <w:rPr>
          <w:rFonts w:ascii="Arial" w:hAnsi="Arial" w:cs="Arial"/>
          <w:sz w:val="24"/>
          <w:szCs w:val="24"/>
          <w:lang w:val="en-US"/>
        </w:rPr>
        <w:t>‘</w:t>
      </w:r>
      <w:r w:rsidR="00FF1A6C" w:rsidRPr="00EB4E9A">
        <w:rPr>
          <w:rFonts w:ascii="Arial" w:hAnsi="Arial" w:cs="Arial"/>
          <w:sz w:val="24"/>
          <w:szCs w:val="24"/>
          <w:lang w:val="en-US"/>
        </w:rPr>
        <w:t>logical concomitant</w:t>
      </w:r>
      <w:r w:rsidR="001778ED" w:rsidRPr="00EB4E9A">
        <w:rPr>
          <w:rFonts w:ascii="Arial" w:hAnsi="Arial" w:cs="Arial"/>
          <w:sz w:val="24"/>
          <w:szCs w:val="24"/>
          <w:lang w:val="en-US"/>
        </w:rPr>
        <w:t>’</w:t>
      </w:r>
      <w:r w:rsidR="00FF1A6C" w:rsidRPr="00EB4E9A">
        <w:rPr>
          <w:rFonts w:ascii="Arial" w:hAnsi="Arial" w:cs="Arial"/>
          <w:sz w:val="24"/>
          <w:szCs w:val="24"/>
          <w:lang w:val="en-US"/>
        </w:rPr>
        <w:t xml:space="preserve"> of the unanimity rule </w:t>
      </w:r>
      <w:r w:rsidR="001778ED" w:rsidRPr="00EB4E9A">
        <w:rPr>
          <w:rFonts w:ascii="Arial" w:hAnsi="Arial" w:cs="Arial"/>
          <w:sz w:val="24"/>
          <w:szCs w:val="24"/>
          <w:lang w:val="en-US"/>
        </w:rPr>
        <w:t>concerning</w:t>
      </w:r>
      <w:r w:rsidR="00FF1A6C" w:rsidRPr="00EB4E9A">
        <w:rPr>
          <w:rFonts w:ascii="Arial" w:hAnsi="Arial" w:cs="Arial"/>
          <w:sz w:val="24"/>
          <w:szCs w:val="24"/>
          <w:lang w:val="en-US"/>
        </w:rPr>
        <w:t xml:space="preserve"> the </w:t>
      </w:r>
      <w:r w:rsidR="001778ED" w:rsidRPr="00EB4E9A">
        <w:rPr>
          <w:rFonts w:ascii="Arial" w:hAnsi="Arial" w:cs="Arial"/>
          <w:sz w:val="24"/>
          <w:szCs w:val="24"/>
          <w:lang w:val="en-US"/>
        </w:rPr>
        <w:t>construction</w:t>
      </w:r>
      <w:r w:rsidR="00FF1A6C" w:rsidRPr="00EB4E9A">
        <w:rPr>
          <w:rFonts w:ascii="Arial" w:hAnsi="Arial" w:cs="Arial"/>
          <w:sz w:val="24"/>
          <w:szCs w:val="24"/>
          <w:lang w:val="en-US"/>
        </w:rPr>
        <w:t xml:space="preserve"> of the </w:t>
      </w:r>
      <w:r w:rsidR="001778ED" w:rsidRPr="00EB4E9A">
        <w:rPr>
          <w:rFonts w:ascii="Arial" w:hAnsi="Arial" w:cs="Arial"/>
          <w:sz w:val="24"/>
          <w:szCs w:val="24"/>
          <w:lang w:val="en-US"/>
        </w:rPr>
        <w:t>wording</w:t>
      </w:r>
      <w:r w:rsidR="00FF1A6C" w:rsidRPr="00EB4E9A">
        <w:rPr>
          <w:rFonts w:ascii="Arial" w:hAnsi="Arial" w:cs="Arial"/>
          <w:sz w:val="24"/>
          <w:szCs w:val="24"/>
          <w:lang w:val="en-US"/>
        </w:rPr>
        <w:t xml:space="preserve"> of multilateral conventions.</w:t>
      </w:r>
      <w:r w:rsidR="001778ED" w:rsidRPr="00EB4E9A">
        <w:rPr>
          <w:rStyle w:val="FootnoteReference"/>
          <w:rFonts w:ascii="Arial" w:hAnsi="Arial" w:cs="Arial"/>
          <w:sz w:val="24"/>
          <w:szCs w:val="24"/>
          <w:lang w:val="en-US"/>
        </w:rPr>
        <w:footnoteReference w:id="17"/>
      </w:r>
      <w:r w:rsidR="00FF1A6C">
        <w:rPr>
          <w:rFonts w:ascii="Arial" w:hAnsi="Arial" w:cs="Arial"/>
          <w:color w:val="FF0000"/>
          <w:sz w:val="24"/>
          <w:szCs w:val="24"/>
          <w:lang w:val="en-US"/>
        </w:rPr>
        <w:t xml:space="preserve"> </w:t>
      </w:r>
      <w:r w:rsidR="00BF7C97" w:rsidRPr="00A34D67">
        <w:rPr>
          <w:rFonts w:ascii="Arial" w:hAnsi="Arial" w:cs="Arial"/>
          <w:sz w:val="24"/>
          <w:szCs w:val="24"/>
          <w:lang w:val="en-US"/>
        </w:rPr>
        <w:t xml:space="preserve">This method </w:t>
      </w:r>
      <w:r w:rsidR="00566EA8" w:rsidRPr="00A34D67">
        <w:rPr>
          <w:rFonts w:ascii="Arial" w:hAnsi="Arial" w:cs="Arial"/>
          <w:sz w:val="24"/>
          <w:szCs w:val="24"/>
          <w:lang w:val="en-US"/>
        </w:rPr>
        <w:t>protected</w:t>
      </w:r>
      <w:r w:rsidR="00BF7C97" w:rsidRPr="00A34D67">
        <w:rPr>
          <w:rFonts w:ascii="Arial" w:hAnsi="Arial" w:cs="Arial"/>
          <w:sz w:val="24"/>
          <w:szCs w:val="24"/>
          <w:lang w:val="en-US"/>
        </w:rPr>
        <w:t xml:space="preserve"> </w:t>
      </w:r>
      <w:r w:rsidR="008E31F0" w:rsidRPr="00A34D67">
        <w:rPr>
          <w:rFonts w:ascii="Arial" w:hAnsi="Arial" w:cs="Arial"/>
          <w:sz w:val="24"/>
          <w:szCs w:val="24"/>
          <w:lang w:val="en-US"/>
        </w:rPr>
        <w:t xml:space="preserve">non-reserving states from being </w:t>
      </w:r>
      <w:r w:rsidR="009D4F90" w:rsidRPr="00A34D67">
        <w:rPr>
          <w:rFonts w:ascii="Arial" w:hAnsi="Arial" w:cs="Arial"/>
          <w:sz w:val="24"/>
          <w:szCs w:val="24"/>
          <w:lang w:val="en-US"/>
        </w:rPr>
        <w:t>disadvantaged</w:t>
      </w:r>
      <w:r w:rsidR="008E31F0" w:rsidRPr="00A34D67">
        <w:rPr>
          <w:rFonts w:ascii="Arial" w:hAnsi="Arial" w:cs="Arial"/>
          <w:color w:val="FF0000"/>
          <w:sz w:val="24"/>
          <w:szCs w:val="24"/>
          <w:lang w:val="en-US"/>
        </w:rPr>
        <w:t xml:space="preserve"> </w:t>
      </w:r>
      <w:r w:rsidR="008E31F0" w:rsidRPr="00A34D67">
        <w:rPr>
          <w:rFonts w:ascii="Arial" w:hAnsi="Arial" w:cs="Arial"/>
          <w:sz w:val="24"/>
          <w:szCs w:val="24"/>
          <w:lang w:val="en-US"/>
        </w:rPr>
        <w:t xml:space="preserve">by unilateral reservations </w:t>
      </w:r>
      <w:r w:rsidR="00E335FD" w:rsidRPr="00A34D67">
        <w:rPr>
          <w:rFonts w:ascii="Arial" w:hAnsi="Arial" w:cs="Arial"/>
          <w:sz w:val="24"/>
          <w:szCs w:val="24"/>
          <w:lang w:val="en-US"/>
        </w:rPr>
        <w:t>created</w:t>
      </w:r>
      <w:r w:rsidR="008E31F0" w:rsidRPr="00A34D67">
        <w:rPr>
          <w:rFonts w:ascii="Arial" w:hAnsi="Arial" w:cs="Arial"/>
          <w:sz w:val="24"/>
          <w:szCs w:val="24"/>
          <w:lang w:val="en-US"/>
        </w:rPr>
        <w:t xml:space="preserve"> by </w:t>
      </w:r>
      <w:r w:rsidR="00E335FD" w:rsidRPr="00A34D67">
        <w:rPr>
          <w:rFonts w:ascii="Arial" w:hAnsi="Arial" w:cs="Arial"/>
          <w:sz w:val="24"/>
          <w:szCs w:val="24"/>
          <w:lang w:val="en-US"/>
        </w:rPr>
        <w:t>a different</w:t>
      </w:r>
      <w:r w:rsidR="008E31F0" w:rsidRPr="00A34D67">
        <w:rPr>
          <w:rFonts w:ascii="Arial" w:hAnsi="Arial" w:cs="Arial"/>
          <w:sz w:val="24"/>
          <w:szCs w:val="24"/>
          <w:lang w:val="en-US"/>
        </w:rPr>
        <w:t xml:space="preserve"> signatory state </w:t>
      </w:r>
      <w:r w:rsidR="00E335FD" w:rsidRPr="00A34D67">
        <w:rPr>
          <w:rFonts w:ascii="Arial" w:hAnsi="Arial" w:cs="Arial"/>
          <w:sz w:val="24"/>
          <w:szCs w:val="24"/>
          <w:lang w:val="en-US"/>
        </w:rPr>
        <w:t>when</w:t>
      </w:r>
      <w:r w:rsidR="008E31F0" w:rsidRPr="00A34D67">
        <w:rPr>
          <w:rFonts w:ascii="Arial" w:hAnsi="Arial" w:cs="Arial"/>
          <w:sz w:val="24"/>
          <w:szCs w:val="24"/>
          <w:lang w:val="en-US"/>
        </w:rPr>
        <w:t xml:space="preserve"> ratification</w:t>
      </w:r>
      <w:r w:rsidR="00E335FD" w:rsidRPr="00A34D67">
        <w:rPr>
          <w:rFonts w:ascii="Arial" w:hAnsi="Arial" w:cs="Arial"/>
          <w:sz w:val="24"/>
          <w:szCs w:val="24"/>
          <w:lang w:val="en-US"/>
        </w:rPr>
        <w:t xml:space="preserve"> took place</w:t>
      </w:r>
      <w:r w:rsidR="008E31F0" w:rsidRPr="00A34D67">
        <w:rPr>
          <w:rFonts w:ascii="Arial" w:hAnsi="Arial" w:cs="Arial"/>
          <w:sz w:val="24"/>
          <w:szCs w:val="24"/>
          <w:lang w:val="en-US"/>
        </w:rPr>
        <w:t>.</w:t>
      </w:r>
      <w:r w:rsidR="008E31F0" w:rsidRPr="00A34D67">
        <w:rPr>
          <w:rFonts w:ascii="Arial" w:hAnsi="Arial" w:cs="Arial"/>
          <w:color w:val="FF0000"/>
          <w:sz w:val="24"/>
          <w:szCs w:val="24"/>
          <w:lang w:val="en-US"/>
        </w:rPr>
        <w:t xml:space="preserve"> </w:t>
      </w:r>
    </w:p>
    <w:p w14:paraId="6A050746" w14:textId="51A050A1" w:rsidR="005A00F7" w:rsidRDefault="005A00F7" w:rsidP="00401E4C">
      <w:pPr>
        <w:spacing w:line="480" w:lineRule="auto"/>
        <w:rPr>
          <w:rFonts w:ascii="Arial" w:hAnsi="Arial" w:cs="Arial"/>
          <w:color w:val="008000"/>
          <w:sz w:val="24"/>
          <w:szCs w:val="24"/>
          <w:lang w:val="en-US"/>
        </w:rPr>
      </w:pPr>
      <w:r w:rsidRPr="00A34D67">
        <w:rPr>
          <w:rFonts w:ascii="Arial" w:hAnsi="Arial" w:cs="Arial"/>
          <w:sz w:val="24"/>
          <w:szCs w:val="24"/>
          <w:lang w:val="en-US"/>
        </w:rPr>
        <w:t>As sound as this contention may appear, there are still flaws to its logic. Objecting states surely should not be allowed to effectively edit the Vienna Convention regime concerning reservations to suit their needs? Furthermore, tacit acceptance may appear t</w:t>
      </w:r>
      <w:r w:rsidR="00CE68DF">
        <w:rPr>
          <w:rFonts w:ascii="Arial" w:hAnsi="Arial" w:cs="Arial"/>
          <w:sz w:val="24"/>
          <w:szCs w:val="24"/>
          <w:lang w:val="en-US"/>
        </w:rPr>
        <w:t>o signal agreement, but it may</w:t>
      </w:r>
      <w:r w:rsidRPr="00A34D67">
        <w:rPr>
          <w:rFonts w:ascii="Arial" w:hAnsi="Arial" w:cs="Arial"/>
          <w:sz w:val="24"/>
          <w:szCs w:val="24"/>
          <w:lang w:val="en-US"/>
        </w:rPr>
        <w:t xml:space="preserve"> actually not be an indicator of acceptance whatsoever.</w:t>
      </w:r>
      <w:r w:rsidRPr="00A34D67">
        <w:rPr>
          <w:rStyle w:val="FootnoteReference"/>
          <w:rFonts w:ascii="Arial" w:hAnsi="Arial" w:cs="Arial"/>
          <w:sz w:val="24"/>
          <w:szCs w:val="24"/>
          <w:lang w:val="en-US"/>
        </w:rPr>
        <w:footnoteReference w:id="18"/>
      </w:r>
      <w:r w:rsidRPr="00A34D67">
        <w:rPr>
          <w:rFonts w:ascii="Arial" w:hAnsi="Arial" w:cs="Arial"/>
          <w:sz w:val="24"/>
          <w:szCs w:val="24"/>
          <w:lang w:val="en-US"/>
        </w:rPr>
        <w:t xml:space="preserve"> Tacit acceptance also strongly requires severability, which therefore begs the question of whether it is good legal practice to sever provisions from the instruments they pertain to?</w:t>
      </w:r>
      <w:r w:rsidRPr="00A34D67">
        <w:rPr>
          <w:rStyle w:val="FootnoteReference"/>
          <w:rFonts w:ascii="Arial" w:hAnsi="Arial" w:cs="Arial"/>
          <w:sz w:val="24"/>
          <w:szCs w:val="24"/>
          <w:lang w:val="en-US"/>
        </w:rPr>
        <w:footnoteReference w:id="19"/>
      </w:r>
    </w:p>
    <w:p w14:paraId="3C01E443" w14:textId="25B4B238" w:rsidR="005F4B01" w:rsidRPr="00675ED5" w:rsidRDefault="00675ED5" w:rsidP="00401E4C">
      <w:pPr>
        <w:pStyle w:val="ListParagraph"/>
        <w:numPr>
          <w:ilvl w:val="1"/>
          <w:numId w:val="24"/>
        </w:numPr>
        <w:spacing w:line="480" w:lineRule="auto"/>
        <w:rPr>
          <w:rFonts w:ascii="Arial" w:hAnsi="Arial" w:cs="Arial"/>
          <w:b/>
          <w:sz w:val="24"/>
          <w:szCs w:val="24"/>
        </w:rPr>
      </w:pPr>
      <w:r>
        <w:rPr>
          <w:rFonts w:ascii="Arial" w:hAnsi="Arial" w:cs="Arial"/>
          <w:b/>
          <w:sz w:val="24"/>
          <w:szCs w:val="24"/>
        </w:rPr>
        <w:t xml:space="preserve">   </w:t>
      </w:r>
      <w:r w:rsidR="005F4B01" w:rsidRPr="00675ED5">
        <w:rPr>
          <w:rFonts w:ascii="Arial" w:hAnsi="Arial" w:cs="Arial"/>
          <w:b/>
          <w:sz w:val="24"/>
          <w:szCs w:val="24"/>
        </w:rPr>
        <w:t>The Vienna Convention on the Law of Treaties 1969</w:t>
      </w:r>
    </w:p>
    <w:p w14:paraId="6C9642FB" w14:textId="77777777" w:rsidR="002B02B1" w:rsidRDefault="00A14E1A" w:rsidP="00401E4C">
      <w:pPr>
        <w:spacing w:line="480" w:lineRule="auto"/>
        <w:rPr>
          <w:rFonts w:ascii="Arial" w:hAnsi="Arial" w:cs="Arial"/>
          <w:sz w:val="24"/>
          <w:szCs w:val="24"/>
        </w:rPr>
      </w:pPr>
      <w:r w:rsidRPr="0072307B">
        <w:rPr>
          <w:rFonts w:ascii="Arial" w:hAnsi="Arial" w:cs="Arial"/>
          <w:sz w:val="24"/>
          <w:szCs w:val="24"/>
        </w:rPr>
        <w:t>For decades, the Vienna Convention on the Law of Treaties was considered to be the most authoritative guide to reservations to human rights treaties in international law.</w:t>
      </w:r>
      <w:r w:rsidRPr="00A34D67">
        <w:rPr>
          <w:rFonts w:ascii="Arial" w:hAnsi="Arial" w:cs="Arial"/>
          <w:sz w:val="24"/>
          <w:szCs w:val="24"/>
        </w:rPr>
        <w:t xml:space="preserve"> </w:t>
      </w:r>
      <w:r w:rsidR="00FC731D" w:rsidRPr="00A34D67">
        <w:rPr>
          <w:rFonts w:ascii="Arial" w:hAnsi="Arial" w:cs="Arial"/>
          <w:sz w:val="24"/>
          <w:szCs w:val="24"/>
        </w:rPr>
        <w:t xml:space="preserve">The Vienna Convention codifies both the object and purpose test and </w:t>
      </w:r>
      <w:r w:rsidR="00FB621C">
        <w:rPr>
          <w:rFonts w:ascii="Arial" w:hAnsi="Arial" w:cs="Arial"/>
          <w:sz w:val="24"/>
          <w:szCs w:val="24"/>
        </w:rPr>
        <w:t xml:space="preserve">the </w:t>
      </w:r>
      <w:r w:rsidR="00FC731D" w:rsidRPr="00A34D67">
        <w:rPr>
          <w:rFonts w:ascii="Arial" w:hAnsi="Arial" w:cs="Arial"/>
          <w:sz w:val="24"/>
          <w:szCs w:val="24"/>
        </w:rPr>
        <w:t xml:space="preserve">presumption supporting ratification expounded in the </w:t>
      </w:r>
      <w:r w:rsidR="00FC731D" w:rsidRPr="00A34D67">
        <w:rPr>
          <w:rFonts w:ascii="Arial" w:hAnsi="Arial" w:cs="Arial"/>
          <w:i/>
          <w:sz w:val="24"/>
          <w:szCs w:val="24"/>
        </w:rPr>
        <w:t xml:space="preserve">Reservations to the Genocide Convention </w:t>
      </w:r>
      <w:r w:rsidR="00FC731D" w:rsidRPr="00A34D67">
        <w:rPr>
          <w:rFonts w:ascii="Arial" w:hAnsi="Arial" w:cs="Arial"/>
          <w:sz w:val="24"/>
          <w:szCs w:val="24"/>
        </w:rPr>
        <w:t>Advisory Opinion of the ICJ.</w:t>
      </w:r>
      <w:r w:rsidR="00FC731D" w:rsidRPr="00A34D67">
        <w:rPr>
          <w:rStyle w:val="FootnoteReference"/>
          <w:rFonts w:ascii="Arial" w:hAnsi="Arial" w:cs="Arial"/>
          <w:sz w:val="24"/>
          <w:szCs w:val="24"/>
        </w:rPr>
        <w:footnoteReference w:id="20"/>
      </w:r>
      <w:r w:rsidR="00FC731D" w:rsidRPr="00A34D67">
        <w:rPr>
          <w:rFonts w:ascii="Arial" w:hAnsi="Arial" w:cs="Arial"/>
          <w:sz w:val="24"/>
          <w:szCs w:val="24"/>
        </w:rPr>
        <w:t xml:space="preserve"> </w:t>
      </w:r>
      <w:r w:rsidR="002B02B1">
        <w:rPr>
          <w:rFonts w:ascii="Arial" w:hAnsi="Arial" w:cs="Arial"/>
          <w:sz w:val="24"/>
          <w:szCs w:val="24"/>
        </w:rPr>
        <w:t>The Court confirmed that:</w:t>
      </w:r>
    </w:p>
    <w:p w14:paraId="275FD00A" w14:textId="6D8F92EE" w:rsidR="002B02B1" w:rsidRDefault="002B02B1" w:rsidP="002B02B1">
      <w:pPr>
        <w:spacing w:line="480" w:lineRule="auto"/>
        <w:ind w:left="709" w:right="752"/>
        <w:rPr>
          <w:rFonts w:ascii="Arial" w:hAnsi="Arial" w:cs="Arial"/>
          <w:sz w:val="24"/>
          <w:szCs w:val="24"/>
        </w:rPr>
      </w:pPr>
      <w:r>
        <w:rPr>
          <w:rFonts w:ascii="Arial" w:hAnsi="Arial" w:cs="Arial"/>
          <w:sz w:val="24"/>
          <w:szCs w:val="24"/>
        </w:rPr>
        <w:t>‘If a party to the Convention objects to a reservation which it considers to be incompatible with the object and purpose of the Convention, it can in fact consider that the reserving State is not a party to the Convention… if on the other hand, a party accepts the reservation as being compatible with the object and purpose of the Convention, it can in fact consider that the reserving State is a party to the Convention.’</w:t>
      </w:r>
      <w:r>
        <w:rPr>
          <w:rStyle w:val="FootnoteReference"/>
          <w:rFonts w:ascii="Arial" w:hAnsi="Arial" w:cs="Arial"/>
          <w:sz w:val="24"/>
          <w:szCs w:val="24"/>
        </w:rPr>
        <w:footnoteReference w:id="21"/>
      </w:r>
    </w:p>
    <w:p w14:paraId="72631D67" w14:textId="390F1E01" w:rsidR="003C4703" w:rsidRDefault="00FC731D" w:rsidP="00401E4C">
      <w:pPr>
        <w:spacing w:line="480" w:lineRule="auto"/>
        <w:rPr>
          <w:rFonts w:ascii="Arial" w:hAnsi="Arial" w:cs="Arial"/>
          <w:sz w:val="24"/>
          <w:szCs w:val="24"/>
        </w:rPr>
      </w:pPr>
      <w:r w:rsidRPr="00A34D67">
        <w:rPr>
          <w:rFonts w:ascii="Arial" w:hAnsi="Arial" w:cs="Arial"/>
          <w:sz w:val="24"/>
          <w:szCs w:val="24"/>
        </w:rPr>
        <w:t>It was here that the ICJ</w:t>
      </w:r>
      <w:r w:rsidR="00A531AD"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converted the law from being a fixed system </w:t>
      </w:r>
      <w:r w:rsidR="00083D12" w:rsidRPr="00A34D67">
        <w:rPr>
          <w:rFonts w:ascii="Arial" w:hAnsi="Arial" w:cs="Arial"/>
          <w:sz w:val="24"/>
          <w:szCs w:val="24"/>
          <w:lang w:val="en-US"/>
        </w:rPr>
        <w:t>demanding</w:t>
      </w:r>
      <w:r w:rsidR="003E55B3" w:rsidRPr="00A34D67">
        <w:rPr>
          <w:rFonts w:ascii="Arial" w:hAnsi="Arial" w:cs="Arial"/>
          <w:sz w:val="24"/>
          <w:szCs w:val="24"/>
          <w:lang w:val="en-US"/>
        </w:rPr>
        <w:t xml:space="preserve"> all state</w:t>
      </w:r>
      <w:r w:rsidR="00083D12" w:rsidRPr="00A34D67">
        <w:rPr>
          <w:rFonts w:ascii="Arial" w:hAnsi="Arial" w:cs="Arial"/>
          <w:sz w:val="24"/>
          <w:szCs w:val="24"/>
          <w:lang w:val="en-US"/>
        </w:rPr>
        <w:t xml:space="preserve"> parties to</w:t>
      </w:r>
      <w:r w:rsidRPr="00A34D67">
        <w:rPr>
          <w:rFonts w:ascii="Arial" w:hAnsi="Arial" w:cs="Arial"/>
          <w:color w:val="FF0000"/>
          <w:sz w:val="24"/>
          <w:szCs w:val="24"/>
          <w:lang w:val="en-US"/>
        </w:rPr>
        <w:t xml:space="preserve"> </w:t>
      </w:r>
      <w:r w:rsidR="00A531AD" w:rsidRPr="00A34D67">
        <w:rPr>
          <w:rFonts w:ascii="Arial" w:hAnsi="Arial" w:cs="Arial"/>
          <w:sz w:val="24"/>
          <w:szCs w:val="24"/>
          <w:lang w:val="en-US"/>
        </w:rPr>
        <w:t>unanimous</w:t>
      </w:r>
      <w:r w:rsidR="00083D12" w:rsidRPr="00A34D67">
        <w:rPr>
          <w:rFonts w:ascii="Arial" w:hAnsi="Arial" w:cs="Arial"/>
          <w:sz w:val="24"/>
          <w:szCs w:val="24"/>
          <w:lang w:val="en-US"/>
        </w:rPr>
        <w:t>ly</w:t>
      </w:r>
      <w:r w:rsidR="00A531AD" w:rsidRPr="00A34D67">
        <w:rPr>
          <w:rFonts w:ascii="Arial" w:hAnsi="Arial" w:cs="Arial"/>
          <w:sz w:val="24"/>
          <w:szCs w:val="24"/>
          <w:lang w:val="en-US"/>
        </w:rPr>
        <w:t xml:space="preserve"> </w:t>
      </w:r>
      <w:r w:rsidR="00083D12" w:rsidRPr="00A34D67">
        <w:rPr>
          <w:rFonts w:ascii="Arial" w:hAnsi="Arial" w:cs="Arial"/>
          <w:sz w:val="24"/>
          <w:szCs w:val="24"/>
          <w:lang w:val="en-US"/>
        </w:rPr>
        <w:t xml:space="preserve">consent to </w:t>
      </w:r>
      <w:r w:rsidR="00A531AD" w:rsidRPr="00A34D67">
        <w:rPr>
          <w:rFonts w:ascii="Arial" w:hAnsi="Arial" w:cs="Arial"/>
          <w:sz w:val="24"/>
          <w:szCs w:val="24"/>
          <w:lang w:val="en-US"/>
        </w:rPr>
        <w:t xml:space="preserve">reservations </w:t>
      </w:r>
      <w:r w:rsidR="00083D12" w:rsidRPr="00A34D67">
        <w:rPr>
          <w:rFonts w:ascii="Arial" w:hAnsi="Arial" w:cs="Arial"/>
          <w:sz w:val="24"/>
          <w:szCs w:val="24"/>
          <w:lang w:val="en-US"/>
        </w:rPr>
        <w:t>to a treaty</w:t>
      </w:r>
      <w:r w:rsidR="00A531AD" w:rsidRPr="00A34D67">
        <w:rPr>
          <w:rFonts w:ascii="Arial" w:hAnsi="Arial" w:cs="Arial"/>
          <w:sz w:val="24"/>
          <w:szCs w:val="24"/>
          <w:lang w:val="en-US"/>
        </w:rPr>
        <w:t>,</w:t>
      </w:r>
      <w:r w:rsidR="00A531AD" w:rsidRPr="00A34D67">
        <w:rPr>
          <w:rFonts w:ascii="Arial" w:hAnsi="Arial" w:cs="Arial"/>
          <w:color w:val="FF0000"/>
          <w:sz w:val="24"/>
          <w:szCs w:val="24"/>
          <w:lang w:val="en-US"/>
        </w:rPr>
        <w:t xml:space="preserve"> </w:t>
      </w:r>
      <w:r w:rsidR="00A531AD" w:rsidRPr="00A34D67">
        <w:rPr>
          <w:rFonts w:ascii="Arial" w:hAnsi="Arial" w:cs="Arial"/>
          <w:sz w:val="24"/>
          <w:szCs w:val="24"/>
          <w:lang w:val="en-US"/>
        </w:rPr>
        <w:t xml:space="preserve">to a more </w:t>
      </w:r>
      <w:r w:rsidR="00D3446F" w:rsidRPr="00A34D67">
        <w:rPr>
          <w:rFonts w:ascii="Arial" w:hAnsi="Arial" w:cs="Arial"/>
          <w:sz w:val="24"/>
          <w:szCs w:val="24"/>
          <w:lang w:val="en-US"/>
        </w:rPr>
        <w:t>versatile</w:t>
      </w:r>
      <w:r w:rsidR="00A531AD" w:rsidRPr="00A34D67">
        <w:rPr>
          <w:rFonts w:ascii="Arial" w:hAnsi="Arial" w:cs="Arial"/>
          <w:sz w:val="24"/>
          <w:szCs w:val="24"/>
          <w:lang w:val="en-US"/>
        </w:rPr>
        <w:t xml:space="preserve"> </w:t>
      </w:r>
      <w:r w:rsidR="00B34B0A" w:rsidRPr="00A34D67">
        <w:rPr>
          <w:rFonts w:ascii="Arial" w:hAnsi="Arial" w:cs="Arial"/>
          <w:sz w:val="24"/>
          <w:szCs w:val="24"/>
          <w:lang w:val="en-US"/>
        </w:rPr>
        <w:t>procedure</w:t>
      </w:r>
      <w:r w:rsidR="00A531AD" w:rsidRPr="00A34D67">
        <w:rPr>
          <w:rFonts w:ascii="Arial" w:hAnsi="Arial" w:cs="Arial"/>
          <w:sz w:val="24"/>
          <w:szCs w:val="24"/>
          <w:lang w:val="en-US"/>
        </w:rPr>
        <w:t xml:space="preserve"> that </w:t>
      </w:r>
      <w:r w:rsidR="00D3446F" w:rsidRPr="00A34D67">
        <w:rPr>
          <w:rFonts w:ascii="Arial" w:hAnsi="Arial" w:cs="Arial"/>
          <w:sz w:val="24"/>
          <w:szCs w:val="24"/>
          <w:lang w:val="en-US"/>
        </w:rPr>
        <w:t>is</w:t>
      </w:r>
      <w:r w:rsidR="00A531AD" w:rsidRPr="00A34D67">
        <w:rPr>
          <w:rFonts w:ascii="Arial" w:hAnsi="Arial" w:cs="Arial"/>
          <w:color w:val="FF0000"/>
          <w:sz w:val="24"/>
          <w:szCs w:val="24"/>
          <w:lang w:val="en-US"/>
        </w:rPr>
        <w:t xml:space="preserve"> </w:t>
      </w:r>
      <w:r w:rsidR="00D3446F" w:rsidRPr="00A34D67">
        <w:rPr>
          <w:rFonts w:ascii="Arial" w:hAnsi="Arial" w:cs="Arial"/>
          <w:sz w:val="24"/>
          <w:szCs w:val="24"/>
          <w:lang w:val="en-US"/>
        </w:rPr>
        <w:t>accepting of the</w:t>
      </w:r>
      <w:r w:rsidR="00D45D9D">
        <w:rPr>
          <w:rFonts w:ascii="Arial" w:hAnsi="Arial" w:cs="Arial"/>
          <w:sz w:val="24"/>
          <w:szCs w:val="24"/>
          <w:lang w:val="en-US"/>
        </w:rPr>
        <w:t xml:space="preserve"> differences between states. B</w:t>
      </w:r>
      <w:r w:rsidR="00D3446F" w:rsidRPr="00A34D67">
        <w:rPr>
          <w:rFonts w:ascii="Arial" w:hAnsi="Arial" w:cs="Arial"/>
          <w:sz w:val="24"/>
          <w:szCs w:val="24"/>
          <w:lang w:val="en-US"/>
        </w:rPr>
        <w:t xml:space="preserve">ut </w:t>
      </w:r>
      <w:r w:rsidR="00D45D9D">
        <w:rPr>
          <w:rFonts w:ascii="Arial" w:hAnsi="Arial" w:cs="Arial"/>
          <w:sz w:val="24"/>
          <w:szCs w:val="24"/>
          <w:lang w:val="en-US"/>
        </w:rPr>
        <w:t xml:space="preserve">it </w:t>
      </w:r>
      <w:r w:rsidR="00D3446F" w:rsidRPr="00A34D67">
        <w:rPr>
          <w:rFonts w:ascii="Arial" w:hAnsi="Arial" w:cs="Arial"/>
          <w:sz w:val="24"/>
          <w:szCs w:val="24"/>
          <w:lang w:val="en-US"/>
        </w:rPr>
        <w:t>also stresse</w:t>
      </w:r>
      <w:r w:rsidR="000D4BF0">
        <w:rPr>
          <w:rFonts w:ascii="Arial" w:hAnsi="Arial" w:cs="Arial"/>
          <w:sz w:val="24"/>
          <w:szCs w:val="24"/>
          <w:lang w:val="en-US"/>
        </w:rPr>
        <w:t>d</w:t>
      </w:r>
      <w:r w:rsidR="00D3446F" w:rsidRPr="00A34D67">
        <w:rPr>
          <w:rFonts w:ascii="Arial" w:hAnsi="Arial" w:cs="Arial"/>
          <w:sz w:val="24"/>
          <w:szCs w:val="24"/>
          <w:lang w:val="en-US"/>
        </w:rPr>
        <w:t xml:space="preserve"> the importance of a multilateral treaty’s </w:t>
      </w:r>
      <w:r w:rsidR="00A531AD" w:rsidRPr="00A34D67">
        <w:rPr>
          <w:rFonts w:ascii="Arial" w:hAnsi="Arial" w:cs="Arial"/>
          <w:sz w:val="24"/>
          <w:szCs w:val="24"/>
          <w:lang w:val="en-US"/>
        </w:rPr>
        <w:t>object and purpose.</w:t>
      </w:r>
      <w:r w:rsidR="006F62FC" w:rsidRPr="00A34D67">
        <w:rPr>
          <w:rStyle w:val="FootnoteReference"/>
          <w:rFonts w:ascii="Arial" w:hAnsi="Arial" w:cs="Arial"/>
          <w:sz w:val="24"/>
          <w:szCs w:val="24"/>
          <w:lang w:val="en-US"/>
        </w:rPr>
        <w:footnoteReference w:id="22"/>
      </w:r>
      <w:r w:rsidR="00A531AD" w:rsidRPr="00A34D67">
        <w:rPr>
          <w:rFonts w:ascii="Arial" w:hAnsi="Arial" w:cs="Arial"/>
          <w:color w:val="FF0000"/>
          <w:sz w:val="24"/>
          <w:szCs w:val="24"/>
          <w:lang w:val="en-US"/>
        </w:rPr>
        <w:t xml:space="preserve"> </w:t>
      </w:r>
    </w:p>
    <w:p w14:paraId="19BBC4A1" w14:textId="42CB1FB6" w:rsidR="00CA0021" w:rsidRPr="003C4703" w:rsidRDefault="00C44B07" w:rsidP="00401E4C">
      <w:pPr>
        <w:spacing w:line="480" w:lineRule="auto"/>
        <w:rPr>
          <w:rFonts w:ascii="Arial" w:hAnsi="Arial" w:cs="Arial"/>
          <w:sz w:val="24"/>
          <w:szCs w:val="24"/>
        </w:rPr>
      </w:pPr>
      <w:r w:rsidRPr="00A34D67">
        <w:rPr>
          <w:rFonts w:ascii="Arial" w:hAnsi="Arial" w:cs="Arial"/>
          <w:sz w:val="24"/>
          <w:szCs w:val="24"/>
          <w:lang w:val="en-US"/>
        </w:rPr>
        <w:t>Originally f</w:t>
      </w:r>
      <w:r w:rsidR="00527F6C" w:rsidRPr="00A34D67">
        <w:rPr>
          <w:rFonts w:ascii="Arial" w:hAnsi="Arial" w:cs="Arial"/>
          <w:sz w:val="24"/>
          <w:szCs w:val="24"/>
          <w:lang w:val="en-US"/>
        </w:rPr>
        <w:t xml:space="preserve">ormulated to remain faithful to the general principle of </w:t>
      </w:r>
      <w:r w:rsidR="00527F6C" w:rsidRPr="00A34D67">
        <w:rPr>
          <w:rFonts w:ascii="Arial" w:hAnsi="Arial" w:cs="Arial"/>
          <w:i/>
          <w:sz w:val="24"/>
          <w:szCs w:val="24"/>
          <w:lang w:val="en-US"/>
        </w:rPr>
        <w:t>pacta sunt servanda</w:t>
      </w:r>
      <w:r w:rsidR="00527F6C" w:rsidRPr="00A34D67">
        <w:rPr>
          <w:rFonts w:ascii="Arial" w:hAnsi="Arial" w:cs="Arial"/>
          <w:sz w:val="24"/>
          <w:szCs w:val="24"/>
          <w:lang w:val="en-US"/>
        </w:rPr>
        <w:t xml:space="preserve"> (agreements must be kept),</w:t>
      </w:r>
      <w:r w:rsidR="008B668F" w:rsidRPr="00A34D67">
        <w:rPr>
          <w:rStyle w:val="FootnoteReference"/>
          <w:rFonts w:ascii="Arial" w:hAnsi="Arial" w:cs="Arial"/>
          <w:sz w:val="24"/>
          <w:szCs w:val="24"/>
          <w:lang w:val="en-US"/>
        </w:rPr>
        <w:footnoteReference w:id="23"/>
      </w:r>
      <w:r w:rsidR="008B668F" w:rsidRPr="00A34D67">
        <w:rPr>
          <w:rFonts w:ascii="Arial" w:hAnsi="Arial" w:cs="Arial"/>
          <w:sz w:val="24"/>
          <w:szCs w:val="24"/>
          <w:lang w:val="en-US"/>
        </w:rPr>
        <w:t xml:space="preserve"> </w:t>
      </w:r>
      <w:r w:rsidR="00B233E3" w:rsidRPr="00A34D67">
        <w:rPr>
          <w:rFonts w:ascii="Arial" w:hAnsi="Arial" w:cs="Arial"/>
          <w:sz w:val="24"/>
          <w:szCs w:val="24"/>
          <w:lang w:val="en-US"/>
        </w:rPr>
        <w:t xml:space="preserve">Articles 19-21 of the </w:t>
      </w:r>
      <w:r w:rsidR="00B233E3" w:rsidRPr="00A34D67">
        <w:rPr>
          <w:rFonts w:ascii="Arial" w:hAnsi="Arial" w:cs="Arial"/>
          <w:bCs/>
          <w:sz w:val="24"/>
          <w:szCs w:val="24"/>
          <w:lang w:val="en-US"/>
        </w:rPr>
        <w:t>Vienna Convention on the Law of Treaties</w:t>
      </w:r>
      <w:r w:rsidR="00941FE9" w:rsidRPr="00A34D67">
        <w:rPr>
          <w:rFonts w:ascii="Arial" w:hAnsi="Arial" w:cs="Arial"/>
          <w:sz w:val="24"/>
          <w:szCs w:val="24"/>
          <w:lang w:val="en-US"/>
        </w:rPr>
        <w:t xml:space="preserve"> 1969</w:t>
      </w:r>
      <w:r w:rsidR="00941FE9" w:rsidRPr="00A34D67">
        <w:rPr>
          <w:rFonts w:ascii="Arial" w:hAnsi="Arial" w:cs="Arial"/>
          <w:color w:val="FF0000"/>
          <w:sz w:val="24"/>
          <w:szCs w:val="24"/>
          <w:lang w:val="en-US"/>
        </w:rPr>
        <w:t xml:space="preserve"> </w:t>
      </w:r>
      <w:r w:rsidR="00941FE9" w:rsidRPr="00A34D67">
        <w:rPr>
          <w:rFonts w:ascii="Arial" w:hAnsi="Arial" w:cs="Arial"/>
          <w:sz w:val="24"/>
          <w:szCs w:val="24"/>
          <w:lang w:val="en-US"/>
        </w:rPr>
        <w:t>permit</w:t>
      </w:r>
      <w:r w:rsidR="00B233E3" w:rsidRPr="00A34D67">
        <w:rPr>
          <w:rFonts w:ascii="Arial" w:hAnsi="Arial" w:cs="Arial"/>
          <w:sz w:val="24"/>
          <w:szCs w:val="24"/>
          <w:lang w:val="en-US"/>
        </w:rPr>
        <w:t xml:space="preserve"> </w:t>
      </w:r>
      <w:r w:rsidR="00964517" w:rsidRPr="00A34D67">
        <w:rPr>
          <w:rFonts w:ascii="Arial" w:hAnsi="Arial" w:cs="Arial"/>
          <w:sz w:val="24"/>
          <w:szCs w:val="24"/>
          <w:lang w:val="en-US"/>
        </w:rPr>
        <w:t xml:space="preserve">reserving </w:t>
      </w:r>
      <w:r w:rsidR="00B233E3" w:rsidRPr="00A34D67">
        <w:rPr>
          <w:rFonts w:ascii="Arial" w:hAnsi="Arial" w:cs="Arial"/>
          <w:sz w:val="24"/>
          <w:szCs w:val="24"/>
          <w:lang w:val="en-US"/>
        </w:rPr>
        <w:t xml:space="preserve">states to </w:t>
      </w:r>
      <w:r w:rsidR="00DB5969" w:rsidRPr="00A34D67">
        <w:rPr>
          <w:rFonts w:ascii="Arial" w:hAnsi="Arial" w:cs="Arial"/>
          <w:sz w:val="24"/>
          <w:szCs w:val="24"/>
          <w:lang w:val="en-US"/>
        </w:rPr>
        <w:t>make</w:t>
      </w:r>
      <w:r w:rsidR="00B233E3" w:rsidRPr="00A34D67">
        <w:rPr>
          <w:rFonts w:ascii="Arial" w:hAnsi="Arial" w:cs="Arial"/>
          <w:sz w:val="24"/>
          <w:szCs w:val="24"/>
          <w:lang w:val="en-US"/>
        </w:rPr>
        <w:t xml:space="preserve"> reservations to </w:t>
      </w:r>
      <w:r w:rsidR="00941FE9" w:rsidRPr="00A34D67">
        <w:rPr>
          <w:rFonts w:ascii="Arial" w:hAnsi="Arial" w:cs="Arial"/>
          <w:sz w:val="24"/>
          <w:szCs w:val="24"/>
          <w:lang w:val="en-US"/>
        </w:rPr>
        <w:t xml:space="preserve">multilateral </w:t>
      </w:r>
      <w:r w:rsidR="00B233E3" w:rsidRPr="00A34D67">
        <w:rPr>
          <w:rFonts w:ascii="Arial" w:hAnsi="Arial" w:cs="Arial"/>
          <w:sz w:val="24"/>
          <w:szCs w:val="24"/>
          <w:lang w:val="en-US"/>
        </w:rPr>
        <w:t>treaties</w:t>
      </w:r>
      <w:r w:rsidR="00527F6C" w:rsidRPr="00A34D67">
        <w:rPr>
          <w:rFonts w:ascii="Arial" w:hAnsi="Arial" w:cs="Arial"/>
          <w:sz w:val="24"/>
          <w:szCs w:val="24"/>
          <w:lang w:val="en-US"/>
        </w:rPr>
        <w:t>.</w:t>
      </w:r>
      <w:r w:rsidR="008B668F" w:rsidRPr="00A34D67">
        <w:rPr>
          <w:rStyle w:val="FootnoteReference"/>
          <w:rFonts w:ascii="Arial" w:hAnsi="Arial" w:cs="Arial"/>
          <w:sz w:val="24"/>
          <w:szCs w:val="24"/>
          <w:lang w:val="en-US"/>
        </w:rPr>
        <w:footnoteReference w:id="24"/>
      </w:r>
      <w:r w:rsidR="008B668F" w:rsidRPr="00A34D67">
        <w:rPr>
          <w:rFonts w:ascii="Arial" w:hAnsi="Arial" w:cs="Arial"/>
          <w:sz w:val="24"/>
          <w:szCs w:val="24"/>
          <w:lang w:val="en-US"/>
        </w:rPr>
        <w:t xml:space="preserve"> </w:t>
      </w:r>
      <w:r w:rsidR="00527F6C" w:rsidRPr="00A34D67">
        <w:rPr>
          <w:rFonts w:ascii="Arial" w:hAnsi="Arial" w:cs="Arial"/>
          <w:sz w:val="24"/>
          <w:szCs w:val="24"/>
          <w:lang w:val="en-US"/>
        </w:rPr>
        <w:t>This excludes</w:t>
      </w:r>
      <w:r w:rsidR="00B233E3" w:rsidRPr="00A34D67">
        <w:rPr>
          <w:rFonts w:ascii="Arial" w:hAnsi="Arial" w:cs="Arial"/>
          <w:sz w:val="24"/>
          <w:szCs w:val="24"/>
          <w:lang w:val="en-US"/>
        </w:rPr>
        <w:t xml:space="preserve"> </w:t>
      </w:r>
      <w:r w:rsidR="00581573" w:rsidRPr="00A34D67">
        <w:rPr>
          <w:rFonts w:ascii="Arial" w:hAnsi="Arial" w:cs="Arial"/>
          <w:sz w:val="24"/>
          <w:szCs w:val="24"/>
          <w:lang w:val="en-US"/>
        </w:rPr>
        <w:t xml:space="preserve">situations </w:t>
      </w:r>
      <w:r w:rsidR="00B233E3" w:rsidRPr="00A34D67">
        <w:rPr>
          <w:rFonts w:ascii="Arial" w:hAnsi="Arial" w:cs="Arial"/>
          <w:sz w:val="24"/>
          <w:szCs w:val="24"/>
          <w:lang w:val="en-US"/>
        </w:rPr>
        <w:t xml:space="preserve">where </w:t>
      </w:r>
      <w:r w:rsidR="00DB5969" w:rsidRPr="00A34D67">
        <w:rPr>
          <w:rFonts w:ascii="Arial" w:hAnsi="Arial" w:cs="Arial"/>
          <w:sz w:val="24"/>
          <w:szCs w:val="24"/>
          <w:lang w:val="en-US"/>
        </w:rPr>
        <w:t xml:space="preserve">other states reject them on the grounds that the reservations </w:t>
      </w:r>
      <w:r w:rsidR="00B233E3" w:rsidRPr="00A34D67">
        <w:rPr>
          <w:rFonts w:ascii="Arial" w:hAnsi="Arial" w:cs="Arial"/>
          <w:sz w:val="24"/>
          <w:szCs w:val="24"/>
          <w:lang w:val="en-US"/>
        </w:rPr>
        <w:t xml:space="preserve">are </w:t>
      </w:r>
      <w:r w:rsidR="00DB5969" w:rsidRPr="00A34D67">
        <w:rPr>
          <w:rFonts w:ascii="Arial" w:hAnsi="Arial" w:cs="Arial"/>
          <w:sz w:val="24"/>
          <w:szCs w:val="24"/>
          <w:lang w:val="en-US"/>
        </w:rPr>
        <w:t xml:space="preserve">at odds with </w:t>
      </w:r>
      <w:r w:rsidR="00B233E3" w:rsidRPr="00A34D67">
        <w:rPr>
          <w:rFonts w:ascii="Arial" w:hAnsi="Arial" w:cs="Arial"/>
          <w:sz w:val="24"/>
          <w:szCs w:val="24"/>
          <w:lang w:val="en-US"/>
        </w:rPr>
        <w:t xml:space="preserve">the </w:t>
      </w:r>
      <w:r w:rsidR="00DB5969" w:rsidRPr="00A34D67">
        <w:rPr>
          <w:rFonts w:ascii="Arial" w:hAnsi="Arial" w:cs="Arial"/>
          <w:sz w:val="24"/>
          <w:szCs w:val="24"/>
          <w:lang w:val="en-US"/>
        </w:rPr>
        <w:t xml:space="preserve">object and purpose </w:t>
      </w:r>
      <w:r w:rsidR="00B233E3" w:rsidRPr="00A34D67">
        <w:rPr>
          <w:rFonts w:ascii="Arial" w:hAnsi="Arial" w:cs="Arial"/>
          <w:sz w:val="24"/>
          <w:szCs w:val="24"/>
          <w:lang w:val="en-US"/>
        </w:rPr>
        <w:t>of the treaty in question.</w:t>
      </w:r>
      <w:r w:rsidR="00FB302C" w:rsidRPr="00A34D67">
        <w:rPr>
          <w:rStyle w:val="FootnoteReference"/>
          <w:rFonts w:ascii="Arial" w:hAnsi="Arial" w:cs="Arial"/>
          <w:sz w:val="24"/>
          <w:szCs w:val="24"/>
          <w:lang w:val="en-US"/>
        </w:rPr>
        <w:footnoteReference w:id="25"/>
      </w:r>
      <w:r w:rsidR="00B233E3" w:rsidRPr="00A34D67">
        <w:rPr>
          <w:rFonts w:ascii="Arial" w:hAnsi="Arial" w:cs="Arial"/>
          <w:color w:val="FF0000"/>
          <w:sz w:val="24"/>
          <w:szCs w:val="24"/>
          <w:lang w:val="en-US"/>
        </w:rPr>
        <w:t xml:space="preserve"> </w:t>
      </w:r>
      <w:r w:rsidR="003C4703" w:rsidRPr="00A34D67">
        <w:rPr>
          <w:rFonts w:ascii="Arial" w:hAnsi="Arial" w:cs="Arial"/>
          <w:sz w:val="24"/>
          <w:szCs w:val="24"/>
          <w:lang w:val="en-US"/>
        </w:rPr>
        <w:t>The 1978 Vienna Convention later clarified that a reserving State could draft a reservation “when making a notification of succession to a treaty”.</w:t>
      </w:r>
      <w:r w:rsidR="003C4703" w:rsidRPr="00A34D67">
        <w:rPr>
          <w:rStyle w:val="FootnoteReference"/>
          <w:rFonts w:ascii="Arial" w:hAnsi="Arial" w:cs="Arial"/>
          <w:sz w:val="24"/>
          <w:szCs w:val="24"/>
          <w:lang w:val="en-US"/>
        </w:rPr>
        <w:footnoteReference w:id="26"/>
      </w:r>
      <w:r w:rsidR="003C4703" w:rsidRPr="00A34D67">
        <w:rPr>
          <w:rFonts w:ascii="Arial" w:hAnsi="Arial" w:cs="Arial"/>
          <w:color w:val="FF0000"/>
          <w:sz w:val="24"/>
          <w:szCs w:val="24"/>
          <w:lang w:val="en-US"/>
        </w:rPr>
        <w:t xml:space="preserve"> </w:t>
      </w:r>
      <w:r w:rsidR="003C4703" w:rsidRPr="00A34D67">
        <w:rPr>
          <w:rFonts w:ascii="Arial" w:hAnsi="Arial" w:cs="Arial"/>
          <w:sz w:val="24"/>
          <w:szCs w:val="24"/>
          <w:lang w:val="en-US"/>
        </w:rPr>
        <w:t>Additionally, the 1986 Vienna Convention further provided that reservations could be made by international organisation</w:t>
      </w:r>
      <w:r w:rsidR="00C03B15">
        <w:rPr>
          <w:rFonts w:ascii="Arial" w:hAnsi="Arial" w:cs="Arial"/>
          <w:sz w:val="24"/>
          <w:szCs w:val="24"/>
          <w:lang w:val="en-US"/>
        </w:rPr>
        <w:t>s</w:t>
      </w:r>
      <w:r w:rsidR="003C4703" w:rsidRPr="00A34D67">
        <w:rPr>
          <w:rFonts w:ascii="Arial" w:hAnsi="Arial" w:cs="Arial"/>
          <w:sz w:val="24"/>
          <w:szCs w:val="24"/>
          <w:lang w:val="en-US"/>
        </w:rPr>
        <w:t xml:space="preserve"> when formally expressing their consent to be bound by a treaty.</w:t>
      </w:r>
      <w:r w:rsidR="006B3F8E">
        <w:rPr>
          <w:rStyle w:val="FootnoteReference"/>
          <w:rFonts w:ascii="Arial" w:hAnsi="Arial" w:cs="Arial"/>
          <w:sz w:val="24"/>
          <w:szCs w:val="24"/>
          <w:lang w:val="en-US"/>
        </w:rPr>
        <w:footnoteReference w:id="27"/>
      </w:r>
      <w:r w:rsidR="003C4703">
        <w:rPr>
          <w:rFonts w:ascii="Arial" w:hAnsi="Arial" w:cs="Arial"/>
          <w:color w:val="FF0000"/>
          <w:sz w:val="24"/>
          <w:szCs w:val="24"/>
          <w:lang w:val="en-US"/>
        </w:rPr>
        <w:t xml:space="preserve"> </w:t>
      </w:r>
      <w:r w:rsidR="00D02B43" w:rsidRPr="00A34D67">
        <w:rPr>
          <w:rFonts w:ascii="Arial" w:hAnsi="Arial" w:cs="Arial"/>
          <w:sz w:val="24"/>
          <w:szCs w:val="24"/>
          <w:lang w:val="en-US"/>
        </w:rPr>
        <w:t>Complex multilateral treaties are key to the strength of the Convention’s reservations regime introduced in Articles 19-2</w:t>
      </w:r>
      <w:r w:rsidR="001952A2">
        <w:rPr>
          <w:rFonts w:ascii="Arial" w:hAnsi="Arial" w:cs="Arial"/>
          <w:sz w:val="24"/>
          <w:szCs w:val="24"/>
          <w:lang w:val="en-US"/>
        </w:rPr>
        <w:t>3</w:t>
      </w:r>
      <w:r w:rsidR="00D02B43" w:rsidRPr="00A34D67">
        <w:rPr>
          <w:rFonts w:ascii="Arial" w:hAnsi="Arial" w:cs="Arial"/>
          <w:sz w:val="24"/>
          <w:szCs w:val="24"/>
          <w:lang w:val="en-US"/>
        </w:rPr>
        <w:t xml:space="preserve">, due to the </w:t>
      </w:r>
      <w:r w:rsidR="00633358" w:rsidRPr="00A34D67">
        <w:rPr>
          <w:rFonts w:ascii="Arial" w:hAnsi="Arial" w:cs="Arial"/>
          <w:sz w:val="24"/>
          <w:szCs w:val="24"/>
          <w:lang w:val="en-US"/>
        </w:rPr>
        <w:t xml:space="preserve">negotiation </w:t>
      </w:r>
      <w:r w:rsidR="00D02B43" w:rsidRPr="00A34D67">
        <w:rPr>
          <w:rFonts w:ascii="Arial" w:hAnsi="Arial" w:cs="Arial"/>
          <w:sz w:val="24"/>
          <w:szCs w:val="24"/>
          <w:lang w:val="en-US"/>
        </w:rPr>
        <w:t xml:space="preserve">effect of </w:t>
      </w:r>
      <w:r w:rsidR="00633358" w:rsidRPr="00A34D67">
        <w:rPr>
          <w:rFonts w:ascii="Arial" w:hAnsi="Arial" w:cs="Arial"/>
          <w:sz w:val="24"/>
          <w:szCs w:val="24"/>
          <w:lang w:val="en-US"/>
        </w:rPr>
        <w:t>allowing disagreements to the treaty to be made through reservations</w:t>
      </w:r>
      <w:r w:rsidR="00D02B43" w:rsidRPr="00A34D67">
        <w:rPr>
          <w:rFonts w:ascii="Arial" w:hAnsi="Arial" w:cs="Arial"/>
          <w:sz w:val="24"/>
          <w:szCs w:val="24"/>
          <w:lang w:val="en-US"/>
        </w:rPr>
        <w:t>.</w:t>
      </w:r>
      <w:r w:rsidR="00D02B43" w:rsidRPr="00A34D67">
        <w:rPr>
          <w:rFonts w:ascii="Arial" w:hAnsi="Arial" w:cs="Arial"/>
          <w:color w:val="FF0000"/>
          <w:sz w:val="24"/>
          <w:szCs w:val="24"/>
          <w:lang w:val="en-US"/>
        </w:rPr>
        <w:t xml:space="preserve"> </w:t>
      </w:r>
      <w:r w:rsidR="00581573" w:rsidRPr="00A34D67">
        <w:rPr>
          <w:rFonts w:ascii="Arial" w:hAnsi="Arial" w:cs="Arial"/>
          <w:sz w:val="24"/>
          <w:szCs w:val="24"/>
          <w:lang w:val="en-US"/>
        </w:rPr>
        <w:t xml:space="preserve">These provisions </w:t>
      </w:r>
      <w:r w:rsidR="008701B8" w:rsidRPr="00A34D67">
        <w:rPr>
          <w:rFonts w:ascii="Arial" w:hAnsi="Arial" w:cs="Arial"/>
          <w:sz w:val="24"/>
          <w:szCs w:val="24"/>
          <w:lang w:val="en-US"/>
        </w:rPr>
        <w:t xml:space="preserve">have also </w:t>
      </w:r>
      <w:r w:rsidR="00581573" w:rsidRPr="00A34D67">
        <w:rPr>
          <w:rFonts w:ascii="Arial" w:hAnsi="Arial" w:cs="Arial"/>
          <w:sz w:val="24"/>
          <w:szCs w:val="24"/>
          <w:lang w:val="en-US"/>
        </w:rPr>
        <w:t>established the notion that reservations are reciprocal.</w:t>
      </w:r>
      <w:r w:rsidR="008C6E67" w:rsidRPr="00A34D67">
        <w:rPr>
          <w:rStyle w:val="FootnoteReference"/>
          <w:rFonts w:ascii="Arial" w:hAnsi="Arial" w:cs="Arial"/>
          <w:sz w:val="24"/>
          <w:szCs w:val="24"/>
          <w:lang w:val="en-US"/>
        </w:rPr>
        <w:footnoteReference w:id="28"/>
      </w:r>
      <w:r w:rsidR="00581573" w:rsidRPr="00A34D67">
        <w:rPr>
          <w:rFonts w:ascii="Arial" w:hAnsi="Arial" w:cs="Arial"/>
          <w:sz w:val="24"/>
          <w:szCs w:val="24"/>
          <w:lang w:val="en-US"/>
        </w:rPr>
        <w:t xml:space="preserve"> </w:t>
      </w:r>
      <w:r w:rsidR="00B24B11" w:rsidRPr="00A34D67">
        <w:rPr>
          <w:rFonts w:ascii="Arial" w:hAnsi="Arial" w:cs="Arial"/>
          <w:sz w:val="24"/>
          <w:szCs w:val="24"/>
          <w:lang w:val="en-US"/>
        </w:rPr>
        <w:t xml:space="preserve">Resultantly, </w:t>
      </w:r>
      <w:r w:rsidR="00997BC5" w:rsidRPr="00A34D67">
        <w:rPr>
          <w:rFonts w:ascii="Arial" w:hAnsi="Arial" w:cs="Arial"/>
          <w:sz w:val="24"/>
          <w:szCs w:val="24"/>
          <w:lang w:val="en-US"/>
        </w:rPr>
        <w:t xml:space="preserve">it is compulsory for </w:t>
      </w:r>
      <w:r w:rsidR="00B24B11" w:rsidRPr="00A34D67">
        <w:rPr>
          <w:rFonts w:ascii="Arial" w:hAnsi="Arial" w:cs="Arial"/>
          <w:sz w:val="24"/>
          <w:szCs w:val="24"/>
          <w:lang w:val="en-US"/>
        </w:rPr>
        <w:t xml:space="preserve">states that wish to exempt themselves from their </w:t>
      </w:r>
      <w:r w:rsidR="00997BC5" w:rsidRPr="00A34D67">
        <w:rPr>
          <w:rFonts w:ascii="Arial" w:hAnsi="Arial" w:cs="Arial"/>
          <w:sz w:val="24"/>
          <w:szCs w:val="24"/>
          <w:lang w:val="en-US"/>
        </w:rPr>
        <w:t>commitments to</w:t>
      </w:r>
      <w:r w:rsidR="00B24B11" w:rsidRPr="00A34D67">
        <w:rPr>
          <w:rFonts w:ascii="Arial" w:hAnsi="Arial" w:cs="Arial"/>
          <w:sz w:val="24"/>
          <w:szCs w:val="24"/>
          <w:lang w:val="en-US"/>
        </w:rPr>
        <w:t xml:space="preserve"> a treaty </w:t>
      </w:r>
      <w:r w:rsidR="00997BC5" w:rsidRPr="00A34D67">
        <w:rPr>
          <w:rFonts w:ascii="Arial" w:hAnsi="Arial" w:cs="Arial"/>
          <w:sz w:val="24"/>
          <w:szCs w:val="24"/>
          <w:lang w:val="en-US"/>
        </w:rPr>
        <w:t>to</w:t>
      </w:r>
      <w:r w:rsidR="00B24B11" w:rsidRPr="00A34D67">
        <w:rPr>
          <w:rFonts w:ascii="Arial" w:hAnsi="Arial" w:cs="Arial"/>
          <w:sz w:val="24"/>
          <w:szCs w:val="24"/>
          <w:lang w:val="en-US"/>
        </w:rPr>
        <w:t xml:space="preserve"> free other states from the same </w:t>
      </w:r>
      <w:r w:rsidR="00997BC5" w:rsidRPr="00A34D67">
        <w:rPr>
          <w:rFonts w:ascii="Arial" w:hAnsi="Arial" w:cs="Arial"/>
          <w:sz w:val="24"/>
          <w:szCs w:val="24"/>
          <w:lang w:val="en-US"/>
        </w:rPr>
        <w:t>obligations</w:t>
      </w:r>
      <w:r w:rsidR="00B24B11" w:rsidRPr="00A34D67">
        <w:rPr>
          <w:rFonts w:ascii="Arial" w:hAnsi="Arial" w:cs="Arial"/>
          <w:sz w:val="24"/>
          <w:szCs w:val="24"/>
          <w:lang w:val="en-US"/>
        </w:rPr>
        <w:t>.</w:t>
      </w:r>
      <w:r w:rsidR="00783B5F" w:rsidRPr="00A34D67">
        <w:rPr>
          <w:rFonts w:ascii="Arial" w:hAnsi="Arial" w:cs="Arial"/>
          <w:sz w:val="24"/>
          <w:szCs w:val="24"/>
          <w:lang w:val="en-US"/>
        </w:rPr>
        <w:t xml:space="preserve"> </w:t>
      </w:r>
    </w:p>
    <w:p w14:paraId="54BB1F3D" w14:textId="15F596A0" w:rsidR="009242D0" w:rsidRPr="00A34D67" w:rsidRDefault="009242D0" w:rsidP="00401E4C">
      <w:pPr>
        <w:spacing w:line="480" w:lineRule="auto"/>
        <w:rPr>
          <w:rFonts w:ascii="Arial" w:hAnsi="Arial" w:cs="Arial"/>
          <w:sz w:val="24"/>
          <w:szCs w:val="24"/>
          <w:lang w:val="en-US"/>
        </w:rPr>
      </w:pPr>
      <w:r w:rsidRPr="00A34D67">
        <w:rPr>
          <w:rFonts w:ascii="Arial" w:hAnsi="Arial" w:cs="Arial"/>
          <w:sz w:val="24"/>
          <w:szCs w:val="24"/>
          <w:lang w:val="en-US"/>
        </w:rPr>
        <w:t>Human rights treaties are commonly regarded as non-reciprocal.</w:t>
      </w:r>
      <w:r w:rsidRPr="00A34D67">
        <w:rPr>
          <w:rStyle w:val="FootnoteReference"/>
          <w:rFonts w:ascii="Arial" w:hAnsi="Arial" w:cs="Arial"/>
          <w:sz w:val="24"/>
          <w:szCs w:val="24"/>
          <w:lang w:val="en-US"/>
        </w:rPr>
        <w:footnoteReference w:id="29"/>
      </w:r>
      <w:r w:rsidRPr="00A34D67">
        <w:rPr>
          <w:rFonts w:ascii="Arial" w:hAnsi="Arial" w:cs="Arial"/>
          <w:sz w:val="24"/>
          <w:szCs w:val="24"/>
          <w:lang w:val="en-US"/>
        </w:rPr>
        <w:t xml:space="preserve"> </w:t>
      </w:r>
      <w:r w:rsidR="00BC15FC" w:rsidRPr="00A34D67">
        <w:rPr>
          <w:rFonts w:ascii="Arial" w:hAnsi="Arial" w:cs="Arial"/>
          <w:sz w:val="24"/>
          <w:szCs w:val="24"/>
          <w:lang w:val="en-US"/>
        </w:rPr>
        <w:t>In</w:t>
      </w:r>
      <w:r w:rsidRPr="00A34D67">
        <w:rPr>
          <w:rFonts w:ascii="Arial" w:hAnsi="Arial" w:cs="Arial"/>
          <w:sz w:val="24"/>
          <w:szCs w:val="24"/>
          <w:lang w:val="en-US"/>
        </w:rPr>
        <w:t xml:space="preserve"> contrast to most other multilateral treaties, ‘human rights treaties do not create recipro</w:t>
      </w:r>
      <w:r w:rsidR="006E5FD1">
        <w:rPr>
          <w:rFonts w:ascii="Arial" w:hAnsi="Arial" w:cs="Arial"/>
          <w:sz w:val="24"/>
          <w:szCs w:val="24"/>
          <w:lang w:val="en-US"/>
        </w:rPr>
        <w:t>cal relationships between state</w:t>
      </w:r>
      <w:r w:rsidRPr="00A34D67">
        <w:rPr>
          <w:rFonts w:ascii="Arial" w:hAnsi="Arial" w:cs="Arial"/>
          <w:sz w:val="24"/>
          <w:szCs w:val="24"/>
          <w:lang w:val="en-US"/>
        </w:rPr>
        <w:t xml:space="preserve"> parties,</w:t>
      </w:r>
      <w:r w:rsidR="00BC15FC" w:rsidRPr="00A34D67">
        <w:rPr>
          <w:rFonts w:ascii="Arial" w:hAnsi="Arial" w:cs="Arial"/>
          <w:sz w:val="24"/>
          <w:szCs w:val="24"/>
          <w:lang w:val="en-US"/>
        </w:rPr>
        <w:t>’</w:t>
      </w:r>
      <w:r w:rsidRPr="00A34D67">
        <w:rPr>
          <w:rStyle w:val="FootnoteReference"/>
          <w:rFonts w:ascii="Arial" w:hAnsi="Arial" w:cs="Arial"/>
          <w:sz w:val="24"/>
          <w:szCs w:val="24"/>
          <w:lang w:val="en-US"/>
        </w:rPr>
        <w:footnoteReference w:id="30"/>
      </w:r>
      <w:r w:rsidRPr="00A34D67">
        <w:rPr>
          <w:rFonts w:ascii="Arial" w:hAnsi="Arial" w:cs="Arial"/>
          <w:sz w:val="24"/>
          <w:szCs w:val="24"/>
          <w:lang w:val="en-US"/>
        </w:rPr>
        <w:t xml:space="preserve"> but </w:t>
      </w:r>
      <w:r w:rsidR="00BC15FC" w:rsidRPr="00A34D67">
        <w:rPr>
          <w:rFonts w:ascii="Arial" w:hAnsi="Arial" w:cs="Arial"/>
          <w:sz w:val="24"/>
          <w:szCs w:val="24"/>
          <w:lang w:val="en-US"/>
        </w:rPr>
        <w:t>produce</w:t>
      </w:r>
      <w:r w:rsidRPr="00A34D67">
        <w:rPr>
          <w:rFonts w:ascii="Arial" w:hAnsi="Arial" w:cs="Arial"/>
          <w:sz w:val="24"/>
          <w:szCs w:val="24"/>
          <w:lang w:val="en-US"/>
        </w:rPr>
        <w:t xml:space="preserve"> an objective </w:t>
      </w:r>
      <w:r w:rsidR="00997E70">
        <w:rPr>
          <w:rFonts w:ascii="Arial" w:hAnsi="Arial" w:cs="Arial"/>
          <w:sz w:val="24"/>
          <w:szCs w:val="24"/>
          <w:lang w:val="en-US"/>
        </w:rPr>
        <w:t>test</w:t>
      </w:r>
      <w:r w:rsidRPr="00A34D67">
        <w:rPr>
          <w:rFonts w:ascii="Arial" w:hAnsi="Arial" w:cs="Arial"/>
          <w:sz w:val="24"/>
          <w:szCs w:val="24"/>
          <w:lang w:val="en-US"/>
        </w:rPr>
        <w:t xml:space="preserve"> </w:t>
      </w:r>
      <w:r w:rsidR="00BC15FC" w:rsidRPr="00A34D67">
        <w:rPr>
          <w:rFonts w:ascii="Arial" w:hAnsi="Arial" w:cs="Arial"/>
          <w:sz w:val="24"/>
          <w:szCs w:val="24"/>
          <w:lang w:val="en-US"/>
        </w:rPr>
        <w:t>for protecting</w:t>
      </w:r>
      <w:r w:rsidRPr="00A34D67">
        <w:rPr>
          <w:rFonts w:ascii="Arial" w:hAnsi="Arial" w:cs="Arial"/>
          <w:sz w:val="24"/>
          <w:szCs w:val="24"/>
          <w:lang w:val="en-US"/>
        </w:rPr>
        <w:t xml:space="preserve"> human rights.</w:t>
      </w:r>
      <w:r w:rsidRPr="00A34D67">
        <w:rPr>
          <w:rStyle w:val="FootnoteReference"/>
          <w:rFonts w:ascii="Arial" w:hAnsi="Arial" w:cs="Arial"/>
          <w:sz w:val="24"/>
          <w:szCs w:val="24"/>
          <w:lang w:val="en-US"/>
        </w:rPr>
        <w:footnoteReference w:id="31"/>
      </w:r>
      <w:r w:rsidR="00BF497A" w:rsidRPr="00A34D67">
        <w:rPr>
          <w:rFonts w:ascii="Arial" w:hAnsi="Arial" w:cs="Arial"/>
          <w:sz w:val="24"/>
          <w:szCs w:val="24"/>
          <w:lang w:val="en-US"/>
        </w:rPr>
        <w:t xml:space="preserve"> The Vienna Convention confirms the non-reciprocal nature of human rights treaties, when it discusses the effects of a breach of such treaties.</w:t>
      </w:r>
      <w:r w:rsidR="00B34DB7" w:rsidRPr="00A34D67">
        <w:rPr>
          <w:rStyle w:val="FootnoteReference"/>
          <w:rFonts w:ascii="Arial" w:hAnsi="Arial" w:cs="Arial"/>
          <w:sz w:val="24"/>
          <w:szCs w:val="24"/>
          <w:lang w:val="en-US"/>
        </w:rPr>
        <w:footnoteReference w:id="32"/>
      </w:r>
      <w:r w:rsidR="005F3A56" w:rsidRPr="00A34D67">
        <w:rPr>
          <w:rFonts w:ascii="Arial" w:hAnsi="Arial" w:cs="Arial"/>
          <w:sz w:val="24"/>
          <w:szCs w:val="24"/>
          <w:lang w:val="en-US"/>
        </w:rPr>
        <w:t xml:space="preserve"> Article 60(5) highlights that breaching the terms of a human rights treat</w:t>
      </w:r>
      <w:r w:rsidR="00EF4A8A" w:rsidRPr="00A34D67">
        <w:rPr>
          <w:rFonts w:ascii="Arial" w:hAnsi="Arial" w:cs="Arial"/>
          <w:sz w:val="24"/>
          <w:szCs w:val="24"/>
          <w:lang w:val="en-US"/>
        </w:rPr>
        <w:t>y</w:t>
      </w:r>
      <w:r w:rsidR="005F3A56" w:rsidRPr="00A34D67">
        <w:rPr>
          <w:rFonts w:ascii="Arial" w:hAnsi="Arial" w:cs="Arial"/>
          <w:sz w:val="24"/>
          <w:szCs w:val="24"/>
          <w:lang w:val="en-US"/>
        </w:rPr>
        <w:t xml:space="preserve"> </w:t>
      </w:r>
      <w:r w:rsidR="009B1D35">
        <w:rPr>
          <w:rFonts w:ascii="Arial" w:hAnsi="Arial" w:cs="Arial"/>
          <w:sz w:val="24"/>
          <w:szCs w:val="24"/>
          <w:lang w:val="en-US"/>
        </w:rPr>
        <w:t>will</w:t>
      </w:r>
      <w:r w:rsidR="005F3A56" w:rsidRPr="00A34D67">
        <w:rPr>
          <w:rFonts w:ascii="Arial" w:hAnsi="Arial" w:cs="Arial"/>
          <w:sz w:val="24"/>
          <w:szCs w:val="24"/>
          <w:lang w:val="en-US"/>
        </w:rPr>
        <w:t xml:space="preserve"> not </w:t>
      </w:r>
      <w:r w:rsidR="00EF4A8A" w:rsidRPr="00A34D67">
        <w:rPr>
          <w:rFonts w:ascii="Arial" w:hAnsi="Arial" w:cs="Arial"/>
          <w:sz w:val="24"/>
          <w:szCs w:val="24"/>
          <w:lang w:val="en-US"/>
        </w:rPr>
        <w:t>set a precedent for other state</w:t>
      </w:r>
      <w:r w:rsidR="005F3A56" w:rsidRPr="00A34D67">
        <w:rPr>
          <w:rFonts w:ascii="Arial" w:hAnsi="Arial" w:cs="Arial"/>
          <w:sz w:val="24"/>
          <w:szCs w:val="24"/>
          <w:lang w:val="en-US"/>
        </w:rPr>
        <w:t xml:space="preserve"> parties to do the same.</w:t>
      </w:r>
      <w:r w:rsidR="00A466B9" w:rsidRPr="00A34D67">
        <w:rPr>
          <w:rFonts w:ascii="Arial" w:hAnsi="Arial" w:cs="Arial"/>
          <w:sz w:val="24"/>
          <w:szCs w:val="24"/>
          <w:lang w:val="en-US"/>
        </w:rPr>
        <w:t xml:space="preserve"> The provision also </w:t>
      </w:r>
      <w:r w:rsidR="00C43FBC" w:rsidRPr="00A34D67">
        <w:rPr>
          <w:rFonts w:ascii="Arial" w:hAnsi="Arial" w:cs="Arial"/>
          <w:sz w:val="24"/>
          <w:szCs w:val="24"/>
          <w:lang w:val="en-US"/>
        </w:rPr>
        <w:t xml:space="preserve">disallowed ‘the suspension of the operation of a treaty of a humanitarian character by other </w:t>
      </w:r>
      <w:r w:rsidR="006E5FD1">
        <w:rPr>
          <w:rFonts w:ascii="Arial" w:hAnsi="Arial" w:cs="Arial"/>
          <w:sz w:val="24"/>
          <w:szCs w:val="24"/>
          <w:lang w:val="en-US"/>
        </w:rPr>
        <w:t>state parties</w:t>
      </w:r>
      <w:r w:rsidR="00C43FBC" w:rsidRPr="00A34D67">
        <w:rPr>
          <w:rFonts w:ascii="Arial" w:hAnsi="Arial" w:cs="Arial"/>
          <w:sz w:val="24"/>
          <w:szCs w:val="24"/>
          <w:lang w:val="en-US"/>
        </w:rPr>
        <w:t>’</w:t>
      </w:r>
      <w:r w:rsidR="00C43FBC" w:rsidRPr="00A34D67">
        <w:rPr>
          <w:rStyle w:val="FootnoteReference"/>
          <w:rFonts w:ascii="Arial" w:hAnsi="Arial" w:cs="Arial"/>
          <w:sz w:val="24"/>
          <w:szCs w:val="24"/>
          <w:lang w:val="en-US"/>
        </w:rPr>
        <w:footnoteReference w:id="33"/>
      </w:r>
      <w:r w:rsidR="00C43FBC" w:rsidRPr="00A34D67">
        <w:rPr>
          <w:rFonts w:ascii="Arial" w:hAnsi="Arial" w:cs="Arial"/>
          <w:sz w:val="24"/>
          <w:szCs w:val="24"/>
          <w:lang w:val="en-US"/>
        </w:rPr>
        <w:t xml:space="preserve"> due to the actions of one of the parties breaching the terms of the treaty.</w:t>
      </w:r>
      <w:r w:rsidR="009356C1" w:rsidRPr="00A34D67">
        <w:rPr>
          <w:rStyle w:val="FootnoteReference"/>
          <w:rFonts w:ascii="Arial" w:hAnsi="Arial" w:cs="Arial"/>
          <w:sz w:val="24"/>
          <w:szCs w:val="24"/>
          <w:lang w:val="en-US"/>
        </w:rPr>
        <w:footnoteReference w:id="34"/>
      </w:r>
    </w:p>
    <w:p w14:paraId="2A1B19A8" w14:textId="14D2116F" w:rsidR="0061354B" w:rsidRPr="00367F00" w:rsidRDefault="00BF16A6" w:rsidP="00401E4C">
      <w:pPr>
        <w:spacing w:line="480" w:lineRule="auto"/>
        <w:rPr>
          <w:rFonts w:ascii="Arial" w:hAnsi="Arial" w:cs="Arial"/>
          <w:sz w:val="24"/>
          <w:szCs w:val="24"/>
        </w:rPr>
      </w:pPr>
      <w:r w:rsidRPr="00A34D67">
        <w:rPr>
          <w:rFonts w:ascii="Arial" w:hAnsi="Arial" w:cs="Arial"/>
          <w:sz w:val="24"/>
          <w:szCs w:val="24"/>
        </w:rPr>
        <w:t xml:space="preserve">The Vienna Convention permits states to </w:t>
      </w:r>
      <w:r w:rsidR="00EE1B3E" w:rsidRPr="00A34D67">
        <w:rPr>
          <w:rFonts w:ascii="Arial" w:hAnsi="Arial" w:cs="Arial"/>
          <w:sz w:val="24"/>
          <w:szCs w:val="24"/>
        </w:rPr>
        <w:t xml:space="preserve">append </w:t>
      </w:r>
      <w:r w:rsidR="000E7B32" w:rsidRPr="00A34D67">
        <w:rPr>
          <w:rFonts w:ascii="Arial" w:hAnsi="Arial" w:cs="Arial"/>
          <w:sz w:val="24"/>
          <w:szCs w:val="24"/>
        </w:rPr>
        <w:t>reservations to treaties, unless such reservations ‘are expressly prohibited by the treaty’ or ‘are incompatible with [its] object and purpose’.</w:t>
      </w:r>
      <w:r w:rsidR="000E7B32" w:rsidRPr="00A34D67">
        <w:rPr>
          <w:rStyle w:val="FootnoteReference"/>
          <w:rFonts w:ascii="Arial" w:hAnsi="Arial" w:cs="Arial"/>
          <w:sz w:val="24"/>
          <w:szCs w:val="24"/>
        </w:rPr>
        <w:footnoteReference w:id="35"/>
      </w:r>
      <w:r w:rsidR="001310A3" w:rsidRPr="00A34D67">
        <w:rPr>
          <w:rFonts w:ascii="Arial" w:hAnsi="Arial" w:cs="Arial"/>
          <w:sz w:val="24"/>
          <w:szCs w:val="24"/>
        </w:rPr>
        <w:t xml:space="preserve"> Article 20(1) of the Vienna Convention clearly states that ‘a reservation expressly authorised by a treaty does not require any subsequent acceptance by the other contracting States unless the treaty so provides’.</w:t>
      </w:r>
      <w:r w:rsidR="001310A3" w:rsidRPr="00A34D67">
        <w:rPr>
          <w:rStyle w:val="FootnoteReference"/>
          <w:rFonts w:ascii="Arial" w:hAnsi="Arial" w:cs="Arial"/>
          <w:sz w:val="24"/>
          <w:szCs w:val="24"/>
        </w:rPr>
        <w:footnoteReference w:id="36"/>
      </w:r>
      <w:r w:rsidR="00367F00">
        <w:rPr>
          <w:rFonts w:ascii="Arial" w:hAnsi="Arial" w:cs="Arial"/>
          <w:sz w:val="24"/>
          <w:szCs w:val="24"/>
        </w:rPr>
        <w:t xml:space="preserve"> </w:t>
      </w:r>
      <w:r w:rsidR="00CC4553">
        <w:rPr>
          <w:rFonts w:ascii="Arial" w:hAnsi="Arial" w:cs="Arial"/>
          <w:sz w:val="24"/>
          <w:szCs w:val="24"/>
        </w:rPr>
        <w:t xml:space="preserve">Sir </w:t>
      </w:r>
      <w:r w:rsidR="00396684">
        <w:rPr>
          <w:rFonts w:ascii="Arial" w:hAnsi="Arial" w:cs="Arial"/>
          <w:sz w:val="24"/>
          <w:szCs w:val="24"/>
        </w:rPr>
        <w:t xml:space="preserve">Frank </w:t>
      </w:r>
      <w:r w:rsidR="0061354B" w:rsidRPr="00396684">
        <w:rPr>
          <w:rFonts w:ascii="Arial" w:hAnsi="Arial" w:cs="Arial"/>
          <w:sz w:val="24"/>
          <w:szCs w:val="24"/>
          <w:lang w:val="en-US"/>
        </w:rPr>
        <w:t xml:space="preserve">Berman has </w:t>
      </w:r>
      <w:r w:rsidR="00396684" w:rsidRPr="00396684">
        <w:rPr>
          <w:rFonts w:ascii="Arial" w:hAnsi="Arial" w:cs="Arial"/>
          <w:sz w:val="24"/>
          <w:szCs w:val="24"/>
          <w:lang w:val="en-US"/>
        </w:rPr>
        <w:t>asserted</w:t>
      </w:r>
      <w:r w:rsidR="0061354B" w:rsidRPr="00396684">
        <w:rPr>
          <w:rFonts w:ascii="Arial" w:hAnsi="Arial" w:cs="Arial"/>
          <w:sz w:val="24"/>
          <w:szCs w:val="24"/>
          <w:lang w:val="en-US"/>
        </w:rPr>
        <w:t xml:space="preserve"> that</w:t>
      </w:r>
      <w:r w:rsidR="00396684" w:rsidRPr="00396684">
        <w:rPr>
          <w:rFonts w:ascii="Arial" w:hAnsi="Arial" w:cs="Arial"/>
          <w:sz w:val="24"/>
          <w:szCs w:val="24"/>
          <w:lang w:val="en-US"/>
        </w:rPr>
        <w:t xml:space="preserve"> upon their adoption in 1969,</w:t>
      </w:r>
      <w:r w:rsidR="0061354B" w:rsidRPr="00396684">
        <w:rPr>
          <w:rFonts w:ascii="Arial" w:hAnsi="Arial" w:cs="Arial"/>
          <w:sz w:val="24"/>
          <w:szCs w:val="24"/>
          <w:lang w:val="en-US"/>
        </w:rPr>
        <w:t xml:space="preserve"> the </w:t>
      </w:r>
      <w:r w:rsidR="00396684" w:rsidRPr="00396684">
        <w:rPr>
          <w:rFonts w:ascii="Arial" w:hAnsi="Arial" w:cs="Arial"/>
          <w:sz w:val="24"/>
          <w:szCs w:val="24"/>
          <w:lang w:val="en-US"/>
        </w:rPr>
        <w:t xml:space="preserve">rules of the </w:t>
      </w:r>
      <w:r w:rsidR="0061354B" w:rsidRPr="00396684">
        <w:rPr>
          <w:rFonts w:ascii="Arial" w:hAnsi="Arial" w:cs="Arial"/>
          <w:sz w:val="24"/>
          <w:szCs w:val="24"/>
          <w:lang w:val="en-US"/>
        </w:rPr>
        <w:t>Vienna Convention ‘swept away at the same time all the supposed special tenets of interpretation that had enveloped the subject like cobwebs’.</w:t>
      </w:r>
      <w:r w:rsidR="00B640C7" w:rsidRPr="00396684">
        <w:rPr>
          <w:rStyle w:val="FootnoteReference"/>
          <w:rFonts w:ascii="Arial" w:hAnsi="Arial" w:cs="Arial"/>
          <w:sz w:val="24"/>
          <w:szCs w:val="24"/>
          <w:lang w:val="en-US"/>
        </w:rPr>
        <w:footnoteReference w:id="37"/>
      </w:r>
      <w:r w:rsidR="0061354B" w:rsidRPr="00396684">
        <w:rPr>
          <w:rFonts w:ascii="Arial" w:hAnsi="Arial" w:cs="Arial"/>
          <w:sz w:val="24"/>
          <w:szCs w:val="24"/>
          <w:lang w:val="en-US"/>
        </w:rPr>
        <w:t xml:space="preserve"> </w:t>
      </w:r>
      <w:r w:rsidR="00C20968">
        <w:rPr>
          <w:rFonts w:ascii="Arial" w:hAnsi="Arial" w:cs="Arial"/>
          <w:sz w:val="24"/>
          <w:szCs w:val="24"/>
          <w:lang w:val="en-US"/>
        </w:rPr>
        <w:t xml:space="preserve">Resultantly, it is now doubtful that one may </w:t>
      </w:r>
      <w:r w:rsidR="00C20968" w:rsidRPr="00C20968">
        <w:rPr>
          <w:rFonts w:ascii="Arial" w:hAnsi="Arial" w:cs="Arial"/>
          <w:sz w:val="24"/>
          <w:szCs w:val="24"/>
          <w:lang w:val="en-US"/>
        </w:rPr>
        <w:t xml:space="preserve">witness prestigious </w:t>
      </w:r>
      <w:r w:rsidR="0061354B" w:rsidRPr="00C20968">
        <w:rPr>
          <w:rFonts w:ascii="Arial" w:hAnsi="Arial" w:cs="Arial"/>
          <w:sz w:val="24"/>
          <w:szCs w:val="24"/>
          <w:lang w:val="en-US"/>
        </w:rPr>
        <w:t>international tribunal</w:t>
      </w:r>
      <w:r w:rsidR="00C20968" w:rsidRPr="00C20968">
        <w:rPr>
          <w:rFonts w:ascii="Arial" w:hAnsi="Arial" w:cs="Arial"/>
          <w:sz w:val="24"/>
          <w:szCs w:val="24"/>
          <w:lang w:val="en-US"/>
        </w:rPr>
        <w:t>s</w:t>
      </w:r>
      <w:r w:rsidR="0061354B" w:rsidRPr="00887D3A">
        <w:rPr>
          <w:rFonts w:ascii="Arial" w:hAnsi="Arial" w:cs="Arial"/>
          <w:color w:val="FF0000"/>
          <w:sz w:val="24"/>
          <w:szCs w:val="24"/>
          <w:lang w:val="en-US"/>
        </w:rPr>
        <w:t xml:space="preserve"> </w:t>
      </w:r>
      <w:r w:rsidR="00C20968" w:rsidRPr="008C304C">
        <w:rPr>
          <w:rFonts w:ascii="Arial" w:hAnsi="Arial" w:cs="Arial"/>
          <w:sz w:val="24"/>
          <w:szCs w:val="24"/>
          <w:lang w:val="en-US"/>
        </w:rPr>
        <w:t>passing judgment on</w:t>
      </w:r>
      <w:r w:rsidR="0061354B" w:rsidRPr="008C304C">
        <w:rPr>
          <w:rFonts w:ascii="Arial" w:hAnsi="Arial" w:cs="Arial"/>
          <w:sz w:val="24"/>
          <w:szCs w:val="24"/>
          <w:lang w:val="en-US"/>
        </w:rPr>
        <w:t xml:space="preserve"> a </w:t>
      </w:r>
      <w:r w:rsidR="00C20968" w:rsidRPr="008C304C">
        <w:rPr>
          <w:rFonts w:ascii="Arial" w:hAnsi="Arial" w:cs="Arial"/>
          <w:sz w:val="24"/>
          <w:szCs w:val="24"/>
          <w:lang w:val="en-US"/>
        </w:rPr>
        <w:t xml:space="preserve">contended </w:t>
      </w:r>
      <w:r w:rsidR="0061354B" w:rsidRPr="008C304C">
        <w:rPr>
          <w:rFonts w:ascii="Arial" w:hAnsi="Arial" w:cs="Arial"/>
          <w:sz w:val="24"/>
          <w:szCs w:val="24"/>
          <w:lang w:val="en-US"/>
        </w:rPr>
        <w:t>interpretation</w:t>
      </w:r>
      <w:r w:rsidR="00C20968" w:rsidRPr="008C304C">
        <w:rPr>
          <w:rFonts w:ascii="Arial" w:hAnsi="Arial" w:cs="Arial"/>
          <w:sz w:val="24"/>
          <w:szCs w:val="24"/>
          <w:lang w:val="en-US"/>
        </w:rPr>
        <w:t xml:space="preserve"> observation through the use of other </w:t>
      </w:r>
      <w:r w:rsidR="00CB299A">
        <w:rPr>
          <w:rFonts w:ascii="Arial" w:hAnsi="Arial" w:cs="Arial"/>
          <w:sz w:val="24"/>
          <w:szCs w:val="24"/>
          <w:lang w:val="en-US"/>
        </w:rPr>
        <w:t>specifically relevant</w:t>
      </w:r>
      <w:r w:rsidR="00C20968" w:rsidRPr="008C304C">
        <w:rPr>
          <w:rFonts w:ascii="Arial" w:hAnsi="Arial" w:cs="Arial"/>
          <w:sz w:val="24"/>
          <w:szCs w:val="24"/>
          <w:lang w:val="en-US"/>
        </w:rPr>
        <w:t xml:space="preserve"> forms of interpretation</w:t>
      </w:r>
      <w:r w:rsidR="00C20968">
        <w:rPr>
          <w:rFonts w:ascii="Arial" w:hAnsi="Arial" w:cs="Arial"/>
          <w:color w:val="FF0000"/>
          <w:sz w:val="24"/>
          <w:szCs w:val="24"/>
          <w:lang w:val="en-US"/>
        </w:rPr>
        <w:t xml:space="preserve"> </w:t>
      </w:r>
      <w:r w:rsidR="00C20968" w:rsidRPr="008C304C">
        <w:rPr>
          <w:rFonts w:ascii="Arial" w:hAnsi="Arial" w:cs="Arial"/>
          <w:sz w:val="24"/>
          <w:szCs w:val="24"/>
          <w:lang w:val="en-US"/>
        </w:rPr>
        <w:t xml:space="preserve">(i.e. the </w:t>
      </w:r>
      <w:r w:rsidR="0061354B" w:rsidRPr="008C304C">
        <w:rPr>
          <w:rFonts w:ascii="Arial" w:hAnsi="Arial" w:cs="Arial"/>
          <w:sz w:val="24"/>
          <w:szCs w:val="24"/>
          <w:lang w:val="en-US"/>
        </w:rPr>
        <w:t xml:space="preserve">‘restrictive’ </w:t>
      </w:r>
      <w:r w:rsidR="00C20968" w:rsidRPr="008C304C">
        <w:rPr>
          <w:rFonts w:ascii="Arial" w:hAnsi="Arial" w:cs="Arial"/>
          <w:sz w:val="24"/>
          <w:szCs w:val="24"/>
          <w:lang w:val="en-US"/>
        </w:rPr>
        <w:t>doctrine of interpretation)</w:t>
      </w:r>
      <w:r w:rsidR="0061354B" w:rsidRPr="00CB299A">
        <w:rPr>
          <w:rFonts w:ascii="Arial" w:hAnsi="Arial" w:cs="Arial"/>
          <w:sz w:val="24"/>
          <w:szCs w:val="24"/>
          <w:lang w:val="en-US"/>
        </w:rPr>
        <w:t>.</w:t>
      </w:r>
      <w:r w:rsidR="00B640C7" w:rsidRPr="00CB299A">
        <w:rPr>
          <w:rStyle w:val="FootnoteReference"/>
          <w:rFonts w:ascii="Arial" w:hAnsi="Arial" w:cs="Arial"/>
          <w:sz w:val="24"/>
          <w:szCs w:val="24"/>
          <w:lang w:val="en-US"/>
        </w:rPr>
        <w:footnoteReference w:id="38"/>
      </w:r>
      <w:r w:rsidR="0061354B" w:rsidRPr="00CB299A">
        <w:rPr>
          <w:rFonts w:ascii="Arial" w:hAnsi="Arial" w:cs="Arial"/>
          <w:sz w:val="24"/>
          <w:szCs w:val="24"/>
          <w:lang w:val="en-US"/>
        </w:rPr>
        <w:t xml:space="preserve"> </w:t>
      </w:r>
    </w:p>
    <w:p w14:paraId="61ACD3FE" w14:textId="20B465B4" w:rsidR="00080FB3" w:rsidRPr="00A34D67" w:rsidRDefault="00080FB3" w:rsidP="00401E4C">
      <w:pPr>
        <w:pStyle w:val="ListParagraph"/>
        <w:numPr>
          <w:ilvl w:val="1"/>
          <w:numId w:val="24"/>
        </w:numPr>
        <w:spacing w:line="480" w:lineRule="auto"/>
        <w:rPr>
          <w:rFonts w:ascii="Arial" w:hAnsi="Arial" w:cs="Arial"/>
          <w:b/>
          <w:sz w:val="24"/>
          <w:szCs w:val="24"/>
        </w:rPr>
      </w:pPr>
      <w:r w:rsidRPr="00A34D67">
        <w:rPr>
          <w:rFonts w:ascii="Arial" w:hAnsi="Arial" w:cs="Arial"/>
          <w:b/>
          <w:sz w:val="24"/>
          <w:szCs w:val="24"/>
        </w:rPr>
        <w:t xml:space="preserve">   The </w:t>
      </w:r>
      <w:r w:rsidR="00582F7F" w:rsidRPr="00A34D67">
        <w:rPr>
          <w:rFonts w:ascii="Arial" w:hAnsi="Arial" w:cs="Arial"/>
          <w:b/>
          <w:sz w:val="24"/>
          <w:szCs w:val="24"/>
        </w:rPr>
        <w:t>disadvantages of the Vienna Convention regime</w:t>
      </w:r>
      <w:r w:rsidRPr="00A34D67">
        <w:rPr>
          <w:rFonts w:ascii="Arial" w:hAnsi="Arial" w:cs="Arial"/>
          <w:b/>
          <w:sz w:val="24"/>
          <w:szCs w:val="24"/>
        </w:rPr>
        <w:t xml:space="preserve"> </w:t>
      </w:r>
    </w:p>
    <w:p w14:paraId="273804AA" w14:textId="473E1A88" w:rsidR="00DA4324" w:rsidRPr="00A34D67" w:rsidRDefault="00DF2534" w:rsidP="00401E4C">
      <w:pPr>
        <w:spacing w:line="480" w:lineRule="auto"/>
        <w:rPr>
          <w:rFonts w:ascii="Arial" w:hAnsi="Arial" w:cs="Arial"/>
          <w:color w:val="FF0000"/>
          <w:sz w:val="24"/>
          <w:szCs w:val="24"/>
          <w:lang w:val="en-US"/>
        </w:rPr>
      </w:pPr>
      <w:r w:rsidRPr="00A34D67">
        <w:rPr>
          <w:rFonts w:ascii="Arial" w:hAnsi="Arial" w:cs="Arial"/>
          <w:sz w:val="24"/>
          <w:szCs w:val="24"/>
          <w:lang w:val="en-US"/>
        </w:rPr>
        <w:t xml:space="preserve">The </w:t>
      </w:r>
      <w:r w:rsidR="00C40849" w:rsidRPr="00A34D67">
        <w:rPr>
          <w:rFonts w:ascii="Arial" w:hAnsi="Arial" w:cs="Arial"/>
          <w:sz w:val="24"/>
          <w:szCs w:val="24"/>
          <w:lang w:val="en-US"/>
        </w:rPr>
        <w:t xml:space="preserve">Vienna </w:t>
      </w:r>
      <w:r w:rsidRPr="00A34D67">
        <w:rPr>
          <w:rFonts w:ascii="Arial" w:hAnsi="Arial" w:cs="Arial"/>
          <w:sz w:val="24"/>
          <w:szCs w:val="24"/>
          <w:lang w:val="en-US"/>
        </w:rPr>
        <w:t xml:space="preserve">Convention </w:t>
      </w:r>
      <w:r w:rsidR="00C40849" w:rsidRPr="00A34D67">
        <w:rPr>
          <w:rFonts w:ascii="Arial" w:hAnsi="Arial" w:cs="Arial"/>
          <w:sz w:val="24"/>
          <w:szCs w:val="24"/>
          <w:lang w:val="en-US"/>
        </w:rPr>
        <w:t xml:space="preserve">may have </w:t>
      </w:r>
      <w:r w:rsidRPr="00A34D67">
        <w:rPr>
          <w:rFonts w:ascii="Arial" w:hAnsi="Arial" w:cs="Arial"/>
          <w:sz w:val="24"/>
          <w:szCs w:val="24"/>
          <w:lang w:val="en-US"/>
        </w:rPr>
        <w:t xml:space="preserve">codified </w:t>
      </w:r>
      <w:r w:rsidR="00C40849" w:rsidRPr="00A34D67">
        <w:rPr>
          <w:rFonts w:ascii="Arial" w:hAnsi="Arial" w:cs="Arial"/>
          <w:sz w:val="24"/>
          <w:szCs w:val="24"/>
          <w:lang w:val="en-US"/>
        </w:rPr>
        <w:t xml:space="preserve">and, to some extent, expanded </w:t>
      </w:r>
      <w:r w:rsidRPr="00A34D67">
        <w:rPr>
          <w:rFonts w:ascii="Arial" w:hAnsi="Arial" w:cs="Arial"/>
          <w:sz w:val="24"/>
          <w:szCs w:val="24"/>
          <w:lang w:val="en-US"/>
        </w:rPr>
        <w:t xml:space="preserve">the ICJ’s innovation in </w:t>
      </w:r>
      <w:r w:rsidRPr="00A34D67">
        <w:rPr>
          <w:rFonts w:ascii="Arial" w:hAnsi="Arial" w:cs="Arial"/>
          <w:i/>
          <w:sz w:val="24"/>
          <w:szCs w:val="24"/>
          <w:lang w:val="en-US"/>
        </w:rPr>
        <w:t>Reservations to the Genocide Convention</w:t>
      </w:r>
      <w:r w:rsidR="00C40849" w:rsidRPr="00A34D67">
        <w:rPr>
          <w:rFonts w:ascii="Arial" w:hAnsi="Arial" w:cs="Arial"/>
          <w:sz w:val="24"/>
          <w:szCs w:val="24"/>
          <w:lang w:val="en-US"/>
        </w:rPr>
        <w:t>.</w:t>
      </w:r>
      <w:r w:rsidR="00197611" w:rsidRPr="00A34D67">
        <w:rPr>
          <w:rStyle w:val="FootnoteReference"/>
          <w:rFonts w:ascii="Arial" w:hAnsi="Arial" w:cs="Arial"/>
          <w:sz w:val="24"/>
          <w:szCs w:val="24"/>
          <w:lang w:val="en-US"/>
        </w:rPr>
        <w:footnoteReference w:id="39"/>
      </w:r>
      <w:r w:rsidR="00C40849" w:rsidRPr="00A34D67">
        <w:rPr>
          <w:rFonts w:ascii="Arial" w:hAnsi="Arial" w:cs="Arial"/>
          <w:sz w:val="24"/>
          <w:szCs w:val="24"/>
          <w:lang w:val="en-US"/>
        </w:rPr>
        <w:t xml:space="preserve"> B</w:t>
      </w:r>
      <w:r w:rsidRPr="00A34D67">
        <w:rPr>
          <w:rFonts w:ascii="Arial" w:hAnsi="Arial" w:cs="Arial"/>
          <w:sz w:val="24"/>
          <w:szCs w:val="24"/>
          <w:lang w:val="en-US"/>
        </w:rPr>
        <w:t>ut</w:t>
      </w:r>
      <w:r w:rsidR="00C40849" w:rsidRPr="00A34D67">
        <w:rPr>
          <w:rFonts w:ascii="Arial" w:hAnsi="Arial" w:cs="Arial"/>
          <w:sz w:val="24"/>
          <w:szCs w:val="24"/>
          <w:lang w:val="en-US"/>
        </w:rPr>
        <w:t xml:space="preserve"> </w:t>
      </w:r>
      <w:r w:rsidR="00805FCD">
        <w:rPr>
          <w:rFonts w:ascii="Arial" w:hAnsi="Arial" w:cs="Arial"/>
          <w:sz w:val="24"/>
          <w:szCs w:val="24"/>
          <w:lang w:val="en-US"/>
        </w:rPr>
        <w:t>the</w:t>
      </w:r>
      <w:r w:rsidR="00320885">
        <w:rPr>
          <w:rFonts w:ascii="Arial" w:hAnsi="Arial" w:cs="Arial"/>
          <w:sz w:val="24"/>
          <w:szCs w:val="24"/>
          <w:lang w:val="en-US"/>
        </w:rPr>
        <w:t xml:space="preserve"> developments during the</w:t>
      </w:r>
      <w:r w:rsidR="00805FCD">
        <w:rPr>
          <w:rFonts w:ascii="Arial" w:hAnsi="Arial" w:cs="Arial"/>
          <w:sz w:val="24"/>
          <w:szCs w:val="24"/>
          <w:lang w:val="en-US"/>
        </w:rPr>
        <w:t xml:space="preserve"> </w:t>
      </w:r>
      <w:r w:rsidR="0038334D">
        <w:rPr>
          <w:rFonts w:ascii="Arial" w:hAnsi="Arial" w:cs="Arial"/>
          <w:sz w:val="24"/>
          <w:szCs w:val="24"/>
          <w:lang w:val="en-US"/>
        </w:rPr>
        <w:t>half-century</w:t>
      </w:r>
      <w:r w:rsidRPr="00A34D67">
        <w:rPr>
          <w:rFonts w:ascii="Arial" w:hAnsi="Arial" w:cs="Arial"/>
          <w:sz w:val="24"/>
          <w:szCs w:val="24"/>
          <w:lang w:val="en-US"/>
        </w:rPr>
        <w:t xml:space="preserve"> that ha</w:t>
      </w:r>
      <w:r w:rsidR="0038334D">
        <w:rPr>
          <w:rFonts w:ascii="Arial" w:hAnsi="Arial" w:cs="Arial"/>
          <w:sz w:val="24"/>
          <w:szCs w:val="24"/>
          <w:lang w:val="en-US"/>
        </w:rPr>
        <w:t>s</w:t>
      </w:r>
      <w:r w:rsidRPr="00A34D67">
        <w:rPr>
          <w:rFonts w:ascii="Arial" w:hAnsi="Arial" w:cs="Arial"/>
          <w:sz w:val="24"/>
          <w:szCs w:val="24"/>
          <w:lang w:val="en-US"/>
        </w:rPr>
        <w:t xml:space="preserve"> passed since </w:t>
      </w:r>
      <w:r w:rsidR="00805FCD">
        <w:rPr>
          <w:rFonts w:ascii="Arial" w:hAnsi="Arial" w:cs="Arial"/>
          <w:sz w:val="24"/>
          <w:szCs w:val="24"/>
          <w:lang w:val="en-US"/>
        </w:rPr>
        <w:t xml:space="preserve">the Convention’s </w:t>
      </w:r>
      <w:r w:rsidR="00320885">
        <w:rPr>
          <w:rFonts w:ascii="Arial" w:hAnsi="Arial" w:cs="Arial"/>
          <w:sz w:val="24"/>
          <w:szCs w:val="24"/>
          <w:lang w:val="en-US"/>
        </w:rPr>
        <w:t>creation</w:t>
      </w:r>
      <w:r w:rsidR="00805FCD">
        <w:rPr>
          <w:rFonts w:ascii="Arial" w:hAnsi="Arial" w:cs="Arial"/>
          <w:sz w:val="24"/>
          <w:szCs w:val="24"/>
          <w:lang w:val="en-US"/>
        </w:rPr>
        <w:t xml:space="preserve"> </w:t>
      </w:r>
      <w:r w:rsidRPr="00A34D67">
        <w:rPr>
          <w:rFonts w:ascii="Arial" w:hAnsi="Arial" w:cs="Arial"/>
          <w:sz w:val="24"/>
          <w:szCs w:val="24"/>
          <w:lang w:val="en-US"/>
        </w:rPr>
        <w:t>ha</w:t>
      </w:r>
      <w:r w:rsidR="00320885">
        <w:rPr>
          <w:rFonts w:ascii="Arial" w:hAnsi="Arial" w:cs="Arial"/>
          <w:sz w:val="24"/>
          <w:szCs w:val="24"/>
          <w:lang w:val="en-US"/>
        </w:rPr>
        <w:t>ve</w:t>
      </w:r>
      <w:r w:rsidRPr="00A34D67">
        <w:rPr>
          <w:rFonts w:ascii="Arial" w:hAnsi="Arial" w:cs="Arial"/>
          <w:sz w:val="24"/>
          <w:szCs w:val="24"/>
          <w:lang w:val="en-US"/>
        </w:rPr>
        <w:t xml:space="preserve"> </w:t>
      </w:r>
      <w:r w:rsidR="0038334D">
        <w:rPr>
          <w:rFonts w:ascii="Arial" w:hAnsi="Arial" w:cs="Arial"/>
          <w:sz w:val="24"/>
          <w:szCs w:val="24"/>
          <w:lang w:val="en-US"/>
        </w:rPr>
        <w:t>‘</w:t>
      </w:r>
      <w:r w:rsidRPr="00A34D67">
        <w:rPr>
          <w:rFonts w:ascii="Arial" w:hAnsi="Arial" w:cs="Arial"/>
          <w:sz w:val="24"/>
          <w:szCs w:val="24"/>
          <w:lang w:val="en-US"/>
        </w:rPr>
        <w:t xml:space="preserve">shown us just how far </w:t>
      </w:r>
      <w:r w:rsidR="00C40849" w:rsidRPr="00A34D67">
        <w:rPr>
          <w:rFonts w:ascii="Arial" w:hAnsi="Arial" w:cs="Arial"/>
          <w:sz w:val="24"/>
          <w:szCs w:val="24"/>
          <w:lang w:val="en-US"/>
        </w:rPr>
        <w:t>[the Convention]</w:t>
      </w:r>
      <w:r w:rsidRPr="00A34D67">
        <w:rPr>
          <w:rFonts w:ascii="Arial" w:hAnsi="Arial" w:cs="Arial"/>
          <w:sz w:val="24"/>
          <w:szCs w:val="24"/>
          <w:lang w:val="en-US"/>
        </w:rPr>
        <w:t xml:space="preserve"> was from being a comprehensive regulatory framework for reservations</w:t>
      </w:r>
      <w:r w:rsidR="00C40849" w:rsidRPr="00A34D67">
        <w:rPr>
          <w:rFonts w:ascii="Arial" w:hAnsi="Arial" w:cs="Arial"/>
          <w:sz w:val="24"/>
          <w:szCs w:val="24"/>
          <w:lang w:val="en-US"/>
        </w:rPr>
        <w:t>’</w:t>
      </w:r>
      <w:r w:rsidRPr="00A34D67">
        <w:rPr>
          <w:rFonts w:ascii="Arial" w:hAnsi="Arial" w:cs="Arial"/>
          <w:sz w:val="24"/>
          <w:szCs w:val="24"/>
          <w:lang w:val="en-US"/>
        </w:rPr>
        <w:t>.</w:t>
      </w:r>
      <w:r w:rsidRPr="00A34D67">
        <w:rPr>
          <w:rStyle w:val="FootnoteReference"/>
          <w:rFonts w:ascii="Arial" w:hAnsi="Arial" w:cs="Arial"/>
          <w:sz w:val="24"/>
          <w:szCs w:val="24"/>
          <w:lang w:val="en-US"/>
        </w:rPr>
        <w:footnoteReference w:id="40"/>
      </w:r>
      <w:r w:rsidRPr="00A34D67">
        <w:rPr>
          <w:rFonts w:ascii="Arial" w:hAnsi="Arial" w:cs="Arial"/>
          <w:color w:val="FF0000"/>
          <w:sz w:val="24"/>
          <w:szCs w:val="24"/>
          <w:lang w:val="en-US"/>
        </w:rPr>
        <w:t xml:space="preserve"> </w:t>
      </w:r>
      <w:r w:rsidR="00DA4324" w:rsidRPr="00A34D67">
        <w:rPr>
          <w:rFonts w:ascii="Arial" w:hAnsi="Arial" w:cs="Arial"/>
          <w:sz w:val="24"/>
          <w:szCs w:val="24"/>
          <w:lang w:val="en-US"/>
        </w:rPr>
        <w:t xml:space="preserve">The Convention’s very formulation offers further proof that ‘overall there is substantial reliance on the approach and case law of the International Court of Justice, including the constitutive role attributed to the two elements of State practice and </w:t>
      </w:r>
      <w:r w:rsidR="00DA4324" w:rsidRPr="00A34D67">
        <w:rPr>
          <w:rFonts w:ascii="Arial" w:hAnsi="Arial" w:cs="Arial"/>
          <w:i/>
          <w:iCs/>
          <w:sz w:val="24"/>
          <w:szCs w:val="24"/>
          <w:lang w:val="en-US"/>
        </w:rPr>
        <w:t>opinio juris</w:t>
      </w:r>
      <w:r w:rsidR="00DA4324" w:rsidRPr="00A34D67">
        <w:rPr>
          <w:rFonts w:ascii="Arial" w:hAnsi="Arial" w:cs="Arial"/>
          <w:sz w:val="24"/>
          <w:szCs w:val="24"/>
          <w:lang w:val="en-US"/>
        </w:rPr>
        <w:t>’.</w:t>
      </w:r>
      <w:r w:rsidR="00DA4324" w:rsidRPr="00A34D67">
        <w:rPr>
          <w:rStyle w:val="FootnoteReference"/>
          <w:rFonts w:ascii="Arial" w:hAnsi="Arial" w:cs="Arial"/>
          <w:sz w:val="24"/>
          <w:szCs w:val="24"/>
          <w:lang w:val="en-US"/>
        </w:rPr>
        <w:footnoteReference w:id="41"/>
      </w:r>
    </w:p>
    <w:p w14:paraId="7B1C2860" w14:textId="4AF2A903" w:rsidR="00DA4324" w:rsidRPr="00A34D67" w:rsidRDefault="00DA4324" w:rsidP="00401E4C">
      <w:pPr>
        <w:spacing w:line="480" w:lineRule="auto"/>
        <w:rPr>
          <w:rFonts w:ascii="Arial" w:hAnsi="Arial" w:cs="Arial"/>
          <w:b/>
          <w:color w:val="008000"/>
          <w:sz w:val="24"/>
          <w:szCs w:val="24"/>
          <w:lang w:val="en-US"/>
        </w:rPr>
      </w:pPr>
      <w:r w:rsidRPr="00A34D67">
        <w:rPr>
          <w:rFonts w:ascii="Arial" w:hAnsi="Arial" w:cs="Arial"/>
          <w:sz w:val="24"/>
          <w:szCs w:val="24"/>
          <w:lang w:val="en-US"/>
        </w:rPr>
        <w:t>Various academics, such as Vincy Fon and Francesco Parisi, have tried to expose the underlying partiality of the Vienna Convention towards states with ‘high costs and low benefits’ by introducing a limited model to underline the discrepancies in human rights treaties.</w:t>
      </w:r>
      <w:r w:rsidRPr="00A34D67">
        <w:rPr>
          <w:rStyle w:val="FootnoteReference"/>
          <w:rFonts w:ascii="Arial" w:hAnsi="Arial" w:cs="Arial"/>
          <w:sz w:val="24"/>
          <w:szCs w:val="24"/>
          <w:lang w:val="en-US"/>
        </w:rPr>
        <w:footnoteReference w:id="42"/>
      </w:r>
      <w:r w:rsidRPr="00A34D67">
        <w:rPr>
          <w:rFonts w:ascii="Arial" w:hAnsi="Arial" w:cs="Arial"/>
          <w:sz w:val="24"/>
          <w:szCs w:val="24"/>
          <w:lang w:val="en-US"/>
        </w:rPr>
        <w:t xml:space="preserve"> The Fon and Parisi model stresses that under such circumstances, ‘a universality of membership is deemed highly desirable, as the value to each [treaty] member increases as the membership of a human rights treaty increases’.</w:t>
      </w:r>
      <w:r w:rsidRPr="00A34D67">
        <w:rPr>
          <w:rStyle w:val="FootnoteReference"/>
          <w:rFonts w:ascii="Arial" w:hAnsi="Arial" w:cs="Arial"/>
          <w:sz w:val="24"/>
          <w:szCs w:val="24"/>
          <w:lang w:val="en-US"/>
        </w:rPr>
        <w:footnoteReference w:id="43"/>
      </w:r>
      <w:r w:rsidRPr="00A34D67">
        <w:rPr>
          <w:rFonts w:ascii="Arial" w:hAnsi="Arial" w:cs="Arial"/>
          <w:sz w:val="24"/>
          <w:szCs w:val="24"/>
          <w:lang w:val="en-US"/>
        </w:rPr>
        <w:t xml:space="preserve"> In contrast to the findings of the model, human rights treaty obligations are generally considered to be ‘aspirational’: the text of </w:t>
      </w:r>
      <w:r w:rsidR="008E6079">
        <w:rPr>
          <w:rFonts w:ascii="Arial" w:hAnsi="Arial" w:cs="Arial"/>
          <w:sz w:val="24"/>
          <w:szCs w:val="24"/>
          <w:lang w:val="en-US"/>
        </w:rPr>
        <w:t xml:space="preserve">the </w:t>
      </w:r>
      <w:r w:rsidRPr="00A34D67">
        <w:rPr>
          <w:rFonts w:ascii="Arial" w:hAnsi="Arial" w:cs="Arial"/>
          <w:sz w:val="24"/>
          <w:szCs w:val="24"/>
          <w:lang w:val="en-US"/>
        </w:rPr>
        <w:t>treaty itself binds its members.</w:t>
      </w:r>
      <w:r w:rsidRPr="00A34D67">
        <w:rPr>
          <w:rStyle w:val="FootnoteReference"/>
          <w:rFonts w:ascii="Arial" w:hAnsi="Arial" w:cs="Arial"/>
          <w:sz w:val="24"/>
          <w:szCs w:val="24"/>
          <w:lang w:val="en-US"/>
        </w:rPr>
        <w:footnoteReference w:id="44"/>
      </w:r>
      <w:r w:rsidRPr="00A34D67">
        <w:rPr>
          <w:rFonts w:ascii="Arial" w:hAnsi="Arial" w:cs="Arial"/>
          <w:color w:val="FF0000"/>
          <w:sz w:val="24"/>
          <w:szCs w:val="24"/>
          <w:lang w:val="en-US"/>
        </w:rPr>
        <w:t xml:space="preserve"> </w:t>
      </w:r>
      <w:r w:rsidRPr="00A34D67">
        <w:rPr>
          <w:rFonts w:ascii="Arial" w:hAnsi="Arial" w:cs="Arial"/>
          <w:sz w:val="24"/>
          <w:szCs w:val="24"/>
          <w:lang w:val="en-US"/>
        </w:rPr>
        <w:t>The model also concluded that the expense incurred by a state party to a human rights treaty ‘does not increase in the number of treaty memberships’.</w:t>
      </w:r>
      <w:r w:rsidRPr="00A34D67">
        <w:rPr>
          <w:rStyle w:val="FootnoteReference"/>
          <w:rFonts w:ascii="Arial" w:hAnsi="Arial" w:cs="Arial"/>
          <w:sz w:val="24"/>
          <w:szCs w:val="24"/>
          <w:lang w:val="en-US"/>
        </w:rPr>
        <w:footnoteReference w:id="45"/>
      </w:r>
      <w:r w:rsidRPr="00A34D67">
        <w:rPr>
          <w:rFonts w:ascii="Arial" w:hAnsi="Arial" w:cs="Arial"/>
          <w:sz w:val="24"/>
          <w:szCs w:val="24"/>
          <w:lang w:val="en-US"/>
        </w:rPr>
        <w:t xml:space="preserve"> </w:t>
      </w:r>
    </w:p>
    <w:p w14:paraId="628F04D3" w14:textId="3B205806" w:rsidR="00C60EC6" w:rsidRPr="00A34D67" w:rsidRDefault="00DE630A" w:rsidP="00401E4C">
      <w:pPr>
        <w:spacing w:line="480" w:lineRule="auto"/>
        <w:rPr>
          <w:rFonts w:ascii="Arial" w:hAnsi="Arial" w:cs="Arial"/>
          <w:sz w:val="24"/>
          <w:szCs w:val="24"/>
          <w:lang w:val="en-US"/>
        </w:rPr>
      </w:pPr>
      <w:r w:rsidRPr="00A34D67">
        <w:rPr>
          <w:rFonts w:ascii="Arial" w:hAnsi="Arial" w:cs="Arial"/>
          <w:sz w:val="24"/>
          <w:szCs w:val="24"/>
          <w:lang w:val="en-US"/>
        </w:rPr>
        <w:t xml:space="preserve">The fundamental flaw of the Vienna Convention </w:t>
      </w:r>
      <w:r w:rsidR="007E2E60" w:rsidRPr="00A34D67">
        <w:rPr>
          <w:rFonts w:ascii="Arial" w:hAnsi="Arial" w:cs="Arial"/>
          <w:sz w:val="24"/>
          <w:szCs w:val="24"/>
          <w:lang w:val="en-US"/>
        </w:rPr>
        <w:t>is</w:t>
      </w:r>
      <w:r w:rsidRPr="00A34D67">
        <w:rPr>
          <w:rFonts w:ascii="Arial" w:hAnsi="Arial" w:cs="Arial"/>
          <w:sz w:val="24"/>
          <w:szCs w:val="24"/>
          <w:lang w:val="en-US"/>
        </w:rPr>
        <w:t xml:space="preserve"> that </w:t>
      </w:r>
      <w:r w:rsidR="00E8054D" w:rsidRPr="00A34D67">
        <w:rPr>
          <w:rFonts w:ascii="Arial" w:hAnsi="Arial" w:cs="Arial"/>
          <w:sz w:val="24"/>
          <w:szCs w:val="24"/>
          <w:lang w:val="en-US"/>
        </w:rPr>
        <w:t>if</w:t>
      </w:r>
      <w:r w:rsidR="00C60EC6" w:rsidRPr="00A34D67">
        <w:rPr>
          <w:rFonts w:ascii="Arial" w:hAnsi="Arial" w:cs="Arial"/>
          <w:sz w:val="24"/>
          <w:szCs w:val="24"/>
          <w:lang w:val="en-US"/>
        </w:rPr>
        <w:t xml:space="preserve"> a treaty </w:t>
      </w:r>
      <w:r w:rsidR="00E8054D" w:rsidRPr="00A34D67">
        <w:rPr>
          <w:rFonts w:ascii="Arial" w:hAnsi="Arial" w:cs="Arial"/>
          <w:sz w:val="24"/>
          <w:szCs w:val="24"/>
          <w:lang w:val="en-US"/>
        </w:rPr>
        <w:t>does not comment on reservations</w:t>
      </w:r>
      <w:r w:rsidR="00C60EC6" w:rsidRPr="00A34D67">
        <w:rPr>
          <w:rFonts w:ascii="Arial" w:hAnsi="Arial" w:cs="Arial"/>
          <w:sz w:val="24"/>
          <w:szCs w:val="24"/>
          <w:lang w:val="en-US"/>
        </w:rPr>
        <w:t>,</w:t>
      </w:r>
      <w:r w:rsidR="00C60EC6" w:rsidRPr="00A34D67">
        <w:rPr>
          <w:rFonts w:ascii="Arial" w:hAnsi="Arial" w:cs="Arial"/>
          <w:color w:val="008000"/>
          <w:sz w:val="24"/>
          <w:szCs w:val="24"/>
          <w:lang w:val="en-US"/>
        </w:rPr>
        <w:t xml:space="preserve"> </w:t>
      </w:r>
      <w:r w:rsidR="00C60EC6" w:rsidRPr="00A34D67">
        <w:rPr>
          <w:rFonts w:ascii="Arial" w:hAnsi="Arial" w:cs="Arial"/>
          <w:sz w:val="24"/>
          <w:szCs w:val="24"/>
          <w:lang w:val="en-US"/>
        </w:rPr>
        <w:t xml:space="preserve">reservations are </w:t>
      </w:r>
      <w:r w:rsidR="004560A8" w:rsidRPr="00A34D67">
        <w:rPr>
          <w:rFonts w:ascii="Arial" w:hAnsi="Arial" w:cs="Arial"/>
          <w:sz w:val="24"/>
          <w:szCs w:val="24"/>
          <w:lang w:val="en-US"/>
        </w:rPr>
        <w:t>acceptable</w:t>
      </w:r>
      <w:r w:rsidR="00C60EC6" w:rsidRPr="00A34D67">
        <w:rPr>
          <w:rFonts w:ascii="Arial" w:hAnsi="Arial" w:cs="Arial"/>
          <w:sz w:val="24"/>
          <w:szCs w:val="24"/>
          <w:lang w:val="en-US"/>
        </w:rPr>
        <w:t xml:space="preserve"> </w:t>
      </w:r>
      <w:r w:rsidR="00AC696D" w:rsidRPr="00A34D67">
        <w:rPr>
          <w:rFonts w:ascii="Arial" w:hAnsi="Arial" w:cs="Arial"/>
          <w:sz w:val="24"/>
          <w:szCs w:val="24"/>
          <w:lang w:val="en-US"/>
        </w:rPr>
        <w:t>insofar</w:t>
      </w:r>
      <w:r w:rsidR="003F081C" w:rsidRPr="00A34D67">
        <w:rPr>
          <w:rFonts w:ascii="Arial" w:hAnsi="Arial" w:cs="Arial"/>
          <w:sz w:val="24"/>
          <w:szCs w:val="24"/>
          <w:lang w:val="en-US"/>
        </w:rPr>
        <w:t xml:space="preserve"> as</w:t>
      </w:r>
      <w:r w:rsidR="00AC696D" w:rsidRPr="00A34D67">
        <w:rPr>
          <w:rFonts w:ascii="Arial" w:hAnsi="Arial" w:cs="Arial"/>
          <w:sz w:val="24"/>
          <w:szCs w:val="24"/>
          <w:lang w:val="en-US"/>
        </w:rPr>
        <w:t xml:space="preserve"> </w:t>
      </w:r>
      <w:r w:rsidR="00852EF9" w:rsidRPr="00A34D67">
        <w:rPr>
          <w:rFonts w:ascii="Arial" w:hAnsi="Arial" w:cs="Arial"/>
          <w:sz w:val="24"/>
          <w:szCs w:val="24"/>
          <w:lang w:val="en-US"/>
        </w:rPr>
        <w:t>their compatibility</w:t>
      </w:r>
      <w:r w:rsidR="00C60EC6" w:rsidRPr="00A34D67">
        <w:rPr>
          <w:rFonts w:ascii="Arial" w:hAnsi="Arial" w:cs="Arial"/>
          <w:sz w:val="24"/>
          <w:szCs w:val="24"/>
          <w:lang w:val="en-US"/>
        </w:rPr>
        <w:t xml:space="preserve"> with the treaty’s object and purpose</w:t>
      </w:r>
      <w:r w:rsidR="00852EF9" w:rsidRPr="00A34D67">
        <w:rPr>
          <w:rFonts w:ascii="Arial" w:hAnsi="Arial" w:cs="Arial"/>
          <w:sz w:val="24"/>
          <w:szCs w:val="24"/>
          <w:lang w:val="en-US"/>
        </w:rPr>
        <w:t xml:space="preserve"> can be proven</w:t>
      </w:r>
      <w:r w:rsidR="00C60EC6" w:rsidRPr="00A34D67">
        <w:rPr>
          <w:rFonts w:ascii="Arial" w:hAnsi="Arial" w:cs="Arial"/>
          <w:sz w:val="24"/>
          <w:szCs w:val="24"/>
          <w:lang w:val="en-US"/>
        </w:rPr>
        <w:t>.</w:t>
      </w:r>
      <w:r w:rsidR="00F6192B" w:rsidRPr="00A34D67">
        <w:rPr>
          <w:rStyle w:val="FootnoteReference"/>
          <w:rFonts w:ascii="Arial" w:hAnsi="Arial" w:cs="Arial"/>
          <w:sz w:val="24"/>
          <w:szCs w:val="24"/>
          <w:lang w:val="en-US"/>
        </w:rPr>
        <w:footnoteReference w:id="46"/>
      </w:r>
      <w:r w:rsidR="00C60EC6" w:rsidRPr="00A34D67">
        <w:rPr>
          <w:rFonts w:ascii="Arial" w:hAnsi="Arial" w:cs="Arial"/>
          <w:color w:val="FF0000"/>
          <w:sz w:val="24"/>
          <w:szCs w:val="24"/>
          <w:lang w:val="en-US"/>
        </w:rPr>
        <w:t xml:space="preserve"> </w:t>
      </w:r>
      <w:r w:rsidR="00725916" w:rsidRPr="00A34D67">
        <w:rPr>
          <w:rFonts w:ascii="Arial" w:hAnsi="Arial" w:cs="Arial"/>
          <w:sz w:val="24"/>
          <w:szCs w:val="24"/>
          <w:lang w:val="en-US"/>
        </w:rPr>
        <w:t xml:space="preserve">This compatibility is dependent on the discretion of every </w:t>
      </w:r>
      <w:r w:rsidR="004B2458" w:rsidRPr="00A34D67">
        <w:rPr>
          <w:rFonts w:ascii="Arial" w:hAnsi="Arial" w:cs="Arial"/>
          <w:sz w:val="24"/>
          <w:szCs w:val="24"/>
          <w:lang w:val="en-US"/>
        </w:rPr>
        <w:t>future</w:t>
      </w:r>
      <w:r w:rsidR="000F6A27" w:rsidRPr="00A34D67">
        <w:rPr>
          <w:rFonts w:ascii="Arial" w:hAnsi="Arial" w:cs="Arial"/>
          <w:sz w:val="24"/>
          <w:szCs w:val="24"/>
          <w:lang w:val="en-US"/>
        </w:rPr>
        <w:t xml:space="preserve"> </w:t>
      </w:r>
      <w:r w:rsidR="00725916" w:rsidRPr="00A34D67">
        <w:rPr>
          <w:rFonts w:ascii="Arial" w:hAnsi="Arial" w:cs="Arial"/>
          <w:sz w:val="24"/>
          <w:szCs w:val="24"/>
          <w:lang w:val="en-US"/>
        </w:rPr>
        <w:t>party to the treaty</w:t>
      </w:r>
      <w:r w:rsidR="000F6A27" w:rsidRPr="00A34D67">
        <w:rPr>
          <w:rFonts w:ascii="Arial" w:hAnsi="Arial" w:cs="Arial"/>
          <w:sz w:val="24"/>
          <w:szCs w:val="24"/>
          <w:lang w:val="en-US"/>
        </w:rPr>
        <w:t>.</w:t>
      </w:r>
      <w:r w:rsidR="004B2458" w:rsidRPr="00A34D67">
        <w:rPr>
          <w:rStyle w:val="FootnoteReference"/>
          <w:rFonts w:ascii="Arial" w:hAnsi="Arial" w:cs="Arial"/>
          <w:sz w:val="24"/>
          <w:szCs w:val="24"/>
          <w:lang w:val="en-US"/>
        </w:rPr>
        <w:footnoteReference w:id="47"/>
      </w:r>
      <w:r w:rsidR="00905206" w:rsidRPr="00A34D67">
        <w:rPr>
          <w:rFonts w:ascii="Arial" w:hAnsi="Arial" w:cs="Arial"/>
          <w:sz w:val="24"/>
          <w:szCs w:val="24"/>
          <w:lang w:val="en-US"/>
        </w:rPr>
        <w:t xml:space="preserve"> However, a party’s consent to a reservation will be implied if it makes no response for over a year after </w:t>
      </w:r>
      <w:r w:rsidR="005B73A3" w:rsidRPr="00A34D67">
        <w:rPr>
          <w:rFonts w:ascii="Arial" w:hAnsi="Arial" w:cs="Arial"/>
          <w:sz w:val="24"/>
          <w:szCs w:val="24"/>
          <w:lang w:val="en-US"/>
        </w:rPr>
        <w:t>receiving notification</w:t>
      </w:r>
      <w:r w:rsidR="00905206" w:rsidRPr="00A34D67">
        <w:rPr>
          <w:rFonts w:ascii="Arial" w:hAnsi="Arial" w:cs="Arial"/>
          <w:sz w:val="24"/>
          <w:szCs w:val="24"/>
          <w:lang w:val="en-US"/>
        </w:rPr>
        <w:t xml:space="preserve"> of such a reservation.</w:t>
      </w:r>
      <w:r w:rsidR="00CC06D1" w:rsidRPr="00A34D67">
        <w:rPr>
          <w:rStyle w:val="FootnoteReference"/>
          <w:rFonts w:ascii="Arial" w:hAnsi="Arial" w:cs="Arial"/>
          <w:sz w:val="24"/>
          <w:szCs w:val="24"/>
          <w:lang w:val="en-US"/>
        </w:rPr>
        <w:footnoteReference w:id="48"/>
      </w:r>
      <w:r w:rsidR="00CC06D1" w:rsidRPr="00A34D67">
        <w:rPr>
          <w:rFonts w:ascii="Arial" w:hAnsi="Arial" w:cs="Arial"/>
          <w:sz w:val="24"/>
          <w:szCs w:val="24"/>
          <w:lang w:val="en-US"/>
        </w:rPr>
        <w:t xml:space="preserve"> Any objections to reservations must be expressly made.</w:t>
      </w:r>
      <w:r w:rsidR="00B6112A" w:rsidRPr="00A34D67">
        <w:rPr>
          <w:rStyle w:val="FootnoteReference"/>
          <w:rFonts w:ascii="Arial" w:hAnsi="Arial" w:cs="Arial"/>
          <w:sz w:val="24"/>
          <w:szCs w:val="24"/>
          <w:lang w:val="en-US"/>
        </w:rPr>
        <w:footnoteReference w:id="49"/>
      </w:r>
      <w:r w:rsidR="00CC06D1" w:rsidRPr="00A34D67">
        <w:rPr>
          <w:rFonts w:ascii="Arial" w:hAnsi="Arial" w:cs="Arial"/>
          <w:sz w:val="24"/>
          <w:szCs w:val="24"/>
          <w:lang w:val="en-US"/>
        </w:rPr>
        <w:t xml:space="preserve"> </w:t>
      </w:r>
      <w:r w:rsidR="00B11F13" w:rsidRPr="00A34D67">
        <w:rPr>
          <w:rFonts w:ascii="Arial" w:hAnsi="Arial" w:cs="Arial"/>
          <w:sz w:val="24"/>
          <w:szCs w:val="24"/>
          <w:lang w:val="en-US"/>
        </w:rPr>
        <w:t>A cursory reading of Article 20, paragraph 4(b) of the Convention reveals that</w:t>
      </w:r>
      <w:r w:rsidR="0080450F" w:rsidRPr="00A34D67">
        <w:rPr>
          <w:rFonts w:ascii="Arial" w:hAnsi="Arial" w:cs="Arial"/>
          <w:sz w:val="24"/>
          <w:szCs w:val="24"/>
          <w:lang w:val="en-US"/>
        </w:rPr>
        <w:t>:</w:t>
      </w:r>
      <w:r w:rsidR="00B11F13" w:rsidRPr="00A34D67">
        <w:rPr>
          <w:rFonts w:ascii="Arial" w:hAnsi="Arial" w:cs="Arial"/>
          <w:sz w:val="24"/>
          <w:szCs w:val="24"/>
          <w:lang w:val="en-US"/>
        </w:rPr>
        <w:t xml:space="preserve"> </w:t>
      </w:r>
      <w:r w:rsidR="00B338BA" w:rsidRPr="00A34D67">
        <w:rPr>
          <w:rFonts w:ascii="Arial" w:hAnsi="Arial" w:cs="Arial"/>
          <w:sz w:val="24"/>
          <w:szCs w:val="24"/>
          <w:lang w:val="en-US"/>
        </w:rPr>
        <w:t xml:space="preserve"> </w:t>
      </w:r>
    </w:p>
    <w:p w14:paraId="0269BFDD" w14:textId="09AF2D79" w:rsidR="00B11A85" w:rsidRPr="00A34D67" w:rsidRDefault="00501941" w:rsidP="00401E4C">
      <w:pPr>
        <w:spacing w:line="480" w:lineRule="auto"/>
        <w:ind w:left="993" w:right="1035"/>
        <w:rPr>
          <w:rFonts w:ascii="Arial" w:hAnsi="Arial" w:cs="Arial"/>
          <w:sz w:val="24"/>
          <w:szCs w:val="24"/>
          <w:lang w:val="en-US"/>
        </w:rPr>
      </w:pPr>
      <w:r w:rsidRPr="00A34D67">
        <w:rPr>
          <w:rFonts w:ascii="Arial" w:hAnsi="Arial" w:cs="Arial"/>
          <w:sz w:val="24"/>
          <w:szCs w:val="24"/>
          <w:lang w:val="en-US"/>
        </w:rPr>
        <w:t>‘A</w:t>
      </w:r>
      <w:r w:rsidR="00B11A85" w:rsidRPr="00A34D67">
        <w:rPr>
          <w:rFonts w:ascii="Arial" w:hAnsi="Arial" w:cs="Arial"/>
          <w:sz w:val="24"/>
          <w:szCs w:val="24"/>
          <w:lang w:val="en-US"/>
        </w:rPr>
        <w:t>n objection by another contracting state</w:t>
      </w:r>
      <w:r w:rsidRPr="00A34D67">
        <w:rPr>
          <w:rFonts w:ascii="Arial" w:hAnsi="Arial" w:cs="Arial"/>
          <w:sz w:val="24"/>
          <w:szCs w:val="24"/>
          <w:lang w:val="en-US"/>
        </w:rPr>
        <w:t xml:space="preserve"> to a reservation does not pre</w:t>
      </w:r>
      <w:r w:rsidR="00B11A85" w:rsidRPr="00A34D67">
        <w:rPr>
          <w:rFonts w:ascii="Arial" w:hAnsi="Arial" w:cs="Arial"/>
          <w:sz w:val="24"/>
          <w:szCs w:val="24"/>
          <w:lang w:val="en-US"/>
        </w:rPr>
        <w:t>clude the entry into force of the treaty as between the objecting and reserving states unless a contrary intention is definitely ex</w:t>
      </w:r>
      <w:r w:rsidRPr="00A34D67">
        <w:rPr>
          <w:rFonts w:ascii="Arial" w:hAnsi="Arial" w:cs="Arial"/>
          <w:sz w:val="24"/>
          <w:szCs w:val="24"/>
          <w:lang w:val="en-US"/>
        </w:rPr>
        <w:t>pressed by the objecting state.’</w:t>
      </w:r>
      <w:r w:rsidR="00373A9D" w:rsidRPr="00A34D67">
        <w:rPr>
          <w:rStyle w:val="FootnoteReference"/>
          <w:rFonts w:ascii="Arial" w:hAnsi="Arial" w:cs="Arial"/>
          <w:sz w:val="24"/>
          <w:szCs w:val="24"/>
          <w:lang w:val="en-US"/>
        </w:rPr>
        <w:footnoteReference w:id="50"/>
      </w:r>
    </w:p>
    <w:p w14:paraId="62DDAD74" w14:textId="77777777" w:rsidR="0080450F" w:rsidRPr="00A34D67" w:rsidRDefault="0080450F" w:rsidP="00401E4C">
      <w:pPr>
        <w:spacing w:line="480" w:lineRule="auto"/>
        <w:rPr>
          <w:rFonts w:ascii="Arial" w:hAnsi="Arial" w:cs="Arial"/>
          <w:sz w:val="24"/>
          <w:szCs w:val="24"/>
          <w:lang w:val="en-US"/>
        </w:rPr>
      </w:pPr>
      <w:r w:rsidRPr="00A34D67">
        <w:rPr>
          <w:rFonts w:ascii="Arial" w:hAnsi="Arial" w:cs="Arial"/>
          <w:sz w:val="24"/>
          <w:szCs w:val="24"/>
          <w:lang w:val="en-US"/>
        </w:rPr>
        <w:t>But, Article 21, paragraph 3 further adds that:</w:t>
      </w:r>
    </w:p>
    <w:p w14:paraId="40660870" w14:textId="2DF065B3" w:rsidR="00B11A85" w:rsidRPr="00A34D67" w:rsidRDefault="00335EB2" w:rsidP="00401E4C">
      <w:pPr>
        <w:spacing w:line="480" w:lineRule="auto"/>
        <w:ind w:left="993" w:right="1319"/>
        <w:rPr>
          <w:rFonts w:ascii="Arial" w:hAnsi="Arial" w:cs="Arial"/>
          <w:sz w:val="24"/>
          <w:szCs w:val="24"/>
          <w:lang w:val="en-US"/>
        </w:rPr>
      </w:pPr>
      <w:r w:rsidRPr="00A34D67">
        <w:rPr>
          <w:rFonts w:ascii="Arial" w:hAnsi="Arial" w:cs="Arial"/>
          <w:sz w:val="24"/>
          <w:szCs w:val="24"/>
          <w:lang w:val="en-US"/>
        </w:rPr>
        <w:t>‘</w:t>
      </w:r>
      <w:r w:rsidR="00B11A85" w:rsidRPr="00A34D67">
        <w:rPr>
          <w:rFonts w:ascii="Arial" w:hAnsi="Arial" w:cs="Arial"/>
          <w:sz w:val="24"/>
          <w:szCs w:val="24"/>
          <w:lang w:val="en-US"/>
        </w:rPr>
        <w:t>When a state objecting to a reservation has not opposed the entry into force of the treaty between itself and the reserving state, the provisions to which the reservation relates do not apply as between the two states to the extent of the reservation.</w:t>
      </w:r>
      <w:r w:rsidRPr="00A34D67">
        <w:rPr>
          <w:rFonts w:ascii="Arial" w:hAnsi="Arial" w:cs="Arial"/>
          <w:sz w:val="24"/>
          <w:szCs w:val="24"/>
          <w:lang w:val="en-US"/>
        </w:rPr>
        <w:t>’</w:t>
      </w:r>
      <w:r w:rsidRPr="00A34D67">
        <w:rPr>
          <w:rStyle w:val="FootnoteReference"/>
          <w:rFonts w:ascii="Arial" w:hAnsi="Arial" w:cs="Arial"/>
          <w:sz w:val="24"/>
          <w:szCs w:val="24"/>
          <w:lang w:val="en-US"/>
        </w:rPr>
        <w:t xml:space="preserve"> </w:t>
      </w:r>
      <w:r w:rsidRPr="00A34D67">
        <w:rPr>
          <w:rStyle w:val="FootnoteReference"/>
          <w:rFonts w:ascii="Arial" w:hAnsi="Arial" w:cs="Arial"/>
          <w:sz w:val="24"/>
          <w:szCs w:val="24"/>
          <w:lang w:val="en-US"/>
        </w:rPr>
        <w:footnoteReference w:id="51"/>
      </w:r>
      <w:r w:rsidR="00B11A85" w:rsidRPr="00A34D67">
        <w:rPr>
          <w:rFonts w:ascii="Arial" w:hAnsi="Arial" w:cs="Arial"/>
          <w:sz w:val="24"/>
          <w:szCs w:val="24"/>
          <w:lang w:val="en-US"/>
        </w:rPr>
        <w:t xml:space="preserve"> </w:t>
      </w:r>
    </w:p>
    <w:p w14:paraId="460D680C" w14:textId="68D0B172" w:rsidR="00B11A85" w:rsidRPr="00A34D67" w:rsidRDefault="00B7135C" w:rsidP="00401E4C">
      <w:pPr>
        <w:spacing w:line="480" w:lineRule="auto"/>
        <w:rPr>
          <w:rFonts w:ascii="Arial" w:hAnsi="Arial" w:cs="Arial"/>
          <w:color w:val="FF0000"/>
          <w:sz w:val="24"/>
          <w:szCs w:val="24"/>
          <w:lang w:val="en-US"/>
        </w:rPr>
      </w:pPr>
      <w:r w:rsidRPr="00A34D67">
        <w:rPr>
          <w:rFonts w:ascii="Arial" w:hAnsi="Arial" w:cs="Arial"/>
          <w:sz w:val="24"/>
          <w:szCs w:val="24"/>
          <w:lang w:val="en-US"/>
        </w:rPr>
        <w:t>The two paragraphs strongly indicate that</w:t>
      </w:r>
      <w:r w:rsidR="00BF5F55" w:rsidRPr="00A34D67">
        <w:rPr>
          <w:rFonts w:ascii="Arial" w:hAnsi="Arial" w:cs="Arial"/>
          <w:sz w:val="24"/>
          <w:szCs w:val="24"/>
          <w:lang w:val="en-US"/>
        </w:rPr>
        <w:t xml:space="preserve"> the reserving state is almost always treated </w:t>
      </w:r>
      <w:r w:rsidR="006D6EC8" w:rsidRPr="006D6EC8">
        <w:rPr>
          <w:rFonts w:ascii="Arial" w:hAnsi="Arial" w:cs="Arial"/>
          <w:sz w:val="24"/>
          <w:szCs w:val="24"/>
          <w:lang w:val="en-US"/>
        </w:rPr>
        <w:t>most</w:t>
      </w:r>
      <w:r w:rsidR="00BF5F55" w:rsidRPr="00A34D67">
        <w:rPr>
          <w:rFonts w:ascii="Arial" w:hAnsi="Arial" w:cs="Arial"/>
          <w:sz w:val="24"/>
          <w:szCs w:val="24"/>
          <w:lang w:val="en-US"/>
        </w:rPr>
        <w:t xml:space="preserve"> favourably</w:t>
      </w:r>
      <w:r w:rsidR="00FA734D" w:rsidRPr="00A34D67">
        <w:rPr>
          <w:rFonts w:ascii="Arial" w:hAnsi="Arial" w:cs="Arial"/>
          <w:sz w:val="24"/>
          <w:szCs w:val="24"/>
          <w:lang w:val="en-US"/>
        </w:rPr>
        <w:t>,</w:t>
      </w:r>
      <w:r w:rsidR="00182203" w:rsidRPr="00A34D67">
        <w:rPr>
          <w:rStyle w:val="FootnoteReference"/>
          <w:rFonts w:ascii="Arial" w:hAnsi="Arial" w:cs="Arial"/>
          <w:sz w:val="24"/>
          <w:szCs w:val="24"/>
          <w:lang w:val="en-US"/>
        </w:rPr>
        <w:footnoteReference w:id="52"/>
      </w:r>
      <w:r w:rsidR="00FA734D" w:rsidRPr="00A34D67">
        <w:rPr>
          <w:rFonts w:ascii="Arial" w:hAnsi="Arial" w:cs="Arial"/>
          <w:sz w:val="24"/>
          <w:szCs w:val="24"/>
          <w:lang w:val="en-US"/>
        </w:rPr>
        <w:t xml:space="preserve"> whereby the </w:t>
      </w:r>
      <w:r w:rsidR="00B22AE2" w:rsidRPr="00A34D67">
        <w:rPr>
          <w:rFonts w:ascii="Arial" w:hAnsi="Arial" w:cs="Arial"/>
          <w:sz w:val="24"/>
          <w:szCs w:val="24"/>
          <w:lang w:val="en-US"/>
        </w:rPr>
        <w:t xml:space="preserve">legal effect of the </w:t>
      </w:r>
      <w:r w:rsidR="00FA734D" w:rsidRPr="00A34D67">
        <w:rPr>
          <w:rFonts w:ascii="Arial" w:hAnsi="Arial" w:cs="Arial"/>
          <w:sz w:val="24"/>
          <w:szCs w:val="24"/>
          <w:lang w:val="en-US"/>
        </w:rPr>
        <w:t xml:space="preserve">provisions of a treaty </w:t>
      </w:r>
      <w:r w:rsidR="00A56DFC" w:rsidRPr="00A34D67">
        <w:rPr>
          <w:rFonts w:ascii="Arial" w:hAnsi="Arial" w:cs="Arial"/>
          <w:sz w:val="24"/>
          <w:szCs w:val="24"/>
          <w:lang w:val="en-US"/>
        </w:rPr>
        <w:t>are</w:t>
      </w:r>
      <w:r w:rsidR="00B22AE2" w:rsidRPr="00A34D67">
        <w:rPr>
          <w:rFonts w:ascii="Arial" w:hAnsi="Arial" w:cs="Arial"/>
          <w:sz w:val="24"/>
          <w:szCs w:val="24"/>
          <w:lang w:val="en-US"/>
        </w:rPr>
        <w:t xml:space="preserve"> </w:t>
      </w:r>
      <w:r w:rsidR="001C4160" w:rsidRPr="00A34D67">
        <w:rPr>
          <w:rFonts w:ascii="Arial" w:hAnsi="Arial" w:cs="Arial"/>
          <w:sz w:val="24"/>
          <w:szCs w:val="24"/>
          <w:lang w:val="en-US"/>
        </w:rPr>
        <w:t xml:space="preserve">either </w:t>
      </w:r>
      <w:r w:rsidR="00182203" w:rsidRPr="00A34D67">
        <w:rPr>
          <w:rFonts w:ascii="Arial" w:hAnsi="Arial" w:cs="Arial"/>
          <w:sz w:val="24"/>
          <w:szCs w:val="24"/>
          <w:lang w:val="en-US"/>
        </w:rPr>
        <w:t>rejected</w:t>
      </w:r>
      <w:r w:rsidR="00B22AE2" w:rsidRPr="00A34D67">
        <w:rPr>
          <w:rFonts w:ascii="Arial" w:hAnsi="Arial" w:cs="Arial"/>
          <w:sz w:val="24"/>
          <w:szCs w:val="24"/>
          <w:lang w:val="en-US"/>
        </w:rPr>
        <w:t xml:space="preserve"> or </w:t>
      </w:r>
      <w:r w:rsidR="001C4160" w:rsidRPr="00A34D67">
        <w:rPr>
          <w:rFonts w:ascii="Arial" w:hAnsi="Arial" w:cs="Arial"/>
          <w:sz w:val="24"/>
          <w:szCs w:val="24"/>
          <w:lang w:val="en-US"/>
        </w:rPr>
        <w:t>amended</w:t>
      </w:r>
      <w:r w:rsidR="009D27E2" w:rsidRPr="00A34D67">
        <w:rPr>
          <w:rFonts w:ascii="Arial" w:hAnsi="Arial" w:cs="Arial"/>
          <w:sz w:val="24"/>
          <w:szCs w:val="24"/>
          <w:lang w:val="en-US"/>
        </w:rPr>
        <w:t>, irrespective of any objections to the reservation</w:t>
      </w:r>
      <w:r w:rsidR="00BF5F55" w:rsidRPr="00A34D67">
        <w:rPr>
          <w:rFonts w:ascii="Arial" w:hAnsi="Arial" w:cs="Arial"/>
          <w:sz w:val="24"/>
          <w:szCs w:val="24"/>
          <w:lang w:val="en-US"/>
        </w:rPr>
        <w:t>.</w:t>
      </w:r>
      <w:r w:rsidR="009D27E2" w:rsidRPr="00A34D67">
        <w:rPr>
          <w:rStyle w:val="FootnoteReference"/>
          <w:rFonts w:ascii="Arial" w:hAnsi="Arial" w:cs="Arial"/>
          <w:sz w:val="24"/>
          <w:szCs w:val="24"/>
          <w:lang w:val="en-US"/>
        </w:rPr>
        <w:footnoteReference w:id="53"/>
      </w:r>
      <w:r w:rsidRPr="00A34D67">
        <w:rPr>
          <w:rFonts w:ascii="Arial" w:hAnsi="Arial" w:cs="Arial"/>
          <w:color w:val="FF0000"/>
          <w:sz w:val="24"/>
          <w:szCs w:val="24"/>
          <w:lang w:val="en-US"/>
        </w:rPr>
        <w:t xml:space="preserve"> </w:t>
      </w:r>
      <w:r w:rsidR="00F53AE8" w:rsidRPr="00A34D67">
        <w:rPr>
          <w:rFonts w:ascii="Arial" w:hAnsi="Arial" w:cs="Arial"/>
          <w:sz w:val="24"/>
          <w:szCs w:val="24"/>
          <w:lang w:val="en-US"/>
        </w:rPr>
        <w:t xml:space="preserve">On the rare occasion that the objecting state </w:t>
      </w:r>
      <w:r w:rsidR="00DA1AF3" w:rsidRPr="00A34D67">
        <w:rPr>
          <w:rFonts w:ascii="Arial" w:hAnsi="Arial" w:cs="Arial"/>
          <w:sz w:val="24"/>
          <w:szCs w:val="24"/>
          <w:lang w:val="en-US"/>
        </w:rPr>
        <w:t>does decide</w:t>
      </w:r>
      <w:r w:rsidR="00F53AE8" w:rsidRPr="00A34D67">
        <w:rPr>
          <w:rFonts w:ascii="Arial" w:hAnsi="Arial" w:cs="Arial"/>
          <w:sz w:val="24"/>
          <w:szCs w:val="24"/>
          <w:lang w:val="en-US"/>
        </w:rPr>
        <w:t xml:space="preserve"> that it is discontent with the reservation to the point of </w:t>
      </w:r>
      <w:r w:rsidR="001F151A" w:rsidRPr="00A34D67">
        <w:rPr>
          <w:rFonts w:ascii="Arial" w:hAnsi="Arial" w:cs="Arial"/>
          <w:sz w:val="24"/>
          <w:szCs w:val="24"/>
          <w:lang w:val="en-US"/>
        </w:rPr>
        <w:t>relinquishing</w:t>
      </w:r>
      <w:r w:rsidR="00B11A85" w:rsidRPr="00A34D67">
        <w:rPr>
          <w:rFonts w:ascii="Arial" w:hAnsi="Arial" w:cs="Arial"/>
          <w:sz w:val="24"/>
          <w:szCs w:val="24"/>
          <w:lang w:val="en-US"/>
        </w:rPr>
        <w:t xml:space="preserve"> a</w:t>
      </w:r>
      <w:r w:rsidR="005F214D" w:rsidRPr="00A34D67">
        <w:rPr>
          <w:rFonts w:ascii="Arial" w:hAnsi="Arial" w:cs="Arial"/>
          <w:sz w:val="24"/>
          <w:szCs w:val="24"/>
          <w:lang w:val="en-US"/>
        </w:rPr>
        <w:t xml:space="preserve">ny relations with the reserving </w:t>
      </w:r>
      <w:r w:rsidR="00B11A85" w:rsidRPr="00A34D67">
        <w:rPr>
          <w:rFonts w:ascii="Arial" w:hAnsi="Arial" w:cs="Arial"/>
          <w:sz w:val="24"/>
          <w:szCs w:val="24"/>
          <w:lang w:val="en-US"/>
        </w:rPr>
        <w:t xml:space="preserve">state </w:t>
      </w:r>
      <w:r w:rsidR="005F214D" w:rsidRPr="00A34D67">
        <w:rPr>
          <w:rFonts w:ascii="Arial" w:hAnsi="Arial" w:cs="Arial"/>
          <w:sz w:val="24"/>
          <w:szCs w:val="24"/>
          <w:lang w:val="en-US"/>
        </w:rPr>
        <w:t>party to the treaty</w:t>
      </w:r>
      <w:r w:rsidR="00B11A85" w:rsidRPr="00A34D67">
        <w:rPr>
          <w:rFonts w:ascii="Arial" w:hAnsi="Arial" w:cs="Arial"/>
          <w:sz w:val="24"/>
          <w:szCs w:val="24"/>
          <w:lang w:val="en-US"/>
        </w:rPr>
        <w:t>,</w:t>
      </w:r>
      <w:r w:rsidR="00AC49B3" w:rsidRPr="00A34D67">
        <w:rPr>
          <w:rFonts w:ascii="Arial" w:hAnsi="Arial" w:cs="Arial"/>
          <w:sz w:val="24"/>
          <w:szCs w:val="24"/>
          <w:lang w:val="en-US"/>
        </w:rPr>
        <w:t xml:space="preserve"> it may, </w:t>
      </w:r>
      <w:r w:rsidR="00CA6A8B">
        <w:rPr>
          <w:rFonts w:ascii="Arial" w:hAnsi="Arial" w:cs="Arial"/>
          <w:sz w:val="24"/>
          <w:szCs w:val="24"/>
          <w:lang w:val="en-US"/>
        </w:rPr>
        <w:t>under certain circumstances</w:t>
      </w:r>
      <w:r w:rsidR="00AC49B3" w:rsidRPr="00A34D67">
        <w:rPr>
          <w:rFonts w:ascii="Arial" w:hAnsi="Arial" w:cs="Arial"/>
          <w:sz w:val="24"/>
          <w:szCs w:val="24"/>
          <w:lang w:val="en-US"/>
        </w:rPr>
        <w:t>, even cut off treaty relations entirely</w:t>
      </w:r>
      <w:r w:rsidR="00B11A85" w:rsidRPr="00A34D67">
        <w:rPr>
          <w:rFonts w:ascii="Arial" w:hAnsi="Arial" w:cs="Arial"/>
          <w:sz w:val="24"/>
          <w:szCs w:val="24"/>
          <w:lang w:val="en-US"/>
        </w:rPr>
        <w:t>.</w:t>
      </w:r>
      <w:r w:rsidR="00B268F4" w:rsidRPr="00A34D67">
        <w:rPr>
          <w:rStyle w:val="FootnoteReference"/>
          <w:rFonts w:ascii="Arial" w:hAnsi="Arial" w:cs="Arial"/>
          <w:sz w:val="24"/>
          <w:szCs w:val="24"/>
          <w:lang w:val="en-US"/>
        </w:rPr>
        <w:footnoteReference w:id="54"/>
      </w:r>
      <w:r w:rsidR="00B11A85" w:rsidRPr="00A34D67">
        <w:rPr>
          <w:rFonts w:ascii="Arial" w:hAnsi="Arial" w:cs="Arial"/>
          <w:sz w:val="24"/>
          <w:szCs w:val="24"/>
          <w:lang w:val="en-US"/>
        </w:rPr>
        <w:t xml:space="preserve"> </w:t>
      </w:r>
    </w:p>
    <w:p w14:paraId="3422BDC0" w14:textId="70CDDF26" w:rsidR="00E057D1" w:rsidRDefault="00805C2A" w:rsidP="00401E4C">
      <w:pPr>
        <w:spacing w:line="480" w:lineRule="auto"/>
        <w:rPr>
          <w:rFonts w:ascii="Arial" w:hAnsi="Arial" w:cs="Arial"/>
          <w:sz w:val="24"/>
          <w:szCs w:val="24"/>
          <w:lang w:val="en-US"/>
        </w:rPr>
      </w:pPr>
      <w:r w:rsidRPr="00A34D67">
        <w:rPr>
          <w:rFonts w:ascii="Arial" w:hAnsi="Arial" w:cs="Arial"/>
          <w:sz w:val="24"/>
          <w:szCs w:val="24"/>
          <w:lang w:val="en-US"/>
        </w:rPr>
        <w:t xml:space="preserve">The ILC report, which will be examined in greater detail later, </w:t>
      </w:r>
      <w:r w:rsidR="00DA4324" w:rsidRPr="00A34D67">
        <w:rPr>
          <w:rFonts w:ascii="Arial" w:hAnsi="Arial" w:cs="Arial"/>
          <w:sz w:val="24"/>
          <w:szCs w:val="24"/>
          <w:lang w:val="en-US"/>
        </w:rPr>
        <w:t xml:space="preserve">also </w:t>
      </w:r>
      <w:r w:rsidRPr="00A34D67">
        <w:rPr>
          <w:rFonts w:ascii="Arial" w:hAnsi="Arial" w:cs="Arial"/>
          <w:sz w:val="24"/>
          <w:szCs w:val="24"/>
          <w:lang w:val="en-US"/>
        </w:rPr>
        <w:t>raised several</w:t>
      </w:r>
      <w:r w:rsidR="00060C70" w:rsidRPr="00A34D67">
        <w:rPr>
          <w:rFonts w:ascii="Arial" w:hAnsi="Arial" w:cs="Arial"/>
          <w:sz w:val="24"/>
          <w:szCs w:val="24"/>
          <w:lang w:val="en-US"/>
        </w:rPr>
        <w:t xml:space="preserve"> concerns </w:t>
      </w:r>
      <w:r w:rsidRPr="00A34D67">
        <w:rPr>
          <w:rFonts w:ascii="Arial" w:hAnsi="Arial" w:cs="Arial"/>
          <w:sz w:val="24"/>
          <w:szCs w:val="24"/>
          <w:lang w:val="en-US"/>
        </w:rPr>
        <w:t>about the</w:t>
      </w:r>
      <w:r w:rsidR="00060C70" w:rsidRPr="00A34D67">
        <w:rPr>
          <w:rFonts w:ascii="Arial" w:hAnsi="Arial" w:cs="Arial"/>
          <w:sz w:val="24"/>
          <w:szCs w:val="24"/>
          <w:lang w:val="en-US"/>
        </w:rPr>
        <w:t xml:space="preserve"> </w:t>
      </w:r>
      <w:r w:rsidRPr="00A34D67">
        <w:rPr>
          <w:rFonts w:ascii="Arial" w:hAnsi="Arial" w:cs="Arial"/>
          <w:sz w:val="24"/>
          <w:szCs w:val="24"/>
          <w:lang w:val="en-US"/>
        </w:rPr>
        <w:t>gaps evident</w:t>
      </w:r>
      <w:r w:rsidR="00060C70" w:rsidRPr="00A34D67">
        <w:rPr>
          <w:rFonts w:ascii="Arial" w:hAnsi="Arial" w:cs="Arial"/>
          <w:sz w:val="24"/>
          <w:szCs w:val="24"/>
          <w:lang w:val="en-US"/>
        </w:rPr>
        <w:t xml:space="preserve"> </w:t>
      </w:r>
      <w:r w:rsidRPr="00A34D67">
        <w:rPr>
          <w:rFonts w:ascii="Arial" w:hAnsi="Arial" w:cs="Arial"/>
          <w:sz w:val="24"/>
          <w:szCs w:val="24"/>
          <w:lang w:val="en-US"/>
        </w:rPr>
        <w:t>with</w:t>
      </w:r>
      <w:r w:rsidR="00060C70" w:rsidRPr="00A34D67">
        <w:rPr>
          <w:rFonts w:ascii="Arial" w:hAnsi="Arial" w:cs="Arial"/>
          <w:sz w:val="24"/>
          <w:szCs w:val="24"/>
          <w:lang w:val="en-US"/>
        </w:rPr>
        <w:t>in the Vienna Convention</w:t>
      </w:r>
      <w:r w:rsidR="00F6678A" w:rsidRPr="00A34D67">
        <w:rPr>
          <w:rFonts w:ascii="Arial" w:hAnsi="Arial" w:cs="Arial"/>
          <w:sz w:val="24"/>
          <w:szCs w:val="24"/>
          <w:lang w:val="en-US"/>
        </w:rPr>
        <w:t>.</w:t>
      </w:r>
      <w:r w:rsidR="00060C70" w:rsidRPr="00A34D67">
        <w:rPr>
          <w:rFonts w:ascii="Arial" w:hAnsi="Arial" w:cs="Arial"/>
          <w:color w:val="FF0000"/>
          <w:sz w:val="24"/>
          <w:szCs w:val="24"/>
          <w:lang w:val="en-US"/>
        </w:rPr>
        <w:t xml:space="preserve"> </w:t>
      </w:r>
      <w:r w:rsidR="00F6678A" w:rsidRPr="00A34D67">
        <w:rPr>
          <w:rFonts w:ascii="Arial" w:hAnsi="Arial" w:cs="Arial"/>
          <w:sz w:val="24"/>
          <w:szCs w:val="24"/>
          <w:lang w:val="en-US"/>
        </w:rPr>
        <w:t>Such discontinuities included</w:t>
      </w:r>
      <w:r w:rsidR="00060C70" w:rsidRPr="00A34D67">
        <w:rPr>
          <w:rFonts w:ascii="Arial" w:hAnsi="Arial" w:cs="Arial"/>
          <w:color w:val="FF0000"/>
          <w:sz w:val="24"/>
          <w:szCs w:val="24"/>
          <w:lang w:val="en-US"/>
        </w:rPr>
        <w:t xml:space="preserve"> </w:t>
      </w:r>
      <w:r w:rsidR="00060C70" w:rsidRPr="00A34D67">
        <w:rPr>
          <w:rFonts w:ascii="Arial" w:hAnsi="Arial" w:cs="Arial"/>
          <w:sz w:val="24"/>
          <w:szCs w:val="24"/>
          <w:lang w:val="en-US"/>
        </w:rPr>
        <w:t xml:space="preserve">the </w:t>
      </w:r>
      <w:r w:rsidR="00F6678A" w:rsidRPr="00A34D67">
        <w:rPr>
          <w:rFonts w:ascii="Arial" w:hAnsi="Arial" w:cs="Arial"/>
          <w:sz w:val="24"/>
          <w:szCs w:val="24"/>
          <w:lang w:val="en-US"/>
        </w:rPr>
        <w:t>inability</w:t>
      </w:r>
      <w:r w:rsidR="00060C70" w:rsidRPr="00A34D67">
        <w:rPr>
          <w:rFonts w:ascii="Arial" w:hAnsi="Arial" w:cs="Arial"/>
          <w:sz w:val="24"/>
          <w:szCs w:val="24"/>
          <w:lang w:val="en-US"/>
        </w:rPr>
        <w:t xml:space="preserve"> to </w:t>
      </w:r>
      <w:r w:rsidR="00F6678A" w:rsidRPr="00A34D67">
        <w:rPr>
          <w:rFonts w:ascii="Arial" w:hAnsi="Arial" w:cs="Arial"/>
          <w:sz w:val="24"/>
          <w:szCs w:val="24"/>
          <w:lang w:val="en-US"/>
        </w:rPr>
        <w:t>recognise</w:t>
      </w:r>
      <w:r w:rsidR="00060C70" w:rsidRPr="00A34D67">
        <w:rPr>
          <w:rFonts w:ascii="Arial" w:hAnsi="Arial" w:cs="Arial"/>
          <w:sz w:val="24"/>
          <w:szCs w:val="24"/>
          <w:lang w:val="en-US"/>
        </w:rPr>
        <w:t xml:space="preserve"> the </w:t>
      </w:r>
      <w:r w:rsidR="00F6678A" w:rsidRPr="00A34D67">
        <w:rPr>
          <w:rFonts w:ascii="Arial" w:hAnsi="Arial" w:cs="Arial"/>
          <w:sz w:val="24"/>
          <w:szCs w:val="24"/>
          <w:lang w:val="en-US"/>
        </w:rPr>
        <w:t xml:space="preserve">significance of the </w:t>
      </w:r>
      <w:r w:rsidR="00060C70" w:rsidRPr="00A34D67">
        <w:rPr>
          <w:rFonts w:ascii="Arial" w:hAnsi="Arial" w:cs="Arial"/>
          <w:sz w:val="24"/>
          <w:szCs w:val="24"/>
          <w:lang w:val="en-US"/>
        </w:rPr>
        <w:t xml:space="preserve">political context for </w:t>
      </w:r>
      <w:r w:rsidR="00F6678A" w:rsidRPr="00A34D67">
        <w:rPr>
          <w:rFonts w:ascii="Arial" w:hAnsi="Arial" w:cs="Arial"/>
          <w:sz w:val="24"/>
          <w:szCs w:val="24"/>
          <w:lang w:val="en-US"/>
        </w:rPr>
        <w:t>‘</w:t>
      </w:r>
      <w:r w:rsidR="00060C70" w:rsidRPr="00A34D67">
        <w:rPr>
          <w:rFonts w:ascii="Arial" w:hAnsi="Arial" w:cs="Arial"/>
          <w:sz w:val="24"/>
          <w:szCs w:val="24"/>
          <w:lang w:val="en-US"/>
        </w:rPr>
        <w:t>assessing the relationship between the reservat</w:t>
      </w:r>
      <w:r w:rsidR="00F6678A" w:rsidRPr="00A34D67">
        <w:rPr>
          <w:rFonts w:ascii="Arial" w:hAnsi="Arial" w:cs="Arial"/>
          <w:sz w:val="24"/>
          <w:szCs w:val="24"/>
          <w:lang w:val="en-US"/>
        </w:rPr>
        <w:t>ion itself and the instrument,’</w:t>
      </w:r>
      <w:r w:rsidR="00F6678A" w:rsidRPr="00A34D67">
        <w:rPr>
          <w:rStyle w:val="FootnoteReference"/>
          <w:rFonts w:ascii="Arial" w:hAnsi="Arial" w:cs="Arial"/>
          <w:sz w:val="24"/>
          <w:szCs w:val="24"/>
          <w:lang w:val="en-US"/>
        </w:rPr>
        <w:footnoteReference w:id="55"/>
      </w:r>
      <w:r w:rsidR="00060C70" w:rsidRPr="00A34D67">
        <w:rPr>
          <w:rFonts w:ascii="Arial" w:hAnsi="Arial" w:cs="Arial"/>
          <w:color w:val="FF0000"/>
          <w:sz w:val="24"/>
          <w:szCs w:val="24"/>
          <w:lang w:val="en-US"/>
        </w:rPr>
        <w:t xml:space="preserve"> </w:t>
      </w:r>
      <w:r w:rsidR="00060C70" w:rsidRPr="00A34D67">
        <w:rPr>
          <w:rFonts w:ascii="Arial" w:hAnsi="Arial" w:cs="Arial"/>
          <w:sz w:val="24"/>
          <w:szCs w:val="24"/>
          <w:lang w:val="en-US"/>
        </w:rPr>
        <w:t xml:space="preserve">the </w:t>
      </w:r>
      <w:r w:rsidR="00F6678A" w:rsidRPr="00A34D67">
        <w:rPr>
          <w:rFonts w:ascii="Arial" w:hAnsi="Arial" w:cs="Arial"/>
          <w:sz w:val="24"/>
          <w:szCs w:val="24"/>
          <w:lang w:val="en-US"/>
        </w:rPr>
        <w:t>implications</w:t>
      </w:r>
      <w:r w:rsidR="00060C70" w:rsidRPr="00A34D67">
        <w:rPr>
          <w:rFonts w:ascii="Arial" w:hAnsi="Arial" w:cs="Arial"/>
          <w:sz w:val="24"/>
          <w:szCs w:val="24"/>
          <w:lang w:val="en-US"/>
        </w:rPr>
        <w:t xml:space="preserve"> of </w:t>
      </w:r>
      <w:r w:rsidR="00F6678A" w:rsidRPr="00A34D67">
        <w:rPr>
          <w:rFonts w:ascii="Arial" w:hAnsi="Arial" w:cs="Arial"/>
          <w:sz w:val="24"/>
          <w:szCs w:val="24"/>
          <w:lang w:val="en-US"/>
        </w:rPr>
        <w:t>‘</w:t>
      </w:r>
      <w:r w:rsidR="00060C70" w:rsidRPr="00A34D67">
        <w:rPr>
          <w:rFonts w:ascii="Arial" w:hAnsi="Arial" w:cs="Arial"/>
          <w:sz w:val="24"/>
          <w:szCs w:val="24"/>
          <w:lang w:val="en-US"/>
        </w:rPr>
        <w:t xml:space="preserve">the </w:t>
      </w:r>
      <w:r w:rsidR="00060C70" w:rsidRPr="00A34D67">
        <w:rPr>
          <w:rFonts w:ascii="Arial" w:hAnsi="Arial" w:cs="Arial"/>
          <w:i/>
          <w:iCs/>
          <w:sz w:val="24"/>
          <w:szCs w:val="24"/>
          <w:lang w:val="en-US"/>
        </w:rPr>
        <w:t xml:space="preserve">impact </w:t>
      </w:r>
      <w:r w:rsidR="00060C70" w:rsidRPr="00A34D67">
        <w:rPr>
          <w:rFonts w:ascii="Arial" w:hAnsi="Arial" w:cs="Arial"/>
          <w:sz w:val="24"/>
          <w:szCs w:val="24"/>
          <w:lang w:val="en-US"/>
        </w:rPr>
        <w:t>of reservations on treaties and</w:t>
      </w:r>
      <w:r w:rsidR="00F6678A" w:rsidRPr="00A34D67">
        <w:rPr>
          <w:rFonts w:ascii="Arial" w:hAnsi="Arial" w:cs="Arial"/>
          <w:sz w:val="24"/>
          <w:szCs w:val="24"/>
          <w:lang w:val="en-US"/>
        </w:rPr>
        <w:t xml:space="preserve">… </w:t>
      </w:r>
      <w:r w:rsidR="00060C70" w:rsidRPr="00A34D67">
        <w:rPr>
          <w:rFonts w:ascii="Arial" w:hAnsi="Arial" w:cs="Arial"/>
          <w:sz w:val="24"/>
          <w:szCs w:val="24"/>
          <w:lang w:val="en-US"/>
        </w:rPr>
        <w:t>their possible role as a source of customary rules,</w:t>
      </w:r>
      <w:r w:rsidR="00F6678A" w:rsidRPr="00A34D67">
        <w:rPr>
          <w:rFonts w:ascii="Arial" w:hAnsi="Arial" w:cs="Arial"/>
          <w:sz w:val="24"/>
          <w:szCs w:val="24"/>
          <w:lang w:val="en-US"/>
        </w:rPr>
        <w:t>’</w:t>
      </w:r>
      <w:r w:rsidR="00F6678A" w:rsidRPr="00A34D67">
        <w:rPr>
          <w:rStyle w:val="FootnoteReference"/>
          <w:rFonts w:ascii="Arial" w:hAnsi="Arial" w:cs="Arial"/>
          <w:sz w:val="24"/>
          <w:szCs w:val="24"/>
          <w:lang w:val="en-US"/>
        </w:rPr>
        <w:footnoteReference w:id="56"/>
      </w:r>
      <w:r w:rsidR="00060C70" w:rsidRPr="00A34D67">
        <w:rPr>
          <w:rFonts w:ascii="Arial" w:hAnsi="Arial" w:cs="Arial"/>
          <w:color w:val="FF0000"/>
          <w:sz w:val="24"/>
          <w:szCs w:val="24"/>
          <w:lang w:val="en-US"/>
        </w:rPr>
        <w:t xml:space="preserve"> </w:t>
      </w:r>
      <w:r w:rsidR="00060C70" w:rsidRPr="00A34D67">
        <w:rPr>
          <w:rFonts w:ascii="Arial" w:hAnsi="Arial" w:cs="Arial"/>
          <w:sz w:val="24"/>
          <w:szCs w:val="24"/>
          <w:lang w:val="en-US"/>
        </w:rPr>
        <w:t xml:space="preserve">and </w:t>
      </w:r>
      <w:r w:rsidR="00F6678A" w:rsidRPr="00A34D67">
        <w:rPr>
          <w:rFonts w:ascii="Arial" w:hAnsi="Arial" w:cs="Arial"/>
          <w:sz w:val="24"/>
          <w:szCs w:val="24"/>
          <w:lang w:val="en-US"/>
        </w:rPr>
        <w:t>also the ambiguities in the Convention’s rules that were actually ‘obvious illogicities’.</w:t>
      </w:r>
      <w:r w:rsidR="00F6678A" w:rsidRPr="00A34D67">
        <w:rPr>
          <w:rStyle w:val="FootnoteReference"/>
          <w:rFonts w:ascii="Arial" w:hAnsi="Arial" w:cs="Arial"/>
          <w:sz w:val="24"/>
          <w:szCs w:val="24"/>
          <w:lang w:val="en-US"/>
        </w:rPr>
        <w:footnoteReference w:id="57"/>
      </w:r>
      <w:r w:rsidR="00DF2534" w:rsidRPr="00A34D67">
        <w:rPr>
          <w:rFonts w:ascii="Arial" w:hAnsi="Arial" w:cs="Arial"/>
          <w:sz w:val="24"/>
          <w:szCs w:val="24"/>
          <w:lang w:val="en-US"/>
        </w:rPr>
        <w:t xml:space="preserve"> </w:t>
      </w:r>
    </w:p>
    <w:p w14:paraId="38542DA5" w14:textId="0166D704" w:rsidR="009C073C" w:rsidRPr="009C073C" w:rsidRDefault="009C073C" w:rsidP="00401E4C">
      <w:pPr>
        <w:spacing w:line="480" w:lineRule="auto"/>
        <w:rPr>
          <w:rFonts w:ascii="Arial" w:hAnsi="Arial" w:cs="Arial"/>
          <w:sz w:val="24"/>
          <w:szCs w:val="24"/>
          <w:lang w:val="en-US"/>
        </w:rPr>
      </w:pPr>
      <w:r>
        <w:rPr>
          <w:rFonts w:ascii="Arial" w:hAnsi="Arial" w:cs="Arial"/>
          <w:sz w:val="24"/>
          <w:szCs w:val="24"/>
          <w:lang w:val="en-US"/>
        </w:rPr>
        <w:t xml:space="preserve">By the latter </w:t>
      </w:r>
      <w:r w:rsidR="000B1AFF">
        <w:rPr>
          <w:rFonts w:ascii="Arial" w:hAnsi="Arial" w:cs="Arial"/>
          <w:sz w:val="24"/>
          <w:szCs w:val="24"/>
          <w:lang w:val="en-US"/>
        </w:rPr>
        <w:t>half</w:t>
      </w:r>
      <w:r>
        <w:rPr>
          <w:rFonts w:ascii="Arial" w:hAnsi="Arial" w:cs="Arial"/>
          <w:sz w:val="24"/>
          <w:szCs w:val="24"/>
          <w:lang w:val="en-US"/>
        </w:rPr>
        <w:t xml:space="preserve"> of the 1980s, the flaws in the Vienna Convention regime had become increasingly obvious. </w:t>
      </w:r>
      <w:r w:rsidR="00551C91">
        <w:rPr>
          <w:rFonts w:ascii="Arial" w:hAnsi="Arial" w:cs="Arial"/>
          <w:sz w:val="24"/>
          <w:szCs w:val="24"/>
          <w:lang w:val="en-US"/>
        </w:rPr>
        <w:t>It was hard to apply the system, particularly in respect of the ‘object and purpose test’ for assessing the compatibility of reservations to human rights treaties.</w:t>
      </w:r>
      <w:r w:rsidR="00E47438">
        <w:rPr>
          <w:rFonts w:ascii="Arial" w:hAnsi="Arial" w:cs="Arial"/>
          <w:sz w:val="24"/>
          <w:szCs w:val="24"/>
          <w:lang w:val="en-US"/>
        </w:rPr>
        <w:t xml:space="preserve"> At a fundamental level, human rights treaties ‘are not contractual in nature</w:t>
      </w:r>
      <w:r w:rsidR="0058410F">
        <w:rPr>
          <w:rFonts w:ascii="Arial" w:hAnsi="Arial" w:cs="Arial"/>
          <w:sz w:val="24"/>
          <w:szCs w:val="24"/>
          <w:lang w:val="en-US"/>
        </w:rPr>
        <w:t>,’</w:t>
      </w:r>
      <w:r w:rsidR="00E47438">
        <w:rPr>
          <w:rFonts w:ascii="Arial" w:hAnsi="Arial" w:cs="Arial"/>
          <w:sz w:val="24"/>
          <w:szCs w:val="24"/>
          <w:lang w:val="en-US"/>
        </w:rPr>
        <w:t xml:space="preserve"> </w:t>
      </w:r>
      <w:r w:rsidR="00E47438" w:rsidRPr="0058410F">
        <w:rPr>
          <w:rFonts w:ascii="Arial" w:hAnsi="Arial" w:cs="Arial"/>
          <w:sz w:val="24"/>
          <w:szCs w:val="24"/>
          <w:lang w:val="en-US"/>
        </w:rPr>
        <w:t xml:space="preserve">and </w:t>
      </w:r>
      <w:r w:rsidR="0058410F" w:rsidRPr="0058410F">
        <w:rPr>
          <w:rFonts w:ascii="Arial" w:hAnsi="Arial" w:cs="Arial"/>
          <w:sz w:val="24"/>
          <w:szCs w:val="24"/>
          <w:lang w:val="en-US"/>
        </w:rPr>
        <w:t>apart from</w:t>
      </w:r>
      <w:r w:rsidR="00E47438" w:rsidRPr="0058410F">
        <w:rPr>
          <w:rFonts w:ascii="Arial" w:hAnsi="Arial" w:cs="Arial"/>
          <w:sz w:val="24"/>
          <w:szCs w:val="24"/>
          <w:lang w:val="en-US"/>
        </w:rPr>
        <w:t xml:space="preserve"> </w:t>
      </w:r>
      <w:r w:rsidR="0058410F" w:rsidRPr="0058410F">
        <w:rPr>
          <w:rFonts w:ascii="Arial" w:hAnsi="Arial" w:cs="Arial"/>
          <w:sz w:val="24"/>
          <w:szCs w:val="24"/>
          <w:lang w:val="en-US"/>
        </w:rPr>
        <w:t>constructing reciprocal</w:t>
      </w:r>
      <w:r w:rsidR="00E47438" w:rsidRPr="0058410F">
        <w:rPr>
          <w:rFonts w:ascii="Arial" w:hAnsi="Arial" w:cs="Arial"/>
          <w:sz w:val="24"/>
          <w:szCs w:val="24"/>
          <w:lang w:val="en-US"/>
        </w:rPr>
        <w:t xml:space="preserve"> rights and obligations between states</w:t>
      </w:r>
      <w:r w:rsidR="0058410F" w:rsidRPr="0058410F">
        <w:rPr>
          <w:rFonts w:ascii="Arial" w:hAnsi="Arial" w:cs="Arial"/>
          <w:sz w:val="24"/>
          <w:szCs w:val="24"/>
          <w:lang w:val="en-US"/>
        </w:rPr>
        <w:t xml:space="preserve"> </w:t>
      </w:r>
      <w:r w:rsidR="00E47438" w:rsidRPr="00E47438">
        <w:rPr>
          <w:rFonts w:ascii="Arial" w:hAnsi="Arial" w:cs="Arial"/>
          <w:sz w:val="24"/>
          <w:szCs w:val="24"/>
          <w:lang w:val="en-US"/>
        </w:rPr>
        <w:t>they also ‘establish relationships between states and individuals’.</w:t>
      </w:r>
      <w:r w:rsidR="007A238C">
        <w:rPr>
          <w:rStyle w:val="FootnoteReference"/>
          <w:rFonts w:ascii="Arial" w:hAnsi="Arial" w:cs="Arial"/>
          <w:sz w:val="24"/>
          <w:szCs w:val="24"/>
          <w:lang w:val="en-US"/>
        </w:rPr>
        <w:footnoteReference w:id="58"/>
      </w:r>
      <w:r w:rsidR="00E47438">
        <w:rPr>
          <w:rFonts w:ascii="Arial" w:hAnsi="Arial" w:cs="Arial"/>
          <w:color w:val="FF0000"/>
          <w:sz w:val="24"/>
          <w:szCs w:val="24"/>
          <w:lang w:val="en-US"/>
        </w:rPr>
        <w:t xml:space="preserve"> </w:t>
      </w:r>
      <w:r w:rsidR="00306EE4" w:rsidRPr="007A05B4">
        <w:rPr>
          <w:rFonts w:ascii="Arial" w:hAnsi="Arial" w:cs="Arial"/>
          <w:sz w:val="24"/>
          <w:szCs w:val="24"/>
          <w:lang w:val="en-US"/>
        </w:rPr>
        <w:t>It was imperative that several key problems were addressed: are all state reservations permissible?</w:t>
      </w:r>
      <w:r w:rsidR="00271B7B" w:rsidRPr="007A05B4">
        <w:rPr>
          <w:rStyle w:val="FootnoteReference"/>
          <w:rFonts w:ascii="Arial" w:hAnsi="Arial" w:cs="Arial"/>
          <w:sz w:val="24"/>
          <w:szCs w:val="24"/>
          <w:lang w:val="en-US"/>
        </w:rPr>
        <w:footnoteReference w:id="59"/>
      </w:r>
      <w:r w:rsidR="00306EE4" w:rsidRPr="007A05B4">
        <w:rPr>
          <w:rFonts w:ascii="Arial" w:hAnsi="Arial" w:cs="Arial"/>
          <w:sz w:val="24"/>
          <w:szCs w:val="24"/>
          <w:lang w:val="en-US"/>
        </w:rPr>
        <w:t xml:space="preserve"> Who validates their permissibility? What are the consequences of </w:t>
      </w:r>
      <w:r w:rsidR="008B136A" w:rsidRPr="007A05B4">
        <w:rPr>
          <w:rFonts w:ascii="Arial" w:hAnsi="Arial" w:cs="Arial"/>
          <w:sz w:val="24"/>
          <w:szCs w:val="24"/>
          <w:lang w:val="en-US"/>
        </w:rPr>
        <w:t>an impermissible reservation?</w:t>
      </w:r>
      <w:r w:rsidR="00306EE4" w:rsidRPr="007A05B4">
        <w:rPr>
          <w:rFonts w:ascii="Arial" w:hAnsi="Arial" w:cs="Arial"/>
          <w:sz w:val="24"/>
          <w:szCs w:val="24"/>
          <w:lang w:val="en-US"/>
        </w:rPr>
        <w:t xml:space="preserve"> </w:t>
      </w:r>
      <w:r w:rsidR="00E47438" w:rsidRPr="007A05B4">
        <w:rPr>
          <w:rFonts w:ascii="Arial" w:hAnsi="Arial" w:cs="Arial"/>
          <w:sz w:val="24"/>
          <w:szCs w:val="24"/>
          <w:lang w:val="en-US"/>
        </w:rPr>
        <w:t>T</w:t>
      </w:r>
      <w:r w:rsidR="00E47438">
        <w:rPr>
          <w:rFonts w:ascii="Arial" w:hAnsi="Arial" w:cs="Arial"/>
          <w:sz w:val="24"/>
          <w:szCs w:val="24"/>
          <w:lang w:val="en-US"/>
        </w:rPr>
        <w:t xml:space="preserve">he ILC decided to take action by placing reservations to treaties on their agenda in 1993. </w:t>
      </w:r>
      <w:r w:rsidR="00E47438" w:rsidRPr="00A34D67">
        <w:rPr>
          <w:rFonts w:ascii="Arial" w:hAnsi="Arial" w:cs="Arial"/>
          <w:sz w:val="24"/>
          <w:szCs w:val="24"/>
          <w:lang w:val="en-US"/>
        </w:rPr>
        <w:t xml:space="preserve">However, it would not be until 2011 that the </w:t>
      </w:r>
      <w:r w:rsidR="005B3743">
        <w:rPr>
          <w:rFonts w:ascii="Arial" w:hAnsi="Arial" w:cs="Arial"/>
          <w:sz w:val="24"/>
          <w:szCs w:val="24"/>
          <w:lang w:val="en-US"/>
        </w:rPr>
        <w:t>findings</w:t>
      </w:r>
      <w:r w:rsidR="00E47438">
        <w:rPr>
          <w:rFonts w:ascii="Arial" w:hAnsi="Arial" w:cs="Arial"/>
          <w:sz w:val="24"/>
          <w:szCs w:val="24"/>
          <w:lang w:val="en-US"/>
        </w:rPr>
        <w:t xml:space="preserve"> of </w:t>
      </w:r>
      <w:r w:rsidR="00E47438" w:rsidRPr="00A34D67">
        <w:rPr>
          <w:rFonts w:ascii="Arial" w:hAnsi="Arial" w:cs="Arial"/>
          <w:sz w:val="24"/>
          <w:szCs w:val="24"/>
          <w:lang w:val="en-US"/>
        </w:rPr>
        <w:t xml:space="preserve">ILC finally </w:t>
      </w:r>
      <w:r w:rsidR="00E47438">
        <w:rPr>
          <w:rFonts w:ascii="Arial" w:hAnsi="Arial" w:cs="Arial"/>
          <w:sz w:val="24"/>
          <w:szCs w:val="24"/>
          <w:lang w:val="en-US"/>
        </w:rPr>
        <w:t>developed into a coherent set of guidelines on the matter</w:t>
      </w:r>
      <w:r w:rsidR="00E47438" w:rsidRPr="00A34D67">
        <w:rPr>
          <w:rFonts w:ascii="Arial" w:hAnsi="Arial" w:cs="Arial"/>
          <w:sz w:val="24"/>
          <w:szCs w:val="24"/>
          <w:lang w:val="en-US"/>
        </w:rPr>
        <w:t>.</w:t>
      </w:r>
    </w:p>
    <w:p w14:paraId="0AA25377" w14:textId="3E4558F9" w:rsidR="00712021" w:rsidRPr="00A34D67" w:rsidRDefault="00F319DF" w:rsidP="00401E4C">
      <w:pPr>
        <w:numPr>
          <w:ilvl w:val="0"/>
          <w:numId w:val="24"/>
        </w:numPr>
        <w:spacing w:line="480" w:lineRule="auto"/>
        <w:rPr>
          <w:rFonts w:ascii="Arial" w:hAnsi="Arial" w:cs="Arial"/>
          <w:b/>
          <w:sz w:val="24"/>
          <w:szCs w:val="24"/>
        </w:rPr>
      </w:pPr>
      <w:r w:rsidRPr="00A34D67">
        <w:rPr>
          <w:rFonts w:ascii="Arial" w:hAnsi="Arial" w:cs="Arial"/>
          <w:b/>
          <w:sz w:val="24"/>
          <w:szCs w:val="24"/>
        </w:rPr>
        <w:t>The Jurisprudence of the European Court of Human Rights – a general comment from the UN Human Rights Committee in the 1990s</w:t>
      </w:r>
    </w:p>
    <w:p w14:paraId="542C44F5" w14:textId="515C689F" w:rsidR="001F3080" w:rsidRPr="00A34D67" w:rsidRDefault="000F0E2E" w:rsidP="00401E4C">
      <w:pPr>
        <w:spacing w:line="480" w:lineRule="auto"/>
        <w:rPr>
          <w:rFonts w:ascii="Arial" w:hAnsi="Arial" w:cs="Arial"/>
          <w:color w:val="FF0000"/>
          <w:sz w:val="24"/>
          <w:szCs w:val="24"/>
          <w:lang w:val="en-US"/>
        </w:rPr>
      </w:pPr>
      <w:r w:rsidRPr="000F0E2E">
        <w:rPr>
          <w:rFonts w:ascii="Arial" w:hAnsi="Arial" w:cs="Arial"/>
          <w:sz w:val="24"/>
          <w:szCs w:val="24"/>
          <w:lang w:val="en-US"/>
        </w:rPr>
        <w:t>I</w:t>
      </w:r>
      <w:r w:rsidR="00712021" w:rsidRPr="000F0E2E">
        <w:rPr>
          <w:rFonts w:ascii="Arial" w:hAnsi="Arial" w:cs="Arial"/>
          <w:sz w:val="24"/>
          <w:szCs w:val="24"/>
          <w:lang w:val="en-US"/>
        </w:rPr>
        <w:t>ntern</w:t>
      </w:r>
      <w:r w:rsidR="00712021" w:rsidRPr="00A34D67">
        <w:rPr>
          <w:rFonts w:ascii="Arial" w:hAnsi="Arial" w:cs="Arial"/>
          <w:sz w:val="24"/>
          <w:szCs w:val="24"/>
          <w:lang w:val="en-US"/>
        </w:rPr>
        <w:t xml:space="preserve">ational jurisprudence has </w:t>
      </w:r>
      <w:r>
        <w:rPr>
          <w:rFonts w:ascii="Arial" w:hAnsi="Arial" w:cs="Arial"/>
          <w:sz w:val="24"/>
          <w:szCs w:val="24"/>
          <w:lang w:val="en-US"/>
        </w:rPr>
        <w:t xml:space="preserve">hitherto </w:t>
      </w:r>
      <w:r w:rsidR="00712021" w:rsidRPr="00A34D67">
        <w:rPr>
          <w:rFonts w:ascii="Arial" w:hAnsi="Arial" w:cs="Arial"/>
          <w:sz w:val="24"/>
          <w:szCs w:val="24"/>
          <w:lang w:val="en-US"/>
        </w:rPr>
        <w:t xml:space="preserve">discussed reservations to treaties at considerable length, particularly within the </w:t>
      </w:r>
      <w:r w:rsidR="00712021" w:rsidRPr="00A34D67">
        <w:rPr>
          <w:rFonts w:ascii="Arial" w:hAnsi="Arial" w:cs="Arial"/>
          <w:i/>
          <w:sz w:val="24"/>
          <w:szCs w:val="24"/>
          <w:lang w:val="en-US"/>
        </w:rPr>
        <w:t xml:space="preserve">Nuclear Tests </w:t>
      </w:r>
      <w:r w:rsidR="00712021" w:rsidRPr="00A34D67">
        <w:rPr>
          <w:rFonts w:ascii="Arial" w:hAnsi="Arial" w:cs="Arial"/>
          <w:sz w:val="24"/>
          <w:szCs w:val="24"/>
          <w:lang w:val="en-US"/>
        </w:rPr>
        <w:t>cases</w:t>
      </w:r>
      <w:r w:rsidR="00712021" w:rsidRPr="00A34D67">
        <w:rPr>
          <w:rStyle w:val="FootnoteReference"/>
          <w:rFonts w:ascii="Arial" w:hAnsi="Arial" w:cs="Arial"/>
          <w:sz w:val="24"/>
          <w:szCs w:val="24"/>
          <w:lang w:val="en-US"/>
        </w:rPr>
        <w:footnoteReference w:id="60"/>
      </w:r>
      <w:r w:rsidR="00712021" w:rsidRPr="00A34D67">
        <w:rPr>
          <w:rFonts w:ascii="Arial" w:hAnsi="Arial" w:cs="Arial"/>
          <w:sz w:val="24"/>
          <w:szCs w:val="24"/>
          <w:lang w:val="en-US"/>
        </w:rPr>
        <w:t xml:space="preserve"> and the </w:t>
      </w:r>
      <w:r w:rsidR="00712021" w:rsidRPr="00A34D67">
        <w:rPr>
          <w:rFonts w:ascii="Arial" w:hAnsi="Arial" w:cs="Arial"/>
          <w:i/>
          <w:sz w:val="24"/>
          <w:szCs w:val="24"/>
          <w:lang w:val="en-US"/>
        </w:rPr>
        <w:t>Continental Shelf</w:t>
      </w:r>
      <w:r w:rsidR="00712021" w:rsidRPr="00A34D67">
        <w:rPr>
          <w:rFonts w:ascii="Arial" w:hAnsi="Arial" w:cs="Arial"/>
          <w:sz w:val="24"/>
          <w:szCs w:val="24"/>
          <w:lang w:val="en-US"/>
        </w:rPr>
        <w:t xml:space="preserve"> case.</w:t>
      </w:r>
      <w:r w:rsidR="00712021" w:rsidRPr="00A34D67">
        <w:rPr>
          <w:rStyle w:val="FootnoteReference"/>
          <w:rFonts w:ascii="Arial" w:hAnsi="Arial" w:cs="Arial"/>
          <w:sz w:val="24"/>
          <w:szCs w:val="24"/>
          <w:lang w:val="en-US"/>
        </w:rPr>
        <w:footnoteReference w:id="61"/>
      </w:r>
      <w:r w:rsidR="00712021" w:rsidRPr="00A34D67">
        <w:rPr>
          <w:rFonts w:ascii="Arial" w:hAnsi="Arial" w:cs="Arial"/>
          <w:sz w:val="24"/>
          <w:szCs w:val="24"/>
          <w:lang w:val="en-US"/>
        </w:rPr>
        <w:t xml:space="preserve"> </w:t>
      </w:r>
      <w:r w:rsidR="00516C50" w:rsidRPr="00A34D67">
        <w:rPr>
          <w:rFonts w:ascii="Arial" w:hAnsi="Arial" w:cs="Arial"/>
          <w:sz w:val="24"/>
          <w:szCs w:val="24"/>
        </w:rPr>
        <w:t>This chapter will assess</w:t>
      </w:r>
      <w:r w:rsidR="00516C50" w:rsidRPr="00A34D67">
        <w:rPr>
          <w:rFonts w:ascii="Arial" w:hAnsi="Arial" w:cs="Arial"/>
          <w:sz w:val="24"/>
          <w:szCs w:val="24"/>
          <w:lang w:val="en-US"/>
        </w:rPr>
        <w:t xml:space="preserve"> the jurisprudence of </w:t>
      </w:r>
      <w:r w:rsidR="00974A2F">
        <w:rPr>
          <w:rFonts w:ascii="Arial" w:hAnsi="Arial" w:cs="Arial"/>
          <w:sz w:val="24"/>
          <w:szCs w:val="24"/>
          <w:lang w:val="en-US"/>
        </w:rPr>
        <w:t xml:space="preserve">both </w:t>
      </w:r>
      <w:r w:rsidR="00516C50" w:rsidRPr="00A34D67">
        <w:rPr>
          <w:rFonts w:ascii="Arial" w:hAnsi="Arial" w:cs="Arial"/>
          <w:sz w:val="24"/>
          <w:szCs w:val="24"/>
          <w:lang w:val="en-US"/>
        </w:rPr>
        <w:t xml:space="preserve">the European Court of Human Rights </w:t>
      </w:r>
      <w:r w:rsidR="00974A2F">
        <w:rPr>
          <w:rFonts w:ascii="Arial" w:hAnsi="Arial" w:cs="Arial"/>
          <w:sz w:val="24"/>
          <w:szCs w:val="24"/>
          <w:lang w:val="en-US"/>
        </w:rPr>
        <w:t xml:space="preserve">and the UN Human Rights Committee </w:t>
      </w:r>
      <w:r w:rsidR="00516C50" w:rsidRPr="00A34D67">
        <w:rPr>
          <w:rFonts w:ascii="Arial" w:hAnsi="Arial" w:cs="Arial"/>
          <w:sz w:val="24"/>
          <w:szCs w:val="24"/>
          <w:lang w:val="en-US"/>
        </w:rPr>
        <w:t>concerning reservations to treaties.</w:t>
      </w:r>
      <w:r w:rsidR="00516C50" w:rsidRPr="00A34D67">
        <w:rPr>
          <w:rFonts w:ascii="Arial" w:hAnsi="Arial" w:cs="Arial"/>
          <w:color w:val="FF0000"/>
          <w:sz w:val="24"/>
          <w:szCs w:val="24"/>
          <w:lang w:val="en-US"/>
        </w:rPr>
        <w:t xml:space="preserve"> </w:t>
      </w:r>
    </w:p>
    <w:p w14:paraId="21455938" w14:textId="6956C7FB" w:rsidR="00937E7C" w:rsidRPr="00A34D67" w:rsidRDefault="00516C50" w:rsidP="00401E4C">
      <w:pPr>
        <w:spacing w:line="480" w:lineRule="auto"/>
        <w:rPr>
          <w:rFonts w:ascii="Arial" w:hAnsi="Arial" w:cs="Arial"/>
          <w:color w:val="FF0000"/>
          <w:sz w:val="24"/>
          <w:szCs w:val="24"/>
          <w:lang w:val="en-US"/>
        </w:rPr>
      </w:pPr>
      <w:r w:rsidRPr="00A34D67">
        <w:rPr>
          <w:rFonts w:ascii="Arial" w:hAnsi="Arial" w:cs="Arial"/>
          <w:sz w:val="24"/>
          <w:szCs w:val="24"/>
          <w:lang w:val="en-US"/>
        </w:rPr>
        <w:t xml:space="preserve">The European Court of Human Rights </w:t>
      </w:r>
      <w:r w:rsidR="00C9460E" w:rsidRPr="00A34D67">
        <w:rPr>
          <w:rFonts w:ascii="Arial" w:hAnsi="Arial" w:cs="Arial"/>
          <w:sz w:val="24"/>
          <w:szCs w:val="24"/>
          <w:lang w:val="en-US"/>
        </w:rPr>
        <w:t xml:space="preserve">(ECtHR) </w:t>
      </w:r>
      <w:r w:rsidRPr="00A34D67">
        <w:rPr>
          <w:rFonts w:ascii="Arial" w:hAnsi="Arial" w:cs="Arial"/>
          <w:sz w:val="24"/>
          <w:szCs w:val="24"/>
          <w:lang w:val="en-US"/>
        </w:rPr>
        <w:t>recognises that it is “necessary to ascertain the original intention of those who drafted the declaration”</w:t>
      </w:r>
      <w:r w:rsidR="008A020B" w:rsidRPr="00A34D67">
        <w:rPr>
          <w:rFonts w:ascii="Arial" w:hAnsi="Arial" w:cs="Arial"/>
          <w:sz w:val="24"/>
          <w:szCs w:val="24"/>
          <w:lang w:val="en-US"/>
        </w:rPr>
        <w:t>.</w:t>
      </w:r>
      <w:r w:rsidR="00020E8C" w:rsidRPr="00A34D67">
        <w:rPr>
          <w:rStyle w:val="FootnoteReference"/>
          <w:rFonts w:ascii="Arial" w:hAnsi="Arial" w:cs="Arial"/>
          <w:sz w:val="24"/>
          <w:szCs w:val="24"/>
          <w:lang w:val="en-US"/>
        </w:rPr>
        <w:footnoteReference w:id="62"/>
      </w:r>
      <w:r w:rsidRPr="00A34D67">
        <w:rPr>
          <w:rFonts w:ascii="Arial" w:hAnsi="Arial" w:cs="Arial"/>
          <w:sz w:val="24"/>
          <w:szCs w:val="24"/>
          <w:lang w:val="en-US"/>
        </w:rPr>
        <w:t xml:space="preserve"> The </w:t>
      </w:r>
      <w:r w:rsidR="007D40F9" w:rsidRPr="00A34D67">
        <w:rPr>
          <w:rFonts w:ascii="Arial" w:hAnsi="Arial" w:cs="Arial"/>
          <w:sz w:val="24"/>
          <w:szCs w:val="24"/>
          <w:lang w:val="en-US"/>
        </w:rPr>
        <w:t>U</w:t>
      </w:r>
      <w:r w:rsidR="005D5F3B" w:rsidRPr="00A34D67">
        <w:rPr>
          <w:rFonts w:ascii="Arial" w:hAnsi="Arial" w:cs="Arial"/>
          <w:sz w:val="24"/>
          <w:szCs w:val="24"/>
          <w:lang w:val="en-US"/>
        </w:rPr>
        <w:t xml:space="preserve">nited </w:t>
      </w:r>
      <w:r w:rsidR="007D40F9" w:rsidRPr="00A34D67">
        <w:rPr>
          <w:rFonts w:ascii="Arial" w:hAnsi="Arial" w:cs="Arial"/>
          <w:sz w:val="24"/>
          <w:szCs w:val="24"/>
          <w:lang w:val="en-US"/>
        </w:rPr>
        <w:t>N</w:t>
      </w:r>
      <w:r w:rsidR="005D5F3B" w:rsidRPr="00A34D67">
        <w:rPr>
          <w:rFonts w:ascii="Arial" w:hAnsi="Arial" w:cs="Arial"/>
          <w:sz w:val="24"/>
          <w:szCs w:val="24"/>
          <w:lang w:val="en-US"/>
        </w:rPr>
        <w:t xml:space="preserve">ations </w:t>
      </w:r>
      <w:r w:rsidRPr="00A34D67">
        <w:rPr>
          <w:rFonts w:ascii="Arial" w:hAnsi="Arial" w:cs="Arial"/>
          <w:sz w:val="24"/>
          <w:szCs w:val="24"/>
          <w:lang w:val="en-US"/>
        </w:rPr>
        <w:t>Human Rights Committee (HRC)</w:t>
      </w:r>
      <w:r w:rsidR="007F498B">
        <w:rPr>
          <w:rFonts w:ascii="Arial" w:hAnsi="Arial" w:cs="Arial"/>
          <w:sz w:val="24"/>
          <w:szCs w:val="24"/>
          <w:lang w:val="en-US"/>
        </w:rPr>
        <w:t xml:space="preserve"> </w:t>
      </w:r>
      <w:r w:rsidRPr="00A34D67">
        <w:rPr>
          <w:rFonts w:ascii="Arial" w:hAnsi="Arial" w:cs="Arial"/>
          <w:sz w:val="24"/>
          <w:szCs w:val="24"/>
          <w:lang w:val="en-US"/>
        </w:rPr>
        <w:t xml:space="preserve">adopted the same approach in its decision of the case of </w:t>
      </w:r>
      <w:r w:rsidRPr="00A34D67">
        <w:rPr>
          <w:rFonts w:ascii="Arial" w:hAnsi="Arial" w:cs="Arial"/>
          <w:i/>
          <w:sz w:val="24"/>
          <w:szCs w:val="24"/>
          <w:lang w:val="en-US"/>
        </w:rPr>
        <w:t>T.K.</w:t>
      </w:r>
      <w:r w:rsidRPr="00A34D67">
        <w:rPr>
          <w:rFonts w:ascii="Arial" w:hAnsi="Arial" w:cs="Arial"/>
          <w:sz w:val="24"/>
          <w:szCs w:val="24"/>
          <w:lang w:val="en-US"/>
        </w:rPr>
        <w:t xml:space="preserve"> v </w:t>
      </w:r>
      <w:r w:rsidRPr="00A34D67">
        <w:rPr>
          <w:rFonts w:ascii="Arial" w:hAnsi="Arial" w:cs="Arial"/>
          <w:i/>
          <w:sz w:val="24"/>
          <w:szCs w:val="24"/>
          <w:lang w:val="en-US"/>
        </w:rPr>
        <w:t>France</w:t>
      </w:r>
      <w:r w:rsidRPr="00A34D67">
        <w:rPr>
          <w:rFonts w:ascii="Arial" w:hAnsi="Arial" w:cs="Arial"/>
          <w:sz w:val="24"/>
          <w:szCs w:val="24"/>
          <w:lang w:val="en-US"/>
        </w:rPr>
        <w:t>.</w:t>
      </w:r>
      <w:r w:rsidR="00420409" w:rsidRPr="00A34D67">
        <w:rPr>
          <w:rStyle w:val="FootnoteReference"/>
          <w:rFonts w:ascii="Arial" w:hAnsi="Arial" w:cs="Arial"/>
          <w:sz w:val="24"/>
          <w:szCs w:val="24"/>
          <w:lang w:val="en-US"/>
        </w:rPr>
        <w:footnoteReference w:id="63"/>
      </w:r>
      <w:r w:rsidR="00712021" w:rsidRPr="00A34D67">
        <w:rPr>
          <w:rFonts w:ascii="Arial" w:hAnsi="Arial" w:cs="Arial"/>
          <w:color w:val="FF0000"/>
          <w:sz w:val="24"/>
          <w:szCs w:val="24"/>
          <w:lang w:val="en-US"/>
        </w:rPr>
        <w:t xml:space="preserve"> </w:t>
      </w:r>
      <w:r w:rsidR="001D74EF" w:rsidRPr="00A34D67">
        <w:rPr>
          <w:rFonts w:ascii="Arial" w:hAnsi="Arial" w:cs="Arial"/>
          <w:sz w:val="24"/>
          <w:szCs w:val="24"/>
          <w:lang w:val="en-US"/>
        </w:rPr>
        <w:t xml:space="preserve">The </w:t>
      </w:r>
      <w:r w:rsidR="0047075D" w:rsidRPr="00A34D67">
        <w:rPr>
          <w:rFonts w:ascii="Arial" w:hAnsi="Arial" w:cs="Arial"/>
          <w:sz w:val="24"/>
          <w:szCs w:val="24"/>
          <w:lang w:val="en-US"/>
        </w:rPr>
        <w:t>HRC</w:t>
      </w:r>
      <w:r w:rsidR="001D74EF" w:rsidRPr="00A34D67">
        <w:rPr>
          <w:rFonts w:ascii="Arial" w:hAnsi="Arial" w:cs="Arial"/>
          <w:sz w:val="24"/>
          <w:szCs w:val="24"/>
          <w:lang w:val="en-US"/>
        </w:rPr>
        <w:t xml:space="preserve"> dismissed the </w:t>
      </w:r>
      <w:r w:rsidR="0047075D" w:rsidRPr="00A34D67">
        <w:rPr>
          <w:rFonts w:ascii="Arial" w:hAnsi="Arial" w:cs="Arial"/>
          <w:sz w:val="24"/>
          <w:szCs w:val="24"/>
          <w:lang w:val="en-US"/>
        </w:rPr>
        <w:t xml:space="preserve">reservations assessment </w:t>
      </w:r>
      <w:r w:rsidR="001D74EF" w:rsidRPr="00A34D67">
        <w:rPr>
          <w:rFonts w:ascii="Arial" w:hAnsi="Arial" w:cs="Arial"/>
          <w:sz w:val="24"/>
          <w:szCs w:val="24"/>
          <w:lang w:val="en-US"/>
        </w:rPr>
        <w:t xml:space="preserve">methods </w:t>
      </w:r>
      <w:r w:rsidR="0047075D" w:rsidRPr="00A34D67">
        <w:rPr>
          <w:rFonts w:ascii="Arial" w:hAnsi="Arial" w:cs="Arial"/>
          <w:sz w:val="24"/>
          <w:szCs w:val="24"/>
          <w:lang w:val="en-US"/>
        </w:rPr>
        <w:t>established</w:t>
      </w:r>
      <w:r w:rsidR="001D74EF" w:rsidRPr="00A34D67">
        <w:rPr>
          <w:rFonts w:ascii="Arial" w:hAnsi="Arial" w:cs="Arial"/>
          <w:sz w:val="24"/>
          <w:szCs w:val="24"/>
          <w:lang w:val="en-US"/>
        </w:rPr>
        <w:t xml:space="preserve"> by the </w:t>
      </w:r>
      <w:r w:rsidR="001D74EF" w:rsidRPr="00A34D67">
        <w:rPr>
          <w:rFonts w:ascii="Arial" w:hAnsi="Arial" w:cs="Arial"/>
          <w:i/>
          <w:iCs/>
          <w:sz w:val="24"/>
          <w:szCs w:val="24"/>
          <w:lang w:val="en-US"/>
        </w:rPr>
        <w:t xml:space="preserve">Genocide Convention </w:t>
      </w:r>
      <w:r w:rsidR="001D74EF" w:rsidRPr="00A34D67">
        <w:rPr>
          <w:rFonts w:ascii="Arial" w:hAnsi="Arial" w:cs="Arial"/>
          <w:sz w:val="24"/>
          <w:szCs w:val="24"/>
          <w:lang w:val="en-US"/>
        </w:rPr>
        <w:t>case and the Vienna Convention as</w:t>
      </w:r>
      <w:r w:rsidR="0047075D" w:rsidRPr="00A34D67">
        <w:rPr>
          <w:rFonts w:ascii="Arial" w:hAnsi="Arial" w:cs="Arial"/>
          <w:sz w:val="24"/>
          <w:szCs w:val="24"/>
          <w:lang w:val="en-US"/>
        </w:rPr>
        <w:t xml:space="preserve"> being</w:t>
      </w:r>
      <w:r w:rsidR="001D74EF" w:rsidRPr="00A34D67">
        <w:rPr>
          <w:rFonts w:ascii="Arial" w:hAnsi="Arial" w:cs="Arial"/>
          <w:color w:val="FF0000"/>
          <w:sz w:val="24"/>
          <w:szCs w:val="24"/>
          <w:lang w:val="en-US"/>
        </w:rPr>
        <w:t xml:space="preserve"> </w:t>
      </w:r>
      <w:r w:rsidR="001D74EF" w:rsidRPr="00A34D67">
        <w:rPr>
          <w:rFonts w:ascii="Arial" w:hAnsi="Arial" w:cs="Arial"/>
          <w:sz w:val="24"/>
          <w:szCs w:val="24"/>
          <w:lang w:val="en-US"/>
        </w:rPr>
        <w:t>“inappropriate to address the problems of reservations to human rights treaties”</w:t>
      </w:r>
      <w:r w:rsidR="001D74EF" w:rsidRPr="00A34D67">
        <w:rPr>
          <w:rFonts w:ascii="Arial" w:hAnsi="Arial" w:cs="Arial"/>
          <w:color w:val="FF0000"/>
          <w:sz w:val="24"/>
          <w:szCs w:val="24"/>
          <w:lang w:val="en-US"/>
        </w:rPr>
        <w:t xml:space="preserve"> </w:t>
      </w:r>
      <w:r w:rsidR="0047075D" w:rsidRPr="00A34D67">
        <w:rPr>
          <w:rFonts w:ascii="Arial" w:hAnsi="Arial" w:cs="Arial"/>
          <w:sz w:val="24"/>
          <w:szCs w:val="24"/>
          <w:lang w:val="en-US"/>
        </w:rPr>
        <w:t xml:space="preserve">due to their dependency </w:t>
      </w:r>
      <w:r w:rsidR="001D74EF" w:rsidRPr="00A34D67">
        <w:rPr>
          <w:rFonts w:ascii="Arial" w:hAnsi="Arial" w:cs="Arial"/>
          <w:sz w:val="24"/>
          <w:szCs w:val="24"/>
          <w:lang w:val="en-US"/>
        </w:rPr>
        <w:t xml:space="preserve">on </w:t>
      </w:r>
      <w:r w:rsidR="0047075D" w:rsidRPr="00A34D67">
        <w:rPr>
          <w:rFonts w:ascii="Arial" w:hAnsi="Arial" w:cs="Arial"/>
          <w:sz w:val="24"/>
          <w:szCs w:val="24"/>
          <w:lang w:val="en-US"/>
        </w:rPr>
        <w:t>state parties’ objections to nullify reservations</w:t>
      </w:r>
      <w:r w:rsidR="001D74EF" w:rsidRPr="00A34D67">
        <w:rPr>
          <w:rFonts w:ascii="Arial" w:hAnsi="Arial" w:cs="Arial"/>
          <w:sz w:val="24"/>
          <w:szCs w:val="24"/>
          <w:lang w:val="en-US"/>
        </w:rPr>
        <w:t>.</w:t>
      </w:r>
      <w:r w:rsidR="0047075D" w:rsidRPr="00A34D67">
        <w:rPr>
          <w:rStyle w:val="FootnoteReference"/>
          <w:rFonts w:ascii="Arial" w:hAnsi="Arial" w:cs="Arial"/>
          <w:sz w:val="24"/>
          <w:szCs w:val="24"/>
          <w:lang w:val="en-US"/>
        </w:rPr>
        <w:footnoteReference w:id="64"/>
      </w:r>
      <w:r w:rsidR="001D74EF" w:rsidRPr="00A34D67">
        <w:rPr>
          <w:rFonts w:ascii="Arial" w:hAnsi="Arial" w:cs="Arial"/>
          <w:color w:val="FF0000"/>
          <w:sz w:val="24"/>
          <w:szCs w:val="24"/>
          <w:lang w:val="en-US"/>
        </w:rPr>
        <w:t xml:space="preserve"> </w:t>
      </w:r>
      <w:r w:rsidR="0047075D" w:rsidRPr="00A34D67">
        <w:rPr>
          <w:rFonts w:ascii="Arial" w:hAnsi="Arial" w:cs="Arial"/>
          <w:sz w:val="24"/>
          <w:szCs w:val="24"/>
          <w:lang w:val="en-US"/>
        </w:rPr>
        <w:t>So</w:t>
      </w:r>
      <w:r w:rsidR="00A901EC" w:rsidRPr="00A34D67">
        <w:rPr>
          <w:rFonts w:ascii="Arial" w:hAnsi="Arial" w:cs="Arial"/>
          <w:sz w:val="24"/>
          <w:szCs w:val="24"/>
          <w:lang w:val="en-US"/>
        </w:rPr>
        <w:t>,</w:t>
      </w:r>
      <w:r w:rsidR="00937E7C" w:rsidRPr="00A34D67">
        <w:rPr>
          <w:rFonts w:ascii="Arial" w:hAnsi="Arial" w:cs="Arial"/>
          <w:sz w:val="24"/>
          <w:szCs w:val="24"/>
          <w:lang w:val="en-US"/>
        </w:rPr>
        <w:t xml:space="preserve"> in the HRC’s own </w:t>
      </w:r>
      <w:r w:rsidR="0047075D" w:rsidRPr="00A34D67">
        <w:rPr>
          <w:rFonts w:ascii="Arial" w:hAnsi="Arial" w:cs="Arial"/>
          <w:sz w:val="24"/>
          <w:szCs w:val="24"/>
          <w:lang w:val="en-US"/>
        </w:rPr>
        <w:t>terms,</w:t>
      </w:r>
      <w:r w:rsidR="00937E7C" w:rsidRPr="00A34D67">
        <w:rPr>
          <w:rFonts w:ascii="Arial" w:hAnsi="Arial" w:cs="Arial"/>
          <w:sz w:val="24"/>
          <w:szCs w:val="24"/>
          <w:lang w:val="en-US"/>
        </w:rPr>
        <w:t xml:space="preserve"> it ‘necessarily falls to the Committee to determine whether a specific reservation is compatible with the object and purpose of the Covenant’.</w:t>
      </w:r>
      <w:r w:rsidR="00BD641A" w:rsidRPr="00A34D67">
        <w:rPr>
          <w:rStyle w:val="FootnoteReference"/>
          <w:rFonts w:ascii="Arial" w:hAnsi="Arial" w:cs="Arial"/>
          <w:sz w:val="24"/>
          <w:szCs w:val="24"/>
          <w:lang w:val="en-US"/>
        </w:rPr>
        <w:footnoteReference w:id="65"/>
      </w:r>
    </w:p>
    <w:p w14:paraId="7E7C201D" w14:textId="2D42CB39" w:rsidR="00516C50" w:rsidRPr="00A34D67" w:rsidRDefault="00516C50" w:rsidP="00401E4C">
      <w:pPr>
        <w:spacing w:line="480" w:lineRule="auto"/>
        <w:rPr>
          <w:rFonts w:ascii="Arial" w:hAnsi="Arial" w:cs="Arial"/>
          <w:sz w:val="24"/>
          <w:szCs w:val="24"/>
          <w:lang w:val="en-US"/>
        </w:rPr>
      </w:pPr>
      <w:r w:rsidRPr="00A34D67">
        <w:rPr>
          <w:rFonts w:ascii="Arial" w:hAnsi="Arial" w:cs="Arial"/>
          <w:sz w:val="24"/>
          <w:szCs w:val="24"/>
          <w:lang w:val="en-US"/>
        </w:rPr>
        <w:t xml:space="preserve">In </w:t>
      </w:r>
      <w:r w:rsidR="00064204" w:rsidRPr="00A34D67">
        <w:rPr>
          <w:rFonts w:ascii="Arial" w:hAnsi="Arial" w:cs="Arial"/>
          <w:sz w:val="24"/>
          <w:szCs w:val="24"/>
          <w:lang w:val="en-US"/>
        </w:rPr>
        <w:t xml:space="preserve">November </w:t>
      </w:r>
      <w:r w:rsidRPr="00A34D67">
        <w:rPr>
          <w:rFonts w:ascii="Arial" w:hAnsi="Arial" w:cs="Arial"/>
          <w:sz w:val="24"/>
          <w:szCs w:val="24"/>
          <w:lang w:val="en-US"/>
        </w:rPr>
        <w:t>1994,</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the </w:t>
      </w:r>
      <w:r w:rsidR="007F63BD" w:rsidRPr="00A34D67">
        <w:rPr>
          <w:rFonts w:ascii="Arial" w:hAnsi="Arial" w:cs="Arial"/>
          <w:sz w:val="24"/>
          <w:szCs w:val="24"/>
          <w:lang w:val="en-US"/>
        </w:rPr>
        <w:t xml:space="preserve">UN </w:t>
      </w:r>
      <w:r w:rsidRPr="00A34D67">
        <w:rPr>
          <w:rFonts w:ascii="Arial" w:hAnsi="Arial" w:cs="Arial"/>
          <w:sz w:val="24"/>
          <w:szCs w:val="24"/>
          <w:lang w:val="en-US"/>
        </w:rPr>
        <w:t xml:space="preserve">Human Rights Committee </w:t>
      </w:r>
      <w:r w:rsidR="00D41C7E" w:rsidRPr="00A34D67">
        <w:rPr>
          <w:rFonts w:ascii="Arial" w:hAnsi="Arial" w:cs="Arial"/>
          <w:sz w:val="24"/>
          <w:szCs w:val="24"/>
          <w:lang w:val="en-US"/>
        </w:rPr>
        <w:t>(HRC)</w:t>
      </w:r>
      <w:r w:rsidR="0085183B" w:rsidRPr="00A34D67">
        <w:rPr>
          <w:rFonts w:ascii="Arial" w:hAnsi="Arial" w:cs="Arial"/>
          <w:sz w:val="24"/>
          <w:szCs w:val="24"/>
          <w:lang w:val="en-US"/>
        </w:rPr>
        <w:t>, the treaty body empowered by the International Covenant on Civil and Political Rights (ICCPR),</w:t>
      </w:r>
      <w:r w:rsidR="00093B73" w:rsidRPr="00A34D67">
        <w:rPr>
          <w:rStyle w:val="FootnoteReference"/>
          <w:rFonts w:ascii="Arial" w:hAnsi="Arial" w:cs="Arial"/>
          <w:sz w:val="24"/>
          <w:szCs w:val="24"/>
          <w:lang w:val="en-US"/>
        </w:rPr>
        <w:footnoteReference w:id="66"/>
      </w:r>
      <w:r w:rsidR="00D41C7E" w:rsidRPr="00A34D67">
        <w:rPr>
          <w:rFonts w:ascii="Arial" w:hAnsi="Arial" w:cs="Arial"/>
          <w:sz w:val="24"/>
          <w:szCs w:val="24"/>
          <w:lang w:val="en-US"/>
        </w:rPr>
        <w:t xml:space="preserve"> </w:t>
      </w:r>
      <w:r w:rsidRPr="00A34D67">
        <w:rPr>
          <w:rFonts w:ascii="Arial" w:hAnsi="Arial" w:cs="Arial"/>
          <w:sz w:val="24"/>
          <w:szCs w:val="24"/>
          <w:lang w:val="en-US"/>
        </w:rPr>
        <w:t>adopted</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the </w:t>
      </w:r>
      <w:r w:rsidR="001D366D">
        <w:rPr>
          <w:rFonts w:ascii="Arial" w:hAnsi="Arial" w:cs="Arial"/>
          <w:sz w:val="24"/>
          <w:szCs w:val="24"/>
          <w:lang w:val="en-US"/>
        </w:rPr>
        <w:t>divisive</w:t>
      </w:r>
      <w:r w:rsidRPr="00A34D67">
        <w:rPr>
          <w:rFonts w:ascii="Arial" w:hAnsi="Arial" w:cs="Arial"/>
          <w:color w:val="FF0000"/>
          <w:sz w:val="24"/>
          <w:szCs w:val="24"/>
          <w:lang w:val="en-US"/>
        </w:rPr>
        <w:t xml:space="preserve"> </w:t>
      </w:r>
      <w:r w:rsidRPr="00B00804">
        <w:rPr>
          <w:rFonts w:ascii="Arial" w:hAnsi="Arial" w:cs="Arial"/>
          <w:i/>
          <w:sz w:val="24"/>
          <w:szCs w:val="24"/>
          <w:lang w:val="en-US"/>
        </w:rPr>
        <w:t xml:space="preserve">General Comment </w:t>
      </w:r>
      <w:r w:rsidR="00DD1D8F" w:rsidRPr="00B00804">
        <w:rPr>
          <w:rFonts w:ascii="Arial" w:hAnsi="Arial" w:cs="Arial"/>
          <w:i/>
          <w:sz w:val="24"/>
          <w:szCs w:val="24"/>
          <w:lang w:val="en-US"/>
        </w:rPr>
        <w:t>N</w:t>
      </w:r>
      <w:r w:rsidRPr="00B00804">
        <w:rPr>
          <w:rFonts w:ascii="Arial" w:hAnsi="Arial" w:cs="Arial"/>
          <w:i/>
          <w:sz w:val="24"/>
          <w:szCs w:val="24"/>
          <w:lang w:val="en-US"/>
        </w:rPr>
        <w:t>o. 24</w:t>
      </w:r>
      <w:r w:rsidR="007F63BD" w:rsidRPr="00A34D67">
        <w:rPr>
          <w:rStyle w:val="FootnoteReference"/>
          <w:rFonts w:ascii="Arial" w:hAnsi="Arial" w:cs="Arial"/>
          <w:sz w:val="24"/>
          <w:szCs w:val="24"/>
        </w:rPr>
        <w:footnoteReference w:id="67"/>
      </w:r>
      <w:r w:rsidRPr="00A34D67">
        <w:rPr>
          <w:rFonts w:ascii="Arial" w:hAnsi="Arial" w:cs="Arial"/>
          <w:sz w:val="24"/>
          <w:szCs w:val="24"/>
          <w:lang w:val="en-US"/>
        </w:rPr>
        <w:t xml:space="preserve"> on reservations to treaties.</w:t>
      </w:r>
      <w:r w:rsidRPr="00A34D67">
        <w:rPr>
          <w:rStyle w:val="FootnoteReference"/>
          <w:rFonts w:ascii="Arial" w:hAnsi="Arial" w:cs="Arial"/>
          <w:sz w:val="24"/>
          <w:szCs w:val="24"/>
        </w:rPr>
        <w:footnoteReference w:id="68"/>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The </w:t>
      </w:r>
      <w:r w:rsidR="00D41C7E" w:rsidRPr="00A34D67">
        <w:rPr>
          <w:rFonts w:ascii="Arial" w:hAnsi="Arial" w:cs="Arial"/>
          <w:sz w:val="24"/>
          <w:szCs w:val="24"/>
          <w:lang w:val="en-US"/>
        </w:rPr>
        <w:t>HRC</w:t>
      </w:r>
      <w:r w:rsidR="00D0571E" w:rsidRPr="00A34D67">
        <w:rPr>
          <w:rFonts w:ascii="Arial" w:hAnsi="Arial" w:cs="Arial"/>
          <w:sz w:val="24"/>
          <w:szCs w:val="24"/>
          <w:lang w:val="en-US"/>
        </w:rPr>
        <w:t>’s General Comment</w:t>
      </w:r>
      <w:r w:rsidRPr="00A34D67">
        <w:rPr>
          <w:rFonts w:ascii="Arial" w:hAnsi="Arial" w:cs="Arial"/>
          <w:sz w:val="24"/>
          <w:szCs w:val="24"/>
          <w:lang w:val="en-US"/>
        </w:rPr>
        <w:t xml:space="preserve"> </w:t>
      </w:r>
      <w:r w:rsidR="004810D2" w:rsidRPr="00A34D67">
        <w:rPr>
          <w:rFonts w:ascii="Arial" w:hAnsi="Arial" w:cs="Arial"/>
          <w:sz w:val="24"/>
          <w:szCs w:val="24"/>
          <w:lang w:val="en-US"/>
        </w:rPr>
        <w:t>claimed</w:t>
      </w:r>
      <w:r w:rsidRPr="00A34D67">
        <w:rPr>
          <w:rFonts w:ascii="Arial" w:hAnsi="Arial" w:cs="Arial"/>
          <w:sz w:val="24"/>
          <w:szCs w:val="24"/>
          <w:lang w:val="en-US"/>
        </w:rPr>
        <w:t xml:space="preserve"> that the provisions of the Vienna Convention </w:t>
      </w:r>
      <w:r w:rsidR="004810D2" w:rsidRPr="00A34D67">
        <w:rPr>
          <w:rFonts w:ascii="Arial" w:hAnsi="Arial" w:cs="Arial"/>
          <w:sz w:val="24"/>
          <w:szCs w:val="24"/>
          <w:lang w:val="en-US"/>
        </w:rPr>
        <w:t>we</w:t>
      </w:r>
      <w:r w:rsidRPr="00A34D67">
        <w:rPr>
          <w:rFonts w:ascii="Arial" w:hAnsi="Arial" w:cs="Arial"/>
          <w:sz w:val="24"/>
          <w:szCs w:val="24"/>
          <w:lang w:val="en-US"/>
        </w:rPr>
        <w:t>re not applicable to human rights treaties because:</w:t>
      </w:r>
    </w:p>
    <w:p w14:paraId="4C04342E" w14:textId="3D8CDBA5" w:rsidR="00741DB6" w:rsidRPr="00A34D67" w:rsidRDefault="00B969AB" w:rsidP="00401E4C">
      <w:pPr>
        <w:numPr>
          <w:ilvl w:val="0"/>
          <w:numId w:val="10"/>
        </w:numPr>
        <w:spacing w:line="480" w:lineRule="auto"/>
        <w:rPr>
          <w:rFonts w:ascii="Arial" w:hAnsi="Arial" w:cs="Arial"/>
          <w:sz w:val="24"/>
          <w:szCs w:val="24"/>
          <w:lang w:val="en-US"/>
        </w:rPr>
      </w:pPr>
      <w:r w:rsidRPr="00A34D67">
        <w:rPr>
          <w:rFonts w:ascii="Arial" w:hAnsi="Arial" w:cs="Arial"/>
          <w:sz w:val="24"/>
          <w:szCs w:val="24"/>
          <w:lang w:val="en-US"/>
        </w:rPr>
        <w:t xml:space="preserve">Relations between states are not regulated by human rights treaties. Instead, </w:t>
      </w:r>
      <w:r w:rsidR="00B57A0F" w:rsidRPr="00A34D67">
        <w:rPr>
          <w:rFonts w:ascii="Arial" w:hAnsi="Arial" w:cs="Arial"/>
          <w:sz w:val="24"/>
          <w:szCs w:val="24"/>
          <w:lang w:val="en-US"/>
        </w:rPr>
        <w:t>human rights</w:t>
      </w:r>
      <w:r w:rsidRPr="00A34D67">
        <w:rPr>
          <w:rFonts w:ascii="Arial" w:hAnsi="Arial" w:cs="Arial"/>
          <w:sz w:val="24"/>
          <w:szCs w:val="24"/>
          <w:lang w:val="en-US"/>
        </w:rPr>
        <w:t xml:space="preserve"> treaties protect</w:t>
      </w:r>
      <w:r w:rsidR="00741DB6" w:rsidRPr="00A34D67">
        <w:rPr>
          <w:rFonts w:ascii="Arial" w:hAnsi="Arial" w:cs="Arial"/>
          <w:sz w:val="24"/>
          <w:szCs w:val="24"/>
          <w:lang w:val="en-US"/>
        </w:rPr>
        <w:t xml:space="preserve"> the rights of individuals against the state. </w:t>
      </w:r>
      <w:r w:rsidRPr="00A34D67">
        <w:rPr>
          <w:rFonts w:ascii="Arial" w:hAnsi="Arial" w:cs="Arial"/>
          <w:sz w:val="24"/>
          <w:szCs w:val="24"/>
          <w:lang w:val="en-US"/>
        </w:rPr>
        <w:t xml:space="preserve">It should therefore merely be at the discretion of treaty bodies as to which reservations are valid, and not </w:t>
      </w:r>
      <w:r w:rsidR="00D336BC" w:rsidRPr="00A34D67">
        <w:rPr>
          <w:rFonts w:ascii="Arial" w:hAnsi="Arial" w:cs="Arial"/>
          <w:sz w:val="24"/>
          <w:szCs w:val="24"/>
          <w:lang w:val="en-US"/>
        </w:rPr>
        <w:t>decided by</w:t>
      </w:r>
      <w:r w:rsidRPr="00A34D67">
        <w:rPr>
          <w:rFonts w:ascii="Arial" w:hAnsi="Arial" w:cs="Arial"/>
          <w:sz w:val="24"/>
          <w:szCs w:val="24"/>
          <w:lang w:val="en-US"/>
        </w:rPr>
        <w:t xml:space="preserve"> s</w:t>
      </w:r>
      <w:r w:rsidR="00741DB6" w:rsidRPr="00A34D67">
        <w:rPr>
          <w:rFonts w:ascii="Arial" w:hAnsi="Arial" w:cs="Arial"/>
          <w:sz w:val="24"/>
          <w:szCs w:val="24"/>
          <w:lang w:val="en-US"/>
        </w:rPr>
        <w:t>tates</w:t>
      </w:r>
      <w:r w:rsidRPr="00A34D67">
        <w:rPr>
          <w:rFonts w:ascii="Arial" w:hAnsi="Arial" w:cs="Arial"/>
          <w:sz w:val="24"/>
          <w:szCs w:val="24"/>
          <w:lang w:val="en-US"/>
        </w:rPr>
        <w:t>.</w:t>
      </w:r>
    </w:p>
    <w:p w14:paraId="58529AD5" w14:textId="40CAB143" w:rsidR="00741DB6" w:rsidRPr="00A34D67" w:rsidRDefault="00D336BC" w:rsidP="00401E4C">
      <w:pPr>
        <w:numPr>
          <w:ilvl w:val="0"/>
          <w:numId w:val="10"/>
        </w:numPr>
        <w:spacing w:line="480" w:lineRule="auto"/>
        <w:rPr>
          <w:rFonts w:ascii="Arial" w:hAnsi="Arial" w:cs="Arial"/>
          <w:color w:val="FF0000"/>
          <w:sz w:val="24"/>
          <w:szCs w:val="24"/>
          <w:lang w:val="en-US"/>
        </w:rPr>
      </w:pPr>
      <w:r w:rsidRPr="00A34D67">
        <w:rPr>
          <w:rFonts w:ascii="Arial" w:hAnsi="Arial" w:cs="Arial"/>
          <w:sz w:val="24"/>
          <w:szCs w:val="24"/>
          <w:lang w:val="en-US"/>
        </w:rPr>
        <w:t>Due</w:t>
      </w:r>
      <w:r w:rsidR="009462AC" w:rsidRPr="00A34D67">
        <w:rPr>
          <w:rFonts w:ascii="Arial" w:hAnsi="Arial" w:cs="Arial"/>
          <w:sz w:val="24"/>
          <w:szCs w:val="24"/>
          <w:lang w:val="en-US"/>
        </w:rPr>
        <w:t xml:space="preserve"> to the close interrelation of all human rights, </w:t>
      </w:r>
      <w:r w:rsidR="00005B79" w:rsidRPr="00A34D67">
        <w:rPr>
          <w:rFonts w:ascii="Arial" w:hAnsi="Arial" w:cs="Arial"/>
          <w:sz w:val="24"/>
          <w:szCs w:val="24"/>
          <w:lang w:val="en-US"/>
        </w:rPr>
        <w:t>r</w:t>
      </w:r>
      <w:r w:rsidR="00741DB6" w:rsidRPr="00A34D67">
        <w:rPr>
          <w:rFonts w:ascii="Arial" w:hAnsi="Arial" w:cs="Arial"/>
          <w:sz w:val="24"/>
          <w:szCs w:val="24"/>
          <w:lang w:val="en-US"/>
        </w:rPr>
        <w:t xml:space="preserve">eservations to </w:t>
      </w:r>
      <w:r w:rsidR="00502E51" w:rsidRPr="00A34D67">
        <w:rPr>
          <w:rFonts w:ascii="Arial" w:hAnsi="Arial" w:cs="Arial"/>
          <w:sz w:val="24"/>
          <w:szCs w:val="24"/>
          <w:lang w:val="en-US"/>
        </w:rPr>
        <w:t>specific</w:t>
      </w:r>
      <w:r w:rsidR="00741DB6" w:rsidRPr="00A34D67">
        <w:rPr>
          <w:rFonts w:ascii="Arial" w:hAnsi="Arial" w:cs="Arial"/>
          <w:sz w:val="24"/>
          <w:szCs w:val="24"/>
          <w:lang w:val="en-US"/>
        </w:rPr>
        <w:t xml:space="preserve"> rights would </w:t>
      </w:r>
      <w:r w:rsidR="00502E51" w:rsidRPr="00A34D67">
        <w:rPr>
          <w:rFonts w:ascii="Arial" w:hAnsi="Arial" w:cs="Arial"/>
          <w:sz w:val="24"/>
          <w:szCs w:val="24"/>
          <w:lang w:val="en-US"/>
        </w:rPr>
        <w:t>influence</w:t>
      </w:r>
      <w:r w:rsidR="00741DB6" w:rsidRPr="00A34D67">
        <w:rPr>
          <w:rFonts w:ascii="Arial" w:hAnsi="Arial" w:cs="Arial"/>
          <w:sz w:val="24"/>
          <w:szCs w:val="24"/>
          <w:lang w:val="en-US"/>
        </w:rPr>
        <w:t xml:space="preserve"> the </w:t>
      </w:r>
      <w:r w:rsidR="00502E51" w:rsidRPr="00A34D67">
        <w:rPr>
          <w:rFonts w:ascii="Arial" w:hAnsi="Arial" w:cs="Arial"/>
          <w:sz w:val="24"/>
          <w:szCs w:val="24"/>
          <w:lang w:val="en-US"/>
        </w:rPr>
        <w:t>construction</w:t>
      </w:r>
      <w:r w:rsidR="00741DB6" w:rsidRPr="00A34D67">
        <w:rPr>
          <w:rFonts w:ascii="Arial" w:hAnsi="Arial" w:cs="Arial"/>
          <w:sz w:val="24"/>
          <w:szCs w:val="24"/>
          <w:lang w:val="en-US"/>
        </w:rPr>
        <w:t xml:space="preserve"> of the treaty, and </w:t>
      </w:r>
      <w:r w:rsidR="00502E51" w:rsidRPr="00A34D67">
        <w:rPr>
          <w:rFonts w:ascii="Arial" w:hAnsi="Arial" w:cs="Arial"/>
          <w:sz w:val="24"/>
          <w:szCs w:val="24"/>
          <w:lang w:val="en-US"/>
        </w:rPr>
        <w:t>confuse</w:t>
      </w:r>
      <w:r w:rsidR="00741DB6" w:rsidRPr="00A34D67">
        <w:rPr>
          <w:rFonts w:ascii="Arial" w:hAnsi="Arial" w:cs="Arial"/>
          <w:sz w:val="24"/>
          <w:szCs w:val="24"/>
          <w:lang w:val="en-US"/>
        </w:rPr>
        <w:t xml:space="preserve"> its </w:t>
      </w:r>
      <w:r w:rsidR="00502E51" w:rsidRPr="00A34D67">
        <w:rPr>
          <w:rFonts w:ascii="Arial" w:hAnsi="Arial" w:cs="Arial"/>
          <w:sz w:val="24"/>
          <w:szCs w:val="24"/>
          <w:lang w:val="en-US"/>
        </w:rPr>
        <w:t>aims</w:t>
      </w:r>
      <w:r w:rsidR="00741DB6" w:rsidRPr="00A34D67">
        <w:rPr>
          <w:rFonts w:ascii="Arial" w:hAnsi="Arial" w:cs="Arial"/>
          <w:sz w:val="24"/>
          <w:szCs w:val="24"/>
          <w:lang w:val="en-US"/>
        </w:rPr>
        <w:t>.</w:t>
      </w:r>
    </w:p>
    <w:p w14:paraId="284C7485" w14:textId="25B7CE7E" w:rsidR="00741DB6" w:rsidRPr="00A34D67" w:rsidRDefault="00741DB6" w:rsidP="00401E4C">
      <w:pPr>
        <w:spacing w:line="480" w:lineRule="auto"/>
        <w:rPr>
          <w:rFonts w:ascii="Arial" w:hAnsi="Arial" w:cs="Arial"/>
          <w:color w:val="FF0000"/>
          <w:sz w:val="24"/>
          <w:szCs w:val="24"/>
          <w:lang w:val="en-US"/>
        </w:rPr>
      </w:pPr>
      <w:r w:rsidRPr="00A34D67">
        <w:rPr>
          <w:rFonts w:ascii="Arial" w:hAnsi="Arial" w:cs="Arial"/>
          <w:sz w:val="24"/>
          <w:szCs w:val="24"/>
          <w:lang w:val="en-US"/>
        </w:rPr>
        <w:t>Resultantly, the HRC has indicated that</w:t>
      </w:r>
      <w:r w:rsidRPr="00A34D67">
        <w:rPr>
          <w:rFonts w:ascii="Arial" w:hAnsi="Arial" w:cs="Arial"/>
          <w:color w:val="FF0000"/>
          <w:sz w:val="24"/>
          <w:szCs w:val="24"/>
          <w:lang w:val="en-US"/>
        </w:rPr>
        <w:t xml:space="preserve"> </w:t>
      </w:r>
      <w:r w:rsidRPr="00A34D67">
        <w:rPr>
          <w:rFonts w:ascii="Arial" w:hAnsi="Arial" w:cs="Arial"/>
          <w:sz w:val="24"/>
          <w:szCs w:val="24"/>
          <w:lang w:val="en-US"/>
        </w:rPr>
        <w:t>“reservations must be specific and transparent, so that the Committee</w:t>
      </w:r>
      <w:r w:rsidR="00857947">
        <w:rPr>
          <w:rFonts w:ascii="Arial" w:hAnsi="Arial" w:cs="Arial"/>
          <w:sz w:val="24"/>
          <w:szCs w:val="24"/>
          <w:lang w:val="en-US"/>
        </w:rPr>
        <w:t>;</w:t>
      </w:r>
      <w:r w:rsidRPr="00A34D67">
        <w:rPr>
          <w:rFonts w:ascii="Arial" w:hAnsi="Arial" w:cs="Arial"/>
          <w:sz w:val="24"/>
          <w:szCs w:val="24"/>
          <w:lang w:val="en-US"/>
        </w:rPr>
        <w:t xml:space="preserve"> those under the jurisdiction of the reserving </w:t>
      </w:r>
      <w:r w:rsidR="006D7582">
        <w:rPr>
          <w:rFonts w:ascii="Arial" w:hAnsi="Arial" w:cs="Arial"/>
          <w:sz w:val="24"/>
          <w:szCs w:val="24"/>
          <w:lang w:val="en-US"/>
        </w:rPr>
        <w:t>s</w:t>
      </w:r>
      <w:r w:rsidRPr="00A34D67">
        <w:rPr>
          <w:rFonts w:ascii="Arial" w:hAnsi="Arial" w:cs="Arial"/>
          <w:sz w:val="24"/>
          <w:szCs w:val="24"/>
          <w:lang w:val="en-US"/>
        </w:rPr>
        <w:t xml:space="preserve">tate and other </w:t>
      </w:r>
      <w:r w:rsidR="006D7582">
        <w:rPr>
          <w:rFonts w:ascii="Arial" w:hAnsi="Arial" w:cs="Arial"/>
          <w:sz w:val="24"/>
          <w:szCs w:val="24"/>
          <w:lang w:val="en-US"/>
        </w:rPr>
        <w:t>s</w:t>
      </w:r>
      <w:r w:rsidR="006E5FD1">
        <w:rPr>
          <w:rFonts w:ascii="Arial" w:hAnsi="Arial" w:cs="Arial"/>
          <w:sz w:val="24"/>
          <w:szCs w:val="24"/>
          <w:lang w:val="en-US"/>
        </w:rPr>
        <w:t>tate parties</w:t>
      </w:r>
      <w:r w:rsidRPr="00A34D67">
        <w:rPr>
          <w:rFonts w:ascii="Arial" w:hAnsi="Arial" w:cs="Arial"/>
          <w:sz w:val="24"/>
          <w:szCs w:val="24"/>
          <w:lang w:val="en-US"/>
        </w:rPr>
        <w:t xml:space="preserve"> may be clear as to what obligations of human rights compliance have or have not been undertaken.”</w:t>
      </w:r>
      <w:r w:rsidR="0025734E" w:rsidRPr="00A34D67">
        <w:rPr>
          <w:rStyle w:val="FootnoteReference"/>
          <w:rFonts w:ascii="Arial" w:hAnsi="Arial" w:cs="Arial"/>
          <w:sz w:val="24"/>
          <w:szCs w:val="24"/>
          <w:lang w:val="en-US"/>
        </w:rPr>
        <w:footnoteReference w:id="69"/>
      </w:r>
      <w:r w:rsidRPr="00A34D67">
        <w:rPr>
          <w:rFonts w:ascii="Arial" w:hAnsi="Arial" w:cs="Arial"/>
          <w:sz w:val="24"/>
          <w:szCs w:val="24"/>
          <w:lang w:val="en-US"/>
        </w:rPr>
        <w:t xml:space="preserve"> The HRC reinforce</w:t>
      </w:r>
      <w:r w:rsidR="00555ECB" w:rsidRPr="00A34D67">
        <w:rPr>
          <w:rFonts w:ascii="Arial" w:hAnsi="Arial" w:cs="Arial"/>
          <w:sz w:val="24"/>
          <w:szCs w:val="24"/>
          <w:lang w:val="en-US"/>
        </w:rPr>
        <w:t>d</w:t>
      </w:r>
      <w:r w:rsidRPr="00A34D67">
        <w:rPr>
          <w:rFonts w:ascii="Arial" w:hAnsi="Arial" w:cs="Arial"/>
          <w:sz w:val="24"/>
          <w:szCs w:val="24"/>
          <w:lang w:val="en-US"/>
        </w:rPr>
        <w:t xml:space="preserve"> </w:t>
      </w:r>
      <w:r w:rsidR="00555ECB" w:rsidRPr="00A34D67">
        <w:rPr>
          <w:rFonts w:ascii="Arial" w:hAnsi="Arial" w:cs="Arial"/>
          <w:sz w:val="24"/>
          <w:szCs w:val="24"/>
          <w:lang w:val="en-US"/>
        </w:rPr>
        <w:t xml:space="preserve">these points by </w:t>
      </w:r>
      <w:r w:rsidR="00833B72" w:rsidRPr="00A34D67">
        <w:rPr>
          <w:rFonts w:ascii="Arial" w:hAnsi="Arial" w:cs="Arial"/>
          <w:sz w:val="24"/>
          <w:szCs w:val="24"/>
          <w:lang w:val="en-US"/>
        </w:rPr>
        <w:t xml:space="preserve">further </w:t>
      </w:r>
      <w:r w:rsidR="00555ECB" w:rsidRPr="00A34D67">
        <w:rPr>
          <w:rFonts w:ascii="Arial" w:hAnsi="Arial" w:cs="Arial"/>
          <w:sz w:val="24"/>
          <w:szCs w:val="24"/>
          <w:lang w:val="en-US"/>
        </w:rPr>
        <w:t xml:space="preserve">stating </w:t>
      </w:r>
      <w:r w:rsidRPr="00A34D67">
        <w:rPr>
          <w:rFonts w:ascii="Arial" w:hAnsi="Arial" w:cs="Arial"/>
          <w:sz w:val="24"/>
          <w:szCs w:val="24"/>
          <w:lang w:val="en-US"/>
        </w:rPr>
        <w:t>that:</w:t>
      </w:r>
    </w:p>
    <w:p w14:paraId="04F40F9C" w14:textId="243CA4B3" w:rsidR="009C152B" w:rsidRPr="00A34D67" w:rsidRDefault="009C152B" w:rsidP="00401E4C">
      <w:pPr>
        <w:pStyle w:val="ListParagraph"/>
        <w:numPr>
          <w:ilvl w:val="0"/>
          <w:numId w:val="18"/>
        </w:numPr>
        <w:spacing w:line="480" w:lineRule="auto"/>
        <w:rPr>
          <w:rFonts w:ascii="Arial" w:hAnsi="Arial" w:cs="Arial"/>
          <w:sz w:val="24"/>
          <w:szCs w:val="24"/>
          <w:lang w:val="en-US"/>
        </w:rPr>
      </w:pPr>
      <w:r w:rsidRPr="00A34D67">
        <w:rPr>
          <w:rFonts w:ascii="Arial" w:hAnsi="Arial" w:cs="Arial"/>
          <w:sz w:val="24"/>
          <w:szCs w:val="24"/>
          <w:lang w:val="en-US"/>
        </w:rPr>
        <w:t>‘A human rights treaty body, established for the purpose of interpreting the treaty and monitoring the compliance by States with its provisions, has the competence to address the permissibility of reservations made under the treaty in question;</w:t>
      </w:r>
      <w:r w:rsidRPr="00A34D67">
        <w:rPr>
          <w:rStyle w:val="FootnoteReference"/>
          <w:rFonts w:ascii="Arial" w:hAnsi="Arial" w:cs="Arial"/>
          <w:sz w:val="24"/>
          <w:szCs w:val="24"/>
          <w:lang w:val="en-US"/>
        </w:rPr>
        <w:footnoteReference w:id="70"/>
      </w:r>
    </w:p>
    <w:p w14:paraId="2207764A" w14:textId="77777777" w:rsidR="009C152B" w:rsidRPr="00A34D67" w:rsidRDefault="009C152B" w:rsidP="00401E4C">
      <w:pPr>
        <w:pStyle w:val="ListParagraph"/>
        <w:numPr>
          <w:ilvl w:val="0"/>
          <w:numId w:val="18"/>
        </w:numPr>
        <w:spacing w:line="480" w:lineRule="auto"/>
        <w:rPr>
          <w:rFonts w:ascii="Arial" w:hAnsi="Arial" w:cs="Arial"/>
          <w:sz w:val="24"/>
          <w:szCs w:val="24"/>
          <w:lang w:val="en-US"/>
        </w:rPr>
      </w:pPr>
      <w:r w:rsidRPr="00A34D67">
        <w:rPr>
          <w:rFonts w:ascii="Arial" w:hAnsi="Arial" w:cs="Arial"/>
          <w:sz w:val="24"/>
          <w:szCs w:val="24"/>
          <w:lang w:val="en-US"/>
        </w:rPr>
        <w:t>The usual (but not automatic) consequence of an impermissible reservation will be its severability, i.e. the State in question is considered bound by the treaty but without the benefit of its reservation.</w:t>
      </w:r>
      <w:r w:rsidRPr="00A34D67">
        <w:rPr>
          <w:rStyle w:val="FootnoteReference"/>
          <w:rFonts w:ascii="Arial" w:hAnsi="Arial" w:cs="Arial"/>
          <w:sz w:val="24"/>
          <w:szCs w:val="24"/>
          <w:lang w:val="en-US"/>
        </w:rPr>
        <w:footnoteReference w:id="71"/>
      </w:r>
      <w:r w:rsidRPr="00A34D67">
        <w:rPr>
          <w:rFonts w:ascii="Arial" w:hAnsi="Arial" w:cs="Arial"/>
          <w:sz w:val="24"/>
          <w:szCs w:val="24"/>
          <w:lang w:val="en-US"/>
        </w:rPr>
        <w:t>’</w:t>
      </w:r>
      <w:r w:rsidRPr="00A34D67">
        <w:rPr>
          <w:rStyle w:val="FootnoteReference"/>
          <w:rFonts w:ascii="Arial" w:hAnsi="Arial" w:cs="Arial"/>
          <w:sz w:val="24"/>
          <w:szCs w:val="24"/>
          <w:lang w:val="en-US"/>
        </w:rPr>
        <w:footnoteReference w:id="72"/>
      </w:r>
    </w:p>
    <w:p w14:paraId="63BFE7C1" w14:textId="3BC8A5C4" w:rsidR="00D05DDB" w:rsidRDefault="000366E3" w:rsidP="00401E4C">
      <w:pPr>
        <w:spacing w:line="480" w:lineRule="auto"/>
        <w:rPr>
          <w:rFonts w:ascii="Arial" w:hAnsi="Arial" w:cs="Arial"/>
          <w:sz w:val="24"/>
          <w:szCs w:val="24"/>
        </w:rPr>
      </w:pPr>
      <w:r w:rsidRPr="00A34D67">
        <w:rPr>
          <w:rFonts w:ascii="Arial" w:hAnsi="Arial" w:cs="Arial"/>
          <w:sz w:val="24"/>
          <w:szCs w:val="24"/>
          <w:lang w:val="en-US"/>
        </w:rPr>
        <w:t xml:space="preserve">The </w:t>
      </w:r>
      <w:r w:rsidR="00EA6572" w:rsidRPr="00A34D67">
        <w:rPr>
          <w:rFonts w:ascii="Arial" w:hAnsi="Arial" w:cs="Arial"/>
          <w:sz w:val="24"/>
          <w:szCs w:val="24"/>
          <w:lang w:val="en-US"/>
        </w:rPr>
        <w:t>Committee</w:t>
      </w:r>
      <w:r w:rsidRPr="00A34D67">
        <w:rPr>
          <w:rFonts w:ascii="Arial" w:hAnsi="Arial" w:cs="Arial"/>
          <w:sz w:val="24"/>
          <w:szCs w:val="24"/>
          <w:lang w:val="en-US"/>
        </w:rPr>
        <w:t xml:space="preserve"> asserted that it possessed ‘the right to decide which reservations were compatible with the object and purpose of the Covenant, thus denying the </w:t>
      </w:r>
      <w:r w:rsidR="006E5FD1">
        <w:rPr>
          <w:rFonts w:ascii="Arial" w:hAnsi="Arial" w:cs="Arial"/>
          <w:sz w:val="24"/>
          <w:szCs w:val="24"/>
          <w:lang w:val="en-US"/>
        </w:rPr>
        <w:t>state parties</w:t>
      </w:r>
      <w:r w:rsidRPr="00A34D67">
        <w:rPr>
          <w:rFonts w:ascii="Arial" w:hAnsi="Arial" w:cs="Arial"/>
          <w:sz w:val="24"/>
          <w:szCs w:val="24"/>
          <w:lang w:val="en-US"/>
        </w:rPr>
        <w:t xml:space="preserve"> the right to make that judgment themselves</w:t>
      </w:r>
      <w:r w:rsidR="00EA6572" w:rsidRPr="00A34D67">
        <w:rPr>
          <w:rFonts w:ascii="Arial" w:hAnsi="Arial" w:cs="Arial"/>
          <w:sz w:val="24"/>
          <w:szCs w:val="24"/>
          <w:lang w:val="en-US"/>
        </w:rPr>
        <w:t xml:space="preserve"> by their acceptance or rejection of a reservation’.</w:t>
      </w:r>
      <w:r w:rsidR="00A75E79" w:rsidRPr="00A34D67">
        <w:rPr>
          <w:rStyle w:val="FootnoteReference"/>
          <w:rFonts w:ascii="Arial" w:hAnsi="Arial" w:cs="Arial"/>
          <w:sz w:val="24"/>
          <w:szCs w:val="24"/>
          <w:lang w:val="en-US"/>
        </w:rPr>
        <w:footnoteReference w:id="73"/>
      </w:r>
      <w:r w:rsidR="00516C50" w:rsidRPr="00A34D67">
        <w:rPr>
          <w:rFonts w:ascii="Arial" w:hAnsi="Arial" w:cs="Arial"/>
          <w:color w:val="FF0000"/>
          <w:sz w:val="24"/>
          <w:szCs w:val="24"/>
          <w:lang w:val="en-US"/>
        </w:rPr>
        <w:t xml:space="preserve"> </w:t>
      </w:r>
      <w:r w:rsidR="00DD521D" w:rsidRPr="00A34D67">
        <w:rPr>
          <w:rFonts w:ascii="Arial" w:hAnsi="Arial" w:cs="Arial"/>
          <w:sz w:val="24"/>
          <w:szCs w:val="24"/>
        </w:rPr>
        <w:t xml:space="preserve">The </w:t>
      </w:r>
      <w:r w:rsidR="00D41C7E" w:rsidRPr="00A34D67">
        <w:rPr>
          <w:rFonts w:ascii="Arial" w:hAnsi="Arial" w:cs="Arial"/>
          <w:sz w:val="24"/>
          <w:szCs w:val="24"/>
        </w:rPr>
        <w:t>HRC</w:t>
      </w:r>
      <w:r w:rsidR="00DD521D" w:rsidRPr="00A34D67">
        <w:rPr>
          <w:rFonts w:ascii="Arial" w:hAnsi="Arial" w:cs="Arial"/>
          <w:sz w:val="24"/>
          <w:szCs w:val="24"/>
        </w:rPr>
        <w:t xml:space="preserve">’s </w:t>
      </w:r>
      <w:r w:rsidR="00963510" w:rsidRPr="00A34D67">
        <w:rPr>
          <w:rFonts w:ascii="Arial" w:hAnsi="Arial" w:cs="Arial"/>
          <w:sz w:val="24"/>
          <w:szCs w:val="24"/>
        </w:rPr>
        <w:t>controversial</w:t>
      </w:r>
      <w:r w:rsidR="00DF7673" w:rsidRPr="00A34D67">
        <w:rPr>
          <w:rFonts w:ascii="Arial" w:hAnsi="Arial" w:cs="Arial"/>
          <w:sz w:val="24"/>
          <w:szCs w:val="24"/>
        </w:rPr>
        <w:t xml:space="preserve"> </w:t>
      </w:r>
      <w:r w:rsidR="00FF59B7" w:rsidRPr="00A34D67">
        <w:rPr>
          <w:rFonts w:ascii="Arial" w:hAnsi="Arial" w:cs="Arial"/>
          <w:sz w:val="24"/>
          <w:szCs w:val="24"/>
        </w:rPr>
        <w:t>verdict</w:t>
      </w:r>
      <w:r w:rsidR="00DD521D" w:rsidRPr="00A34D67">
        <w:rPr>
          <w:rFonts w:ascii="Arial" w:hAnsi="Arial" w:cs="Arial"/>
          <w:sz w:val="24"/>
          <w:szCs w:val="24"/>
        </w:rPr>
        <w:t xml:space="preserve"> sparked a hostile response from the UK and t</w:t>
      </w:r>
      <w:r w:rsidR="00516C50" w:rsidRPr="00A34D67">
        <w:rPr>
          <w:rFonts w:ascii="Arial" w:hAnsi="Arial" w:cs="Arial"/>
          <w:sz w:val="24"/>
          <w:szCs w:val="24"/>
        </w:rPr>
        <w:t>he USA,</w:t>
      </w:r>
      <w:r w:rsidR="00F30BC5" w:rsidRPr="00A34D67">
        <w:rPr>
          <w:rStyle w:val="FootnoteReference"/>
          <w:rFonts w:ascii="Arial" w:hAnsi="Arial" w:cs="Arial"/>
          <w:sz w:val="24"/>
          <w:szCs w:val="24"/>
        </w:rPr>
        <w:footnoteReference w:id="74"/>
      </w:r>
      <w:r w:rsidR="00516C50" w:rsidRPr="00A34D67">
        <w:rPr>
          <w:rFonts w:ascii="Arial" w:hAnsi="Arial" w:cs="Arial"/>
          <w:sz w:val="24"/>
          <w:szCs w:val="24"/>
        </w:rPr>
        <w:t xml:space="preserve"> </w:t>
      </w:r>
      <w:r w:rsidR="00B8185A" w:rsidRPr="00A34D67">
        <w:rPr>
          <w:rFonts w:ascii="Arial" w:hAnsi="Arial" w:cs="Arial"/>
          <w:sz w:val="24"/>
          <w:szCs w:val="24"/>
        </w:rPr>
        <w:t>both of which</w:t>
      </w:r>
      <w:r w:rsidR="00516C50" w:rsidRPr="00A34D67">
        <w:rPr>
          <w:rFonts w:ascii="Arial" w:hAnsi="Arial" w:cs="Arial"/>
          <w:sz w:val="24"/>
          <w:szCs w:val="24"/>
        </w:rPr>
        <w:t xml:space="preserve"> deemed </w:t>
      </w:r>
      <w:r w:rsidR="00DD521D" w:rsidRPr="00A34D67">
        <w:rPr>
          <w:rFonts w:ascii="Arial" w:hAnsi="Arial" w:cs="Arial"/>
          <w:sz w:val="24"/>
          <w:szCs w:val="24"/>
        </w:rPr>
        <w:t xml:space="preserve">Article 19(c) </w:t>
      </w:r>
      <w:r w:rsidR="00516C50" w:rsidRPr="00A34D67">
        <w:rPr>
          <w:rFonts w:ascii="Arial" w:hAnsi="Arial" w:cs="Arial"/>
          <w:sz w:val="24"/>
          <w:szCs w:val="24"/>
        </w:rPr>
        <w:t xml:space="preserve">of the </w:t>
      </w:r>
      <w:r w:rsidR="00CE373E" w:rsidRPr="00A34D67">
        <w:rPr>
          <w:rFonts w:ascii="Arial" w:hAnsi="Arial" w:cs="Arial"/>
          <w:sz w:val="24"/>
          <w:szCs w:val="24"/>
        </w:rPr>
        <w:t xml:space="preserve">Vienna </w:t>
      </w:r>
      <w:r w:rsidR="00516C50" w:rsidRPr="00A34D67">
        <w:rPr>
          <w:rFonts w:ascii="Arial" w:hAnsi="Arial" w:cs="Arial"/>
          <w:sz w:val="24"/>
          <w:szCs w:val="24"/>
        </w:rPr>
        <w:t xml:space="preserve">Convention </w:t>
      </w:r>
      <w:r w:rsidR="00DD521D" w:rsidRPr="00A34D67">
        <w:rPr>
          <w:rFonts w:ascii="Arial" w:hAnsi="Arial" w:cs="Arial"/>
          <w:sz w:val="24"/>
          <w:szCs w:val="24"/>
        </w:rPr>
        <w:t xml:space="preserve">to </w:t>
      </w:r>
      <w:r w:rsidR="0077795B" w:rsidRPr="00A34D67">
        <w:rPr>
          <w:rFonts w:ascii="Arial" w:hAnsi="Arial" w:cs="Arial"/>
          <w:sz w:val="24"/>
          <w:szCs w:val="24"/>
        </w:rPr>
        <w:t>satisfactorily</w:t>
      </w:r>
      <w:r w:rsidR="00DD521D" w:rsidRPr="00A34D67">
        <w:rPr>
          <w:rFonts w:ascii="Arial" w:hAnsi="Arial" w:cs="Arial"/>
          <w:sz w:val="24"/>
          <w:szCs w:val="24"/>
        </w:rPr>
        <w:t xml:space="preserve"> apply to reservations to human treaties</w:t>
      </w:r>
      <w:r w:rsidR="00370A2C" w:rsidRPr="00A34D67">
        <w:rPr>
          <w:rFonts w:ascii="Arial" w:hAnsi="Arial" w:cs="Arial"/>
          <w:sz w:val="24"/>
          <w:szCs w:val="24"/>
        </w:rPr>
        <w:t xml:space="preserve"> and rejected any notion ‘that invalid reservations would simply be disregarded’</w:t>
      </w:r>
      <w:r w:rsidR="00DD521D" w:rsidRPr="00A34D67">
        <w:rPr>
          <w:rFonts w:ascii="Arial" w:hAnsi="Arial" w:cs="Arial"/>
          <w:sz w:val="24"/>
          <w:szCs w:val="24"/>
        </w:rPr>
        <w:t>.</w:t>
      </w:r>
      <w:r w:rsidR="00FA2AA8" w:rsidRPr="00A34D67">
        <w:rPr>
          <w:rStyle w:val="FootnoteReference"/>
          <w:rFonts w:ascii="Arial" w:hAnsi="Arial" w:cs="Arial"/>
          <w:sz w:val="24"/>
          <w:szCs w:val="24"/>
        </w:rPr>
        <w:footnoteReference w:id="75"/>
      </w:r>
      <w:r w:rsidR="00A75E79" w:rsidRPr="00A34D67">
        <w:rPr>
          <w:rFonts w:ascii="Arial" w:hAnsi="Arial" w:cs="Arial"/>
          <w:sz w:val="24"/>
          <w:szCs w:val="24"/>
        </w:rPr>
        <w:t xml:space="preserve"> </w:t>
      </w:r>
    </w:p>
    <w:p w14:paraId="130FED45" w14:textId="50AE84DD" w:rsidR="00050449" w:rsidRPr="00A34D67" w:rsidRDefault="0064608E" w:rsidP="00401E4C">
      <w:pPr>
        <w:spacing w:line="480" w:lineRule="auto"/>
        <w:rPr>
          <w:rFonts w:ascii="Arial" w:hAnsi="Arial" w:cs="Arial"/>
          <w:sz w:val="24"/>
          <w:szCs w:val="24"/>
        </w:rPr>
      </w:pPr>
      <w:r w:rsidRPr="00A34D67">
        <w:rPr>
          <w:rFonts w:ascii="Arial" w:hAnsi="Arial" w:cs="Arial"/>
          <w:sz w:val="24"/>
          <w:szCs w:val="24"/>
        </w:rPr>
        <w:t xml:space="preserve">The innovation of </w:t>
      </w:r>
      <w:r w:rsidR="003362AC" w:rsidRPr="00A34D67">
        <w:rPr>
          <w:rFonts w:ascii="Arial" w:hAnsi="Arial" w:cs="Arial"/>
          <w:sz w:val="24"/>
          <w:szCs w:val="24"/>
        </w:rPr>
        <w:t xml:space="preserve">reservations to </w:t>
      </w:r>
      <w:r w:rsidRPr="00A34D67">
        <w:rPr>
          <w:rFonts w:ascii="Arial" w:hAnsi="Arial" w:cs="Arial"/>
          <w:sz w:val="24"/>
          <w:szCs w:val="24"/>
        </w:rPr>
        <w:t xml:space="preserve">human rights treaties in the judgments of </w:t>
      </w:r>
      <w:r w:rsidR="00623476" w:rsidRPr="00A34D67">
        <w:rPr>
          <w:rFonts w:ascii="Arial" w:hAnsi="Arial" w:cs="Arial"/>
          <w:sz w:val="24"/>
          <w:szCs w:val="24"/>
        </w:rPr>
        <w:t xml:space="preserve">the </w:t>
      </w:r>
      <w:r w:rsidRPr="00A34D67">
        <w:rPr>
          <w:rFonts w:ascii="Arial" w:hAnsi="Arial" w:cs="Arial"/>
          <w:sz w:val="24"/>
          <w:szCs w:val="24"/>
        </w:rPr>
        <w:t xml:space="preserve">European Court of Human Rights, the </w:t>
      </w:r>
      <w:r w:rsidR="00D41C7E" w:rsidRPr="00A34D67">
        <w:rPr>
          <w:rFonts w:ascii="Arial" w:hAnsi="Arial" w:cs="Arial"/>
          <w:sz w:val="24"/>
          <w:szCs w:val="24"/>
        </w:rPr>
        <w:t>HRC</w:t>
      </w:r>
      <w:r w:rsidRPr="00A34D67">
        <w:rPr>
          <w:rFonts w:ascii="Arial" w:hAnsi="Arial" w:cs="Arial"/>
          <w:sz w:val="24"/>
          <w:szCs w:val="24"/>
        </w:rPr>
        <w:t xml:space="preserve"> and </w:t>
      </w:r>
      <w:r w:rsidR="00513F3C" w:rsidRPr="00487622">
        <w:rPr>
          <w:rFonts w:ascii="Arial" w:hAnsi="Arial" w:cs="Arial"/>
          <w:sz w:val="24"/>
          <w:szCs w:val="24"/>
        </w:rPr>
        <w:t>its</w:t>
      </w:r>
      <w:r w:rsidRPr="00A34D67">
        <w:rPr>
          <w:rFonts w:ascii="Arial" w:hAnsi="Arial" w:cs="Arial"/>
          <w:color w:val="FF0000"/>
          <w:sz w:val="24"/>
          <w:szCs w:val="24"/>
        </w:rPr>
        <w:t xml:space="preserve"> </w:t>
      </w:r>
      <w:r w:rsidR="001059FA" w:rsidRPr="00A34D67">
        <w:rPr>
          <w:rFonts w:ascii="Arial" w:hAnsi="Arial" w:cs="Arial"/>
          <w:sz w:val="24"/>
          <w:szCs w:val="24"/>
        </w:rPr>
        <w:t xml:space="preserve">1999 </w:t>
      </w:r>
      <w:r w:rsidRPr="00A34D67">
        <w:rPr>
          <w:rFonts w:ascii="Arial" w:hAnsi="Arial" w:cs="Arial"/>
          <w:sz w:val="24"/>
          <w:szCs w:val="24"/>
        </w:rPr>
        <w:t xml:space="preserve">decision in the </w:t>
      </w:r>
      <w:r w:rsidRPr="00A34D67">
        <w:rPr>
          <w:rFonts w:ascii="Arial" w:hAnsi="Arial" w:cs="Arial"/>
          <w:i/>
          <w:sz w:val="24"/>
          <w:szCs w:val="24"/>
        </w:rPr>
        <w:t xml:space="preserve">Rawle Kennedy </w:t>
      </w:r>
      <w:r w:rsidRPr="00A34D67">
        <w:rPr>
          <w:rFonts w:ascii="Arial" w:hAnsi="Arial" w:cs="Arial"/>
          <w:sz w:val="24"/>
          <w:szCs w:val="24"/>
        </w:rPr>
        <w:t>case</w:t>
      </w:r>
      <w:r w:rsidR="001059FA" w:rsidRPr="00A34D67">
        <w:rPr>
          <w:rStyle w:val="FootnoteReference"/>
          <w:rFonts w:ascii="Arial" w:hAnsi="Arial" w:cs="Arial"/>
          <w:sz w:val="24"/>
          <w:szCs w:val="24"/>
        </w:rPr>
        <w:footnoteReference w:id="76"/>
      </w:r>
      <w:r w:rsidRPr="00A34D67">
        <w:rPr>
          <w:rFonts w:ascii="Arial" w:hAnsi="Arial" w:cs="Arial"/>
          <w:color w:val="FF0000"/>
          <w:sz w:val="24"/>
          <w:szCs w:val="24"/>
        </w:rPr>
        <w:t xml:space="preserve"> </w:t>
      </w:r>
      <w:r w:rsidRPr="00A34D67">
        <w:rPr>
          <w:rFonts w:ascii="Arial" w:hAnsi="Arial" w:cs="Arial"/>
          <w:sz w:val="24"/>
          <w:szCs w:val="24"/>
        </w:rPr>
        <w:t>ha</w:t>
      </w:r>
      <w:r w:rsidR="001D03DF" w:rsidRPr="00A34D67">
        <w:rPr>
          <w:rFonts w:ascii="Arial" w:hAnsi="Arial" w:cs="Arial"/>
          <w:sz w:val="24"/>
          <w:szCs w:val="24"/>
        </w:rPr>
        <w:t>s</w:t>
      </w:r>
      <w:r w:rsidRPr="00A34D67">
        <w:rPr>
          <w:rFonts w:ascii="Arial" w:hAnsi="Arial" w:cs="Arial"/>
          <w:sz w:val="24"/>
          <w:szCs w:val="24"/>
        </w:rPr>
        <w:t xml:space="preserve"> </w:t>
      </w:r>
      <w:r w:rsidR="001F7EF6" w:rsidRPr="00A34D67">
        <w:rPr>
          <w:rFonts w:ascii="Arial" w:hAnsi="Arial" w:cs="Arial"/>
          <w:sz w:val="24"/>
          <w:szCs w:val="24"/>
        </w:rPr>
        <w:t>culminated</w:t>
      </w:r>
      <w:r w:rsidRPr="00A34D67">
        <w:rPr>
          <w:rFonts w:ascii="Arial" w:hAnsi="Arial" w:cs="Arial"/>
          <w:sz w:val="24"/>
          <w:szCs w:val="24"/>
        </w:rPr>
        <w:t xml:space="preserve"> </w:t>
      </w:r>
      <w:r w:rsidR="00704F69" w:rsidRPr="00A34D67">
        <w:rPr>
          <w:rFonts w:ascii="Arial" w:hAnsi="Arial" w:cs="Arial"/>
          <w:sz w:val="24"/>
          <w:szCs w:val="24"/>
        </w:rPr>
        <w:t xml:space="preserve">in </w:t>
      </w:r>
      <w:r w:rsidRPr="00A34D67">
        <w:rPr>
          <w:rFonts w:ascii="Arial" w:hAnsi="Arial" w:cs="Arial"/>
          <w:sz w:val="24"/>
          <w:szCs w:val="24"/>
        </w:rPr>
        <w:t xml:space="preserve">the following assertion: </w:t>
      </w:r>
    </w:p>
    <w:p w14:paraId="6ACC9949" w14:textId="5AF3D274" w:rsidR="00050449" w:rsidRPr="00A34D67" w:rsidRDefault="0064608E" w:rsidP="00401E4C">
      <w:pPr>
        <w:spacing w:line="480" w:lineRule="auto"/>
        <w:ind w:left="709" w:right="787"/>
        <w:rPr>
          <w:rFonts w:ascii="Arial" w:hAnsi="Arial" w:cs="Arial"/>
          <w:sz w:val="24"/>
          <w:szCs w:val="24"/>
        </w:rPr>
      </w:pPr>
      <w:r w:rsidRPr="00A34D67">
        <w:rPr>
          <w:rFonts w:ascii="Arial" w:hAnsi="Arial" w:cs="Arial"/>
          <w:sz w:val="24"/>
          <w:szCs w:val="24"/>
        </w:rPr>
        <w:t>‘</w:t>
      </w:r>
      <w:r w:rsidR="00050449" w:rsidRPr="00A34D67">
        <w:rPr>
          <w:rFonts w:ascii="Arial" w:hAnsi="Arial" w:cs="Arial"/>
          <w:sz w:val="24"/>
          <w:szCs w:val="24"/>
        </w:rPr>
        <w:t>If</w:t>
      </w:r>
      <w:r w:rsidRPr="00A34D67">
        <w:rPr>
          <w:rFonts w:ascii="Arial" w:hAnsi="Arial" w:cs="Arial"/>
          <w:sz w:val="24"/>
          <w:szCs w:val="24"/>
        </w:rPr>
        <w:t xml:space="preserve"> a State enters a reservation to a human rights treaty that is </w:t>
      </w:r>
      <w:r w:rsidRPr="00A34D67">
        <w:rPr>
          <w:rFonts w:ascii="Arial" w:hAnsi="Arial" w:cs="Arial"/>
          <w:b/>
          <w:sz w:val="24"/>
          <w:szCs w:val="24"/>
        </w:rPr>
        <w:t>inadmissible</w:t>
      </w:r>
      <w:r w:rsidRPr="00A34D67">
        <w:rPr>
          <w:rFonts w:ascii="Arial" w:hAnsi="Arial" w:cs="Arial"/>
          <w:sz w:val="24"/>
          <w:szCs w:val="24"/>
        </w:rPr>
        <w:t xml:space="preserve">, either because it is not allowed by the treaty itself or because it is contrary to its object and purpose, it </w:t>
      </w:r>
      <w:r w:rsidRPr="00A34D67">
        <w:rPr>
          <w:rFonts w:ascii="Arial" w:hAnsi="Arial" w:cs="Arial"/>
          <w:b/>
          <w:sz w:val="24"/>
          <w:szCs w:val="24"/>
        </w:rPr>
        <w:t>does not follow</w:t>
      </w:r>
      <w:r w:rsidRPr="00A34D67">
        <w:rPr>
          <w:rFonts w:ascii="Arial" w:hAnsi="Arial" w:cs="Arial"/>
          <w:sz w:val="24"/>
          <w:szCs w:val="24"/>
        </w:rPr>
        <w:t xml:space="preserve"> that the provision reserved does not operate with regard to the reserving State, or that this State may not join the treaty. It only follows that the reservation must be regarded as </w:t>
      </w:r>
      <w:r w:rsidRPr="00A34D67">
        <w:rPr>
          <w:rFonts w:ascii="Arial" w:hAnsi="Arial" w:cs="Arial"/>
          <w:b/>
          <w:sz w:val="24"/>
          <w:szCs w:val="24"/>
        </w:rPr>
        <w:t>null and void</w:t>
      </w:r>
      <w:r w:rsidRPr="00A34D67">
        <w:rPr>
          <w:rFonts w:ascii="Arial" w:hAnsi="Arial" w:cs="Arial"/>
          <w:sz w:val="24"/>
          <w:szCs w:val="24"/>
        </w:rPr>
        <w:t>, at least in those parts that prove to be incompatible with the object and purpose of the treaty.’</w:t>
      </w:r>
      <w:r w:rsidR="00883C2F" w:rsidRPr="00A34D67">
        <w:rPr>
          <w:rStyle w:val="FootnoteReference"/>
          <w:rFonts w:ascii="Arial" w:hAnsi="Arial" w:cs="Arial"/>
          <w:sz w:val="24"/>
          <w:szCs w:val="24"/>
        </w:rPr>
        <w:footnoteReference w:id="77"/>
      </w:r>
      <w:r w:rsidR="001F7EF6" w:rsidRPr="00A34D67">
        <w:rPr>
          <w:rFonts w:ascii="Arial" w:hAnsi="Arial" w:cs="Arial"/>
          <w:sz w:val="24"/>
          <w:szCs w:val="24"/>
        </w:rPr>
        <w:t xml:space="preserve"> </w:t>
      </w:r>
    </w:p>
    <w:p w14:paraId="3ED989E9" w14:textId="77777777" w:rsidR="003974DA" w:rsidRDefault="001F7EF6" w:rsidP="003974DA">
      <w:pPr>
        <w:spacing w:line="480" w:lineRule="auto"/>
        <w:rPr>
          <w:rFonts w:ascii="Arial" w:hAnsi="Arial" w:cs="Arial"/>
          <w:sz w:val="24"/>
          <w:szCs w:val="24"/>
        </w:rPr>
      </w:pPr>
      <w:r w:rsidRPr="00A34D67">
        <w:rPr>
          <w:rFonts w:ascii="Arial" w:hAnsi="Arial" w:cs="Arial"/>
          <w:sz w:val="24"/>
          <w:szCs w:val="24"/>
        </w:rPr>
        <w:t xml:space="preserve">Of course, this view hinges on the </w:t>
      </w:r>
      <w:r w:rsidR="001E734C" w:rsidRPr="00A34D67">
        <w:rPr>
          <w:rFonts w:ascii="Arial" w:hAnsi="Arial" w:cs="Arial"/>
          <w:sz w:val="24"/>
          <w:szCs w:val="24"/>
        </w:rPr>
        <w:t>notion</w:t>
      </w:r>
      <w:r w:rsidRPr="00A34D67">
        <w:rPr>
          <w:rFonts w:ascii="Arial" w:hAnsi="Arial" w:cs="Arial"/>
          <w:sz w:val="24"/>
          <w:szCs w:val="24"/>
        </w:rPr>
        <w:t xml:space="preserve"> that</w:t>
      </w:r>
      <w:r w:rsidR="00050449" w:rsidRPr="00A34D67">
        <w:rPr>
          <w:rFonts w:ascii="Arial" w:hAnsi="Arial" w:cs="Arial"/>
          <w:sz w:val="24"/>
          <w:szCs w:val="24"/>
        </w:rPr>
        <w:t xml:space="preserve"> </w:t>
      </w:r>
      <w:r w:rsidR="001E734C" w:rsidRPr="00A34D67">
        <w:rPr>
          <w:rFonts w:ascii="Arial" w:hAnsi="Arial" w:cs="Arial"/>
          <w:sz w:val="24"/>
          <w:szCs w:val="24"/>
        </w:rPr>
        <w:t>human rights standards must take precedence over the interests of sovereign states.</w:t>
      </w:r>
      <w:r w:rsidR="00F53DBD" w:rsidRPr="00A34D67">
        <w:rPr>
          <w:rFonts w:ascii="Arial" w:hAnsi="Arial" w:cs="Arial"/>
          <w:sz w:val="24"/>
          <w:szCs w:val="24"/>
        </w:rPr>
        <w:t xml:space="preserve"> Despite being unpopular with certain </w:t>
      </w:r>
      <w:r w:rsidR="00174C07" w:rsidRPr="00A34D67">
        <w:rPr>
          <w:rFonts w:ascii="Arial" w:hAnsi="Arial" w:cs="Arial"/>
          <w:sz w:val="24"/>
          <w:szCs w:val="24"/>
        </w:rPr>
        <w:t>developed</w:t>
      </w:r>
      <w:r w:rsidR="00F53DBD" w:rsidRPr="00A34D67">
        <w:rPr>
          <w:rFonts w:ascii="Arial" w:hAnsi="Arial" w:cs="Arial"/>
          <w:sz w:val="24"/>
          <w:szCs w:val="24"/>
        </w:rPr>
        <w:t xml:space="preserve"> countries, </w:t>
      </w:r>
      <w:r w:rsidR="00174C07" w:rsidRPr="00A34D67">
        <w:rPr>
          <w:rFonts w:ascii="Arial" w:hAnsi="Arial" w:cs="Arial"/>
          <w:sz w:val="24"/>
          <w:szCs w:val="24"/>
        </w:rPr>
        <w:t xml:space="preserve">this assessment is compatible with the </w:t>
      </w:r>
      <w:r w:rsidR="00B37D9D" w:rsidRPr="00A34D67">
        <w:rPr>
          <w:rFonts w:ascii="Arial" w:hAnsi="Arial" w:cs="Arial"/>
          <w:sz w:val="24"/>
          <w:szCs w:val="24"/>
        </w:rPr>
        <w:t>object</w:t>
      </w:r>
      <w:r w:rsidR="00174C07" w:rsidRPr="00A34D67">
        <w:rPr>
          <w:rFonts w:ascii="Arial" w:hAnsi="Arial" w:cs="Arial"/>
          <w:sz w:val="24"/>
          <w:szCs w:val="24"/>
        </w:rPr>
        <w:t xml:space="preserve"> of human rights law.</w:t>
      </w:r>
      <w:r w:rsidR="00B37D9D" w:rsidRPr="00A34D67">
        <w:rPr>
          <w:rFonts w:ascii="Arial" w:hAnsi="Arial" w:cs="Arial"/>
          <w:sz w:val="24"/>
          <w:szCs w:val="24"/>
        </w:rPr>
        <w:t xml:space="preserve"> In theory, a presiding independent judicial body could objectively determine whether a particular reservation falls within the purpose of a treaty.</w:t>
      </w:r>
    </w:p>
    <w:p w14:paraId="23FECD07" w14:textId="6A86FBE2" w:rsidR="003974DA" w:rsidRPr="003974DA" w:rsidRDefault="003974DA" w:rsidP="003974DA">
      <w:pPr>
        <w:spacing w:line="480" w:lineRule="auto"/>
        <w:rPr>
          <w:rFonts w:ascii="Arial" w:hAnsi="Arial" w:cs="Arial"/>
          <w:sz w:val="24"/>
          <w:szCs w:val="24"/>
        </w:rPr>
      </w:pPr>
      <w:r w:rsidRPr="00C0721A">
        <w:rPr>
          <w:rFonts w:ascii="Arial" w:hAnsi="Arial" w:cs="Arial"/>
          <w:sz w:val="24"/>
          <w:szCs w:val="24"/>
        </w:rPr>
        <w:t>Under the international law of treaties, it is imperative that state parties should work in good faith with the treaty body in question.</w:t>
      </w:r>
      <w:r w:rsidRPr="00C0721A">
        <w:rPr>
          <w:rStyle w:val="FootnoteReference"/>
          <w:rFonts w:ascii="Arial" w:hAnsi="Arial" w:cs="Arial"/>
          <w:sz w:val="24"/>
          <w:szCs w:val="24"/>
        </w:rPr>
        <w:footnoteReference w:id="78"/>
      </w:r>
      <w:r>
        <w:rPr>
          <w:rFonts w:ascii="Arial" w:hAnsi="Arial" w:cs="Arial"/>
          <w:sz w:val="24"/>
          <w:szCs w:val="24"/>
        </w:rPr>
        <w:t xml:space="preserve"> The treat</w:t>
      </w:r>
      <w:r w:rsidR="00A14189">
        <w:rPr>
          <w:rFonts w:ascii="Arial" w:hAnsi="Arial" w:cs="Arial"/>
          <w:sz w:val="24"/>
          <w:szCs w:val="24"/>
        </w:rPr>
        <w:t>y</w:t>
      </w:r>
      <w:r>
        <w:rPr>
          <w:rFonts w:ascii="Arial" w:hAnsi="Arial" w:cs="Arial"/>
          <w:sz w:val="24"/>
          <w:szCs w:val="24"/>
        </w:rPr>
        <w:t xml:space="preserve"> bodies should then</w:t>
      </w:r>
      <w:r>
        <w:rPr>
          <w:rFonts w:ascii="Arial" w:hAnsi="Arial" w:cs="Arial"/>
          <w:color w:val="FF0000"/>
          <w:sz w:val="24"/>
          <w:szCs w:val="24"/>
        </w:rPr>
        <w:t xml:space="preserve"> </w:t>
      </w:r>
      <w:r w:rsidRPr="00DD4967">
        <w:rPr>
          <w:rFonts w:ascii="Arial" w:hAnsi="Arial" w:cs="Arial"/>
          <w:sz w:val="24"/>
          <w:szCs w:val="24"/>
        </w:rPr>
        <w:t>construe the obligations of the treaty with regard to the domestic scenario at hand,</w:t>
      </w:r>
      <w:r>
        <w:rPr>
          <w:rFonts w:ascii="Arial" w:hAnsi="Arial" w:cs="Arial"/>
          <w:sz w:val="24"/>
          <w:szCs w:val="24"/>
        </w:rPr>
        <w:t xml:space="preserve"> through </w:t>
      </w:r>
      <w:r w:rsidRPr="002256E4">
        <w:rPr>
          <w:rFonts w:ascii="Arial" w:hAnsi="Arial" w:cs="Arial"/>
          <w:sz w:val="24"/>
          <w:szCs w:val="24"/>
        </w:rPr>
        <w:t>reconciliation with a present law.</w:t>
      </w:r>
      <w:r>
        <w:rPr>
          <w:rFonts w:ascii="Arial" w:hAnsi="Arial" w:cs="Arial"/>
          <w:color w:val="FF0000"/>
          <w:sz w:val="24"/>
          <w:szCs w:val="24"/>
        </w:rPr>
        <w:t xml:space="preserve"> </w:t>
      </w:r>
      <w:r w:rsidRPr="006638FC">
        <w:rPr>
          <w:rFonts w:ascii="Arial" w:hAnsi="Arial" w:cs="Arial"/>
          <w:color w:val="000000" w:themeColor="text1"/>
          <w:sz w:val="24"/>
          <w:szCs w:val="24"/>
          <w:lang w:val="en-US"/>
        </w:rPr>
        <w:t xml:space="preserve">Rodley summed up this point rather </w:t>
      </w:r>
      <w:r>
        <w:rPr>
          <w:rFonts w:ascii="Arial" w:hAnsi="Arial" w:cs="Arial"/>
          <w:color w:val="000000" w:themeColor="text1"/>
          <w:sz w:val="24"/>
          <w:szCs w:val="24"/>
          <w:lang w:val="en-US"/>
        </w:rPr>
        <w:t>apt</w:t>
      </w:r>
      <w:r w:rsidRPr="006638FC">
        <w:rPr>
          <w:rFonts w:ascii="Arial" w:hAnsi="Arial" w:cs="Arial"/>
          <w:color w:val="000000" w:themeColor="text1"/>
          <w:sz w:val="24"/>
          <w:szCs w:val="24"/>
          <w:lang w:val="en-US"/>
        </w:rPr>
        <w:t>ly:</w:t>
      </w:r>
    </w:p>
    <w:p w14:paraId="010C4FCD" w14:textId="77777777" w:rsidR="003974DA" w:rsidRPr="00153EAB" w:rsidRDefault="003974DA" w:rsidP="003974DA">
      <w:pPr>
        <w:tabs>
          <w:tab w:val="left" w:pos="1701"/>
        </w:tabs>
        <w:spacing w:line="480" w:lineRule="auto"/>
        <w:ind w:left="851" w:right="1177"/>
        <w:rPr>
          <w:rFonts w:ascii="Arial" w:hAnsi="Arial" w:cs="Arial"/>
          <w:color w:val="000000" w:themeColor="text1"/>
          <w:sz w:val="24"/>
          <w:szCs w:val="24"/>
          <w:lang w:val="en-US"/>
        </w:rPr>
      </w:pPr>
      <w:r w:rsidRPr="006638FC">
        <w:rPr>
          <w:rFonts w:ascii="Arial" w:hAnsi="Arial" w:cs="Arial"/>
          <w:color w:val="000000" w:themeColor="text1"/>
          <w:sz w:val="24"/>
          <w:szCs w:val="24"/>
          <w:lang w:val="en-US"/>
        </w:rPr>
        <w:t>“However difficult the internal political problem of securing adherence to an international instrument, it seems to be an utter misconception to assume that such instruments are designed to improve the behaviour of</w:t>
      </w:r>
      <w:r>
        <w:rPr>
          <w:rFonts w:ascii="Arial" w:hAnsi="Arial" w:cs="Arial"/>
          <w:color w:val="000000" w:themeColor="text1"/>
          <w:sz w:val="24"/>
          <w:szCs w:val="24"/>
          <w:lang w:val="en-US"/>
        </w:rPr>
        <w:t xml:space="preserve"> others but only to confirm one’</w:t>
      </w:r>
      <w:r w:rsidRPr="006638FC">
        <w:rPr>
          <w:rFonts w:ascii="Arial" w:hAnsi="Arial" w:cs="Arial"/>
          <w:color w:val="000000" w:themeColor="text1"/>
          <w:sz w:val="24"/>
          <w:szCs w:val="24"/>
          <w:lang w:val="en-US"/>
        </w:rPr>
        <w:t>s own status quo.”</w:t>
      </w:r>
      <w:r w:rsidRPr="006638FC">
        <w:rPr>
          <w:rStyle w:val="FootnoteReference"/>
          <w:rFonts w:ascii="Arial" w:hAnsi="Arial" w:cs="Arial"/>
          <w:color w:val="000000" w:themeColor="text1"/>
          <w:sz w:val="24"/>
          <w:szCs w:val="24"/>
          <w:lang w:val="en-US"/>
        </w:rPr>
        <w:footnoteReference w:id="79"/>
      </w:r>
      <w:r w:rsidRPr="006638FC">
        <w:rPr>
          <w:rFonts w:ascii="Arial" w:hAnsi="Arial" w:cs="Arial"/>
          <w:color w:val="000000" w:themeColor="text1"/>
          <w:sz w:val="24"/>
          <w:szCs w:val="24"/>
          <w:lang w:val="en-US"/>
        </w:rPr>
        <w:t xml:space="preserve"> </w:t>
      </w:r>
    </w:p>
    <w:p w14:paraId="7F4C0F95" w14:textId="2E87369F" w:rsidR="003974DA" w:rsidRPr="003974DA" w:rsidRDefault="003974DA" w:rsidP="003974DA">
      <w:pPr>
        <w:tabs>
          <w:tab w:val="left" w:pos="1701"/>
        </w:tabs>
        <w:spacing w:line="480" w:lineRule="auto"/>
        <w:rPr>
          <w:rFonts w:ascii="Arial" w:hAnsi="Arial" w:cs="Arial"/>
          <w:color w:val="FF0000"/>
          <w:sz w:val="24"/>
          <w:szCs w:val="24"/>
          <w:lang w:val="en-US"/>
        </w:rPr>
      </w:pPr>
      <w:r>
        <w:rPr>
          <w:rFonts w:ascii="Arial" w:hAnsi="Arial" w:cs="Arial"/>
          <w:sz w:val="24"/>
          <w:szCs w:val="24"/>
        </w:rPr>
        <w:t>A treaty body enjoys a</w:t>
      </w:r>
      <w:r w:rsidRPr="00475EAA">
        <w:rPr>
          <w:rFonts w:ascii="Arial" w:hAnsi="Arial" w:cs="Arial"/>
          <w:sz w:val="24"/>
          <w:szCs w:val="24"/>
        </w:rPr>
        <w:t xml:space="preserve"> special</w:t>
      </w:r>
      <w:r>
        <w:rPr>
          <w:rFonts w:ascii="Arial" w:hAnsi="Arial" w:cs="Arial"/>
          <w:sz w:val="24"/>
          <w:szCs w:val="24"/>
        </w:rPr>
        <w:t>, continuous</w:t>
      </w:r>
      <w:r w:rsidRPr="00475EAA">
        <w:rPr>
          <w:rFonts w:ascii="Arial" w:hAnsi="Arial" w:cs="Arial"/>
          <w:sz w:val="24"/>
          <w:szCs w:val="24"/>
        </w:rPr>
        <w:t xml:space="preserve"> relationship with a state party</w:t>
      </w:r>
      <w:r>
        <w:rPr>
          <w:rFonts w:ascii="Arial" w:hAnsi="Arial" w:cs="Arial"/>
          <w:sz w:val="24"/>
          <w:szCs w:val="24"/>
        </w:rPr>
        <w:t xml:space="preserve">, resulting in treaties bodies chiefly operating </w:t>
      </w:r>
      <w:r w:rsidRPr="00F502C2">
        <w:rPr>
          <w:rFonts w:ascii="Arial" w:hAnsi="Arial" w:cs="Arial"/>
          <w:sz w:val="24"/>
          <w:szCs w:val="24"/>
        </w:rPr>
        <w:t>on a bilateral level.</w:t>
      </w:r>
      <w:r w:rsidRPr="00F502C2">
        <w:rPr>
          <w:rStyle w:val="FootnoteReference"/>
          <w:rFonts w:ascii="Arial" w:hAnsi="Arial" w:cs="Arial"/>
          <w:sz w:val="24"/>
          <w:szCs w:val="24"/>
        </w:rPr>
        <w:footnoteReference w:id="80"/>
      </w:r>
      <w:r>
        <w:rPr>
          <w:rFonts w:ascii="Arial" w:hAnsi="Arial" w:cs="Arial"/>
          <w:color w:val="FF0000"/>
          <w:sz w:val="24"/>
          <w:szCs w:val="24"/>
        </w:rPr>
        <w:t xml:space="preserve"> </w:t>
      </w:r>
      <w:r w:rsidRPr="00D013BB">
        <w:rPr>
          <w:rFonts w:ascii="Arial" w:hAnsi="Arial" w:cs="Arial"/>
          <w:sz w:val="24"/>
          <w:szCs w:val="24"/>
        </w:rPr>
        <w:t xml:space="preserve">However, </w:t>
      </w:r>
      <w:r>
        <w:rPr>
          <w:rFonts w:ascii="Arial" w:hAnsi="Arial" w:cs="Arial"/>
          <w:sz w:val="24"/>
          <w:szCs w:val="24"/>
        </w:rPr>
        <w:t>the</w:t>
      </w:r>
      <w:r w:rsidRPr="00DE1FDC">
        <w:rPr>
          <w:rFonts w:ascii="Arial" w:hAnsi="Arial" w:cs="Arial"/>
          <w:sz w:val="24"/>
          <w:szCs w:val="24"/>
        </w:rPr>
        <w:t xml:space="preserve"> </w:t>
      </w:r>
      <w:r>
        <w:rPr>
          <w:rFonts w:ascii="Arial" w:hAnsi="Arial" w:cs="Arial"/>
          <w:sz w:val="24"/>
          <w:szCs w:val="24"/>
        </w:rPr>
        <w:t xml:space="preserve">exception to this is when general comments are issued, </w:t>
      </w:r>
      <w:r w:rsidRPr="00DE1FDC">
        <w:rPr>
          <w:rFonts w:ascii="Arial" w:hAnsi="Arial" w:cs="Arial"/>
          <w:sz w:val="24"/>
          <w:szCs w:val="24"/>
        </w:rPr>
        <w:t>in order</w:t>
      </w:r>
      <w:r>
        <w:rPr>
          <w:rFonts w:ascii="Arial" w:hAnsi="Arial" w:cs="Arial"/>
          <w:sz w:val="24"/>
          <w:szCs w:val="24"/>
        </w:rPr>
        <w:t xml:space="preserve"> to </w:t>
      </w:r>
      <w:r w:rsidRPr="00DE1FDC">
        <w:rPr>
          <w:rFonts w:ascii="Arial" w:hAnsi="Arial" w:cs="Arial"/>
          <w:sz w:val="24"/>
          <w:szCs w:val="24"/>
        </w:rPr>
        <w:t xml:space="preserve">offer </w:t>
      </w:r>
      <w:r>
        <w:rPr>
          <w:rFonts w:ascii="Arial" w:hAnsi="Arial" w:cs="Arial"/>
          <w:sz w:val="24"/>
          <w:szCs w:val="24"/>
        </w:rPr>
        <w:t xml:space="preserve">crucial </w:t>
      </w:r>
      <w:r w:rsidRPr="00DE1FDC">
        <w:rPr>
          <w:rFonts w:ascii="Arial" w:hAnsi="Arial" w:cs="Arial"/>
          <w:sz w:val="24"/>
          <w:szCs w:val="24"/>
        </w:rPr>
        <w:t>material</w:t>
      </w:r>
      <w:r>
        <w:rPr>
          <w:rFonts w:ascii="Arial" w:hAnsi="Arial" w:cs="Arial"/>
          <w:sz w:val="24"/>
          <w:szCs w:val="24"/>
        </w:rPr>
        <w:t xml:space="preserve"> to all parties to the treaty concerning the </w:t>
      </w:r>
      <w:r w:rsidRPr="00DE1FDC">
        <w:rPr>
          <w:rFonts w:ascii="Arial" w:hAnsi="Arial" w:cs="Arial"/>
          <w:sz w:val="24"/>
          <w:szCs w:val="24"/>
        </w:rPr>
        <w:t>application</w:t>
      </w:r>
      <w:r>
        <w:rPr>
          <w:rFonts w:ascii="Arial" w:hAnsi="Arial" w:cs="Arial"/>
          <w:sz w:val="24"/>
          <w:szCs w:val="24"/>
        </w:rPr>
        <w:t xml:space="preserve"> of </w:t>
      </w:r>
      <w:r w:rsidRPr="0032229E">
        <w:rPr>
          <w:rFonts w:ascii="Arial" w:hAnsi="Arial" w:cs="Arial"/>
          <w:sz w:val="24"/>
          <w:szCs w:val="24"/>
        </w:rPr>
        <w:t>convention obligations</w:t>
      </w:r>
      <w:r>
        <w:rPr>
          <w:rFonts w:ascii="Arial" w:hAnsi="Arial" w:cs="Arial"/>
          <w:sz w:val="24"/>
          <w:szCs w:val="24"/>
        </w:rPr>
        <w:t xml:space="preserve">. </w:t>
      </w:r>
      <w:r w:rsidRPr="00FF5B49">
        <w:rPr>
          <w:rFonts w:ascii="Arial" w:hAnsi="Arial" w:cs="Arial"/>
          <w:sz w:val="24"/>
          <w:szCs w:val="24"/>
        </w:rPr>
        <w:t>The problem at hand concerns</w:t>
      </w:r>
      <w:r>
        <w:rPr>
          <w:rFonts w:ascii="Arial" w:hAnsi="Arial" w:cs="Arial"/>
          <w:color w:val="FF0000"/>
          <w:sz w:val="24"/>
          <w:szCs w:val="24"/>
        </w:rPr>
        <w:t xml:space="preserve"> </w:t>
      </w:r>
      <w:r w:rsidRPr="00303F32">
        <w:rPr>
          <w:rFonts w:ascii="Arial" w:hAnsi="Arial" w:cs="Arial"/>
          <w:sz w:val="24"/>
          <w:szCs w:val="24"/>
        </w:rPr>
        <w:t xml:space="preserve">whether the Covenant had </w:t>
      </w:r>
      <w:r w:rsidRPr="00303F32">
        <w:rPr>
          <w:rFonts w:ascii="Arial" w:hAnsi="Arial" w:cs="Arial"/>
          <w:sz w:val="24"/>
          <w:szCs w:val="24"/>
          <w:lang w:val="en-US"/>
        </w:rPr>
        <w:t>extra-territorial effect,</w:t>
      </w:r>
      <w:r w:rsidRPr="00303F32">
        <w:rPr>
          <w:rStyle w:val="FootnoteReference"/>
          <w:rFonts w:ascii="Arial" w:hAnsi="Arial" w:cs="Arial"/>
          <w:sz w:val="24"/>
          <w:szCs w:val="24"/>
        </w:rPr>
        <w:footnoteReference w:id="81"/>
      </w:r>
      <w:r w:rsidRPr="00303F32">
        <w:rPr>
          <w:rFonts w:ascii="Arial" w:hAnsi="Arial" w:cs="Arial"/>
          <w:sz w:val="24"/>
          <w:szCs w:val="24"/>
          <w:lang w:val="en-US"/>
        </w:rPr>
        <w:t xml:space="preserve"> or in other words</w:t>
      </w:r>
      <w:r>
        <w:rPr>
          <w:rFonts w:ascii="Arial" w:hAnsi="Arial" w:cs="Arial"/>
          <w:sz w:val="24"/>
          <w:szCs w:val="24"/>
          <w:lang w:val="en-US"/>
        </w:rPr>
        <w:t>,</w:t>
      </w:r>
      <w:r>
        <w:rPr>
          <w:rFonts w:ascii="Arial" w:hAnsi="Arial" w:cs="Arial"/>
          <w:color w:val="FF0000"/>
          <w:sz w:val="24"/>
          <w:szCs w:val="24"/>
          <w:lang w:val="en-US"/>
        </w:rPr>
        <w:t xml:space="preserve"> </w:t>
      </w:r>
      <w:r w:rsidRPr="000570B8">
        <w:rPr>
          <w:rFonts w:ascii="Arial" w:hAnsi="Arial" w:cs="Arial"/>
          <w:sz w:val="24"/>
          <w:szCs w:val="24"/>
          <w:lang w:val="en-US"/>
        </w:rPr>
        <w:t>if this text showed that the Covenant’s human rights guarantees ‘benefitted only those persons who were both under the legal jurisdiction of the State and were at the same time geographically located within the territory of the State’.</w:t>
      </w:r>
      <w:r w:rsidRPr="000570B8">
        <w:rPr>
          <w:rStyle w:val="FootnoteReference"/>
          <w:rFonts w:ascii="Arial" w:hAnsi="Arial" w:cs="Arial"/>
          <w:sz w:val="24"/>
          <w:szCs w:val="24"/>
          <w:lang w:val="en-US"/>
        </w:rPr>
        <w:footnoteReference w:id="82"/>
      </w:r>
      <w:r w:rsidRPr="00B05FAD">
        <w:rPr>
          <w:rFonts w:ascii="Arial" w:hAnsi="Arial" w:cs="Arial"/>
          <w:color w:val="FF0000"/>
          <w:sz w:val="24"/>
          <w:szCs w:val="24"/>
          <w:lang w:val="en-US"/>
        </w:rPr>
        <w:t xml:space="preserve"> </w:t>
      </w:r>
    </w:p>
    <w:p w14:paraId="26CDAF69" w14:textId="00DFA5C7" w:rsidR="00881BAF" w:rsidRPr="00772AD3" w:rsidRDefault="00772AD3" w:rsidP="00401E4C">
      <w:pPr>
        <w:pStyle w:val="ListParagraph"/>
        <w:numPr>
          <w:ilvl w:val="1"/>
          <w:numId w:val="26"/>
        </w:numPr>
        <w:spacing w:line="480" w:lineRule="auto"/>
        <w:rPr>
          <w:rFonts w:ascii="Arial" w:hAnsi="Arial" w:cs="Arial"/>
          <w:b/>
          <w:sz w:val="24"/>
          <w:szCs w:val="24"/>
        </w:rPr>
      </w:pPr>
      <w:r>
        <w:rPr>
          <w:rFonts w:ascii="Arial" w:hAnsi="Arial" w:cs="Arial"/>
          <w:b/>
          <w:sz w:val="24"/>
          <w:szCs w:val="24"/>
        </w:rPr>
        <w:t xml:space="preserve">    </w:t>
      </w:r>
      <w:r w:rsidR="00674EB9" w:rsidRPr="00772AD3">
        <w:rPr>
          <w:rFonts w:ascii="Arial" w:hAnsi="Arial" w:cs="Arial"/>
          <w:b/>
          <w:sz w:val="24"/>
          <w:szCs w:val="24"/>
        </w:rPr>
        <w:t xml:space="preserve"> </w:t>
      </w:r>
      <w:r w:rsidR="00881BAF" w:rsidRPr="00772AD3">
        <w:rPr>
          <w:rFonts w:ascii="Arial" w:hAnsi="Arial" w:cs="Arial"/>
          <w:b/>
          <w:sz w:val="24"/>
          <w:szCs w:val="24"/>
        </w:rPr>
        <w:t>Has the ILC taken on board these human rights developments?</w:t>
      </w:r>
    </w:p>
    <w:p w14:paraId="27C57C18" w14:textId="77777777" w:rsidR="00C261FE" w:rsidRDefault="0047700C" w:rsidP="00401E4C">
      <w:pPr>
        <w:spacing w:line="480" w:lineRule="auto"/>
        <w:rPr>
          <w:rFonts w:ascii="Arial" w:hAnsi="Arial" w:cs="Arial"/>
          <w:sz w:val="24"/>
          <w:szCs w:val="24"/>
          <w:lang w:val="en-US"/>
        </w:rPr>
      </w:pPr>
      <w:r w:rsidRPr="00A34D67">
        <w:rPr>
          <w:rFonts w:ascii="Arial" w:hAnsi="Arial" w:cs="Arial"/>
          <w:sz w:val="24"/>
          <w:szCs w:val="24"/>
          <w:lang w:val="en-US"/>
        </w:rPr>
        <w:t xml:space="preserve">Ever since it was entrusted with the task of codifying the law of treaties in 1949, the </w:t>
      </w:r>
      <w:r w:rsidR="00700D15" w:rsidRPr="00A34D67">
        <w:rPr>
          <w:rFonts w:ascii="Arial" w:hAnsi="Arial" w:cs="Arial"/>
          <w:sz w:val="24"/>
          <w:szCs w:val="24"/>
          <w:lang w:val="en-US"/>
        </w:rPr>
        <w:t>ILC</w:t>
      </w:r>
      <w:r w:rsidR="00B2724D" w:rsidRPr="00A34D67">
        <w:rPr>
          <w:rFonts w:ascii="Arial" w:hAnsi="Arial" w:cs="Arial"/>
          <w:sz w:val="24"/>
          <w:szCs w:val="24"/>
          <w:lang w:val="en-US"/>
        </w:rPr>
        <w:t xml:space="preserve"> </w:t>
      </w:r>
      <w:r w:rsidR="002C4A13" w:rsidRPr="00A34D67">
        <w:rPr>
          <w:rFonts w:ascii="Arial" w:hAnsi="Arial" w:cs="Arial"/>
          <w:sz w:val="24"/>
          <w:szCs w:val="24"/>
          <w:lang w:val="en-US"/>
        </w:rPr>
        <w:t>‘has been concerned with and puzzled by the issue of reservations’.</w:t>
      </w:r>
      <w:r w:rsidR="00A56176" w:rsidRPr="00A34D67">
        <w:rPr>
          <w:rStyle w:val="FootnoteReference"/>
          <w:rFonts w:ascii="Arial" w:hAnsi="Arial" w:cs="Arial"/>
          <w:sz w:val="24"/>
          <w:szCs w:val="24"/>
          <w:lang w:val="en-US"/>
        </w:rPr>
        <w:footnoteReference w:id="83"/>
      </w:r>
      <w:r w:rsidRPr="00A34D67">
        <w:rPr>
          <w:rFonts w:ascii="Arial" w:hAnsi="Arial" w:cs="Arial"/>
          <w:sz w:val="24"/>
          <w:szCs w:val="24"/>
          <w:lang w:val="en-US"/>
        </w:rPr>
        <w:t xml:space="preserve"> </w:t>
      </w:r>
      <w:r w:rsidR="006E4654">
        <w:rPr>
          <w:rFonts w:ascii="Arial" w:hAnsi="Arial" w:cs="Arial"/>
          <w:sz w:val="24"/>
          <w:szCs w:val="24"/>
          <w:lang w:val="en-US"/>
        </w:rPr>
        <w:t>Following its r</w:t>
      </w:r>
      <w:r w:rsidR="00B6277C">
        <w:rPr>
          <w:rFonts w:ascii="Arial" w:hAnsi="Arial" w:cs="Arial"/>
          <w:sz w:val="24"/>
          <w:szCs w:val="24"/>
          <w:lang w:val="en-US"/>
        </w:rPr>
        <w:t xml:space="preserve">equest for an advisory opinion </w:t>
      </w:r>
      <w:r w:rsidR="006E4654">
        <w:rPr>
          <w:rFonts w:ascii="Arial" w:hAnsi="Arial" w:cs="Arial"/>
          <w:sz w:val="24"/>
          <w:szCs w:val="24"/>
          <w:lang w:val="en-US"/>
        </w:rPr>
        <w:t xml:space="preserve">on </w:t>
      </w:r>
      <w:r w:rsidR="00B6277C">
        <w:rPr>
          <w:rFonts w:ascii="Arial" w:hAnsi="Arial" w:cs="Arial"/>
          <w:sz w:val="24"/>
          <w:szCs w:val="24"/>
          <w:lang w:val="en-US"/>
        </w:rPr>
        <w:t>matters</w:t>
      </w:r>
      <w:r w:rsidR="006E4654">
        <w:rPr>
          <w:rFonts w:ascii="Arial" w:hAnsi="Arial" w:cs="Arial"/>
          <w:sz w:val="24"/>
          <w:szCs w:val="24"/>
          <w:lang w:val="en-US"/>
        </w:rPr>
        <w:t xml:space="preserve"> </w:t>
      </w:r>
      <w:r w:rsidR="00B6277C">
        <w:rPr>
          <w:rFonts w:ascii="Arial" w:hAnsi="Arial" w:cs="Arial"/>
          <w:sz w:val="24"/>
          <w:szCs w:val="24"/>
          <w:lang w:val="en-US"/>
        </w:rPr>
        <w:t>concerning</w:t>
      </w:r>
      <w:r w:rsidR="006E4654">
        <w:rPr>
          <w:rFonts w:ascii="Arial" w:hAnsi="Arial" w:cs="Arial"/>
          <w:sz w:val="24"/>
          <w:szCs w:val="24"/>
          <w:lang w:val="en-US"/>
        </w:rPr>
        <w:t xml:space="preserve"> reservat</w:t>
      </w:r>
      <w:r w:rsidR="00B6277C">
        <w:rPr>
          <w:rFonts w:ascii="Arial" w:hAnsi="Arial" w:cs="Arial"/>
          <w:sz w:val="24"/>
          <w:szCs w:val="24"/>
          <w:lang w:val="en-US"/>
        </w:rPr>
        <w:t>ions to the Genocide Convention</w:t>
      </w:r>
      <w:r w:rsidR="006E4654">
        <w:rPr>
          <w:rFonts w:ascii="Arial" w:hAnsi="Arial" w:cs="Arial"/>
          <w:sz w:val="24"/>
          <w:szCs w:val="24"/>
          <w:lang w:val="en-US"/>
        </w:rPr>
        <w:t xml:space="preserve"> from the ICJ, the UN General Assembly asked the ILC to </w:t>
      </w:r>
      <w:r w:rsidR="00140BA2">
        <w:rPr>
          <w:rFonts w:ascii="Arial" w:hAnsi="Arial" w:cs="Arial"/>
          <w:sz w:val="24"/>
          <w:szCs w:val="24"/>
          <w:lang w:val="en-US"/>
        </w:rPr>
        <w:t>prioritise</w:t>
      </w:r>
      <w:r w:rsidR="006E4654">
        <w:rPr>
          <w:rFonts w:ascii="Arial" w:hAnsi="Arial" w:cs="Arial"/>
          <w:sz w:val="24"/>
          <w:szCs w:val="24"/>
          <w:lang w:val="en-US"/>
        </w:rPr>
        <w:t xml:space="preserve"> the issue </w:t>
      </w:r>
      <w:r w:rsidR="00140BA2">
        <w:rPr>
          <w:rFonts w:ascii="Arial" w:hAnsi="Arial" w:cs="Arial"/>
          <w:sz w:val="24"/>
          <w:szCs w:val="24"/>
          <w:lang w:val="en-US"/>
        </w:rPr>
        <w:t>of reservations to multilateral treaties as a part of its schedule.</w:t>
      </w:r>
      <w:r w:rsidR="006E4654">
        <w:rPr>
          <w:rFonts w:ascii="Arial" w:hAnsi="Arial" w:cs="Arial"/>
          <w:sz w:val="24"/>
          <w:szCs w:val="24"/>
          <w:lang w:val="en-US"/>
        </w:rPr>
        <w:t xml:space="preserve"> </w:t>
      </w:r>
    </w:p>
    <w:p w14:paraId="6701BAE7" w14:textId="77777777" w:rsidR="00C261FE" w:rsidRDefault="00E16A55" w:rsidP="00401E4C">
      <w:pPr>
        <w:spacing w:line="480" w:lineRule="auto"/>
        <w:rPr>
          <w:rFonts w:ascii="Arial" w:hAnsi="Arial" w:cs="Arial"/>
          <w:sz w:val="24"/>
          <w:szCs w:val="24"/>
          <w:lang w:val="en-US"/>
        </w:rPr>
      </w:pPr>
      <w:r>
        <w:rPr>
          <w:rFonts w:ascii="Arial" w:hAnsi="Arial" w:cs="Arial"/>
          <w:sz w:val="24"/>
          <w:szCs w:val="24"/>
          <w:lang w:val="en-US"/>
        </w:rPr>
        <w:t>In 1951, the ILC published</w:t>
      </w:r>
      <w:r w:rsidR="004A2110">
        <w:rPr>
          <w:rFonts w:ascii="Arial" w:hAnsi="Arial" w:cs="Arial"/>
          <w:sz w:val="24"/>
          <w:szCs w:val="24"/>
          <w:lang w:val="en-US"/>
        </w:rPr>
        <w:t xml:space="preserve"> its results from this study, by which point the ILC had provided its Advisory Opinion to </w:t>
      </w:r>
      <w:r w:rsidR="004A2110">
        <w:rPr>
          <w:rFonts w:ascii="Arial" w:hAnsi="Arial" w:cs="Arial"/>
          <w:i/>
          <w:sz w:val="24"/>
          <w:szCs w:val="24"/>
          <w:lang w:val="en-US"/>
        </w:rPr>
        <w:t>Reservations to the Genocide Convention</w:t>
      </w:r>
      <w:r w:rsidR="004A2110">
        <w:rPr>
          <w:rFonts w:ascii="Arial" w:hAnsi="Arial" w:cs="Arial"/>
          <w:sz w:val="24"/>
          <w:szCs w:val="24"/>
          <w:lang w:val="en-US"/>
        </w:rPr>
        <w:t>.</w:t>
      </w:r>
      <w:r w:rsidR="009D2D6A">
        <w:rPr>
          <w:rStyle w:val="FootnoteReference"/>
          <w:rFonts w:ascii="Arial" w:hAnsi="Arial" w:cs="Arial"/>
          <w:sz w:val="24"/>
          <w:szCs w:val="24"/>
          <w:lang w:val="en-US"/>
        </w:rPr>
        <w:footnoteReference w:id="84"/>
      </w:r>
      <w:r w:rsidR="000C4442">
        <w:rPr>
          <w:rFonts w:ascii="Arial" w:hAnsi="Arial" w:cs="Arial"/>
          <w:sz w:val="24"/>
          <w:szCs w:val="24"/>
          <w:lang w:val="en-US"/>
        </w:rPr>
        <w:t xml:space="preserve"> </w:t>
      </w:r>
      <w:r w:rsidR="00B35011">
        <w:rPr>
          <w:rFonts w:ascii="Arial" w:hAnsi="Arial" w:cs="Arial"/>
          <w:sz w:val="24"/>
          <w:szCs w:val="24"/>
          <w:lang w:val="en-US"/>
        </w:rPr>
        <w:t xml:space="preserve">The ILC agreed with critics that the ICJ’s test for determining whether reservations are compatible with a treaty’s object and purpose </w:t>
      </w:r>
      <w:r w:rsidR="00C33DC0">
        <w:rPr>
          <w:rFonts w:ascii="Arial" w:hAnsi="Arial" w:cs="Arial"/>
          <w:sz w:val="24"/>
          <w:szCs w:val="24"/>
          <w:lang w:val="en-US"/>
        </w:rPr>
        <w:t>‘was too subjective and was accordingly not suitable for application to multilateral conventions in general’.</w:t>
      </w:r>
      <w:r w:rsidR="0087321A">
        <w:rPr>
          <w:rStyle w:val="FootnoteReference"/>
          <w:rFonts w:ascii="Arial" w:hAnsi="Arial" w:cs="Arial"/>
          <w:sz w:val="24"/>
          <w:szCs w:val="24"/>
          <w:lang w:val="en-US"/>
        </w:rPr>
        <w:footnoteReference w:id="85"/>
      </w:r>
      <w:r w:rsidR="00E53E5C">
        <w:rPr>
          <w:rFonts w:ascii="Arial" w:hAnsi="Arial" w:cs="Arial"/>
          <w:sz w:val="24"/>
          <w:szCs w:val="24"/>
          <w:lang w:val="en-US"/>
        </w:rPr>
        <w:t xml:space="preserve"> It was the view of the ILC that one could </w:t>
      </w:r>
      <w:r w:rsidR="00824EAA">
        <w:rPr>
          <w:rFonts w:ascii="Arial" w:hAnsi="Arial" w:cs="Arial"/>
          <w:sz w:val="24"/>
          <w:szCs w:val="24"/>
          <w:lang w:val="en-US"/>
        </w:rPr>
        <w:t>reasonably</w:t>
      </w:r>
      <w:r w:rsidR="00E53E5C">
        <w:rPr>
          <w:rFonts w:ascii="Arial" w:hAnsi="Arial" w:cs="Arial"/>
          <w:sz w:val="24"/>
          <w:szCs w:val="24"/>
          <w:lang w:val="en-US"/>
        </w:rPr>
        <w:t xml:space="preserve"> accept</w:t>
      </w:r>
      <w:r w:rsidR="00824EAA">
        <w:rPr>
          <w:rFonts w:ascii="Arial" w:hAnsi="Arial" w:cs="Arial"/>
          <w:sz w:val="24"/>
          <w:szCs w:val="24"/>
          <w:lang w:val="en-US"/>
        </w:rPr>
        <w:t xml:space="preserve"> that</w:t>
      </w:r>
      <w:r w:rsidR="00752F14">
        <w:rPr>
          <w:rFonts w:ascii="Arial" w:hAnsi="Arial" w:cs="Arial"/>
          <w:sz w:val="24"/>
          <w:szCs w:val="24"/>
          <w:lang w:val="en-US"/>
        </w:rPr>
        <w:t xml:space="preserve"> state parties view a convention’s measures as being essential to the instrument as a whole</w:t>
      </w:r>
      <w:r w:rsidR="00F252B2">
        <w:rPr>
          <w:rFonts w:ascii="Arial" w:hAnsi="Arial" w:cs="Arial"/>
          <w:sz w:val="24"/>
          <w:szCs w:val="24"/>
          <w:lang w:val="en-US"/>
        </w:rPr>
        <w:t xml:space="preserve">, meaning that any reservations made to the convention might be contrary to its object and purpose. </w:t>
      </w:r>
    </w:p>
    <w:p w14:paraId="3E5EC702" w14:textId="486C1333" w:rsidR="006E4654" w:rsidRDefault="00F252B2" w:rsidP="00401E4C">
      <w:pPr>
        <w:spacing w:line="480" w:lineRule="auto"/>
        <w:rPr>
          <w:rFonts w:ascii="Arial" w:hAnsi="Arial" w:cs="Arial"/>
          <w:color w:val="FF0000"/>
          <w:sz w:val="24"/>
          <w:szCs w:val="24"/>
          <w:lang w:val="en-US"/>
        </w:rPr>
      </w:pPr>
      <w:r w:rsidRPr="00F252B2">
        <w:rPr>
          <w:rFonts w:ascii="Arial" w:hAnsi="Arial" w:cs="Arial"/>
          <w:sz w:val="24"/>
          <w:szCs w:val="24"/>
          <w:lang w:val="en-US"/>
        </w:rPr>
        <w:t>If</w:t>
      </w:r>
      <w:r w:rsidR="00824EAA" w:rsidRPr="00F252B2">
        <w:rPr>
          <w:rFonts w:ascii="Arial" w:hAnsi="Arial" w:cs="Arial"/>
          <w:sz w:val="24"/>
          <w:szCs w:val="24"/>
          <w:lang w:val="en-US"/>
        </w:rPr>
        <w:t xml:space="preserve"> the ‘compatibility test’</w:t>
      </w:r>
      <w:r w:rsidR="00F55C61" w:rsidRPr="00F252B2">
        <w:rPr>
          <w:rFonts w:ascii="Arial" w:hAnsi="Arial" w:cs="Arial"/>
          <w:sz w:val="24"/>
          <w:szCs w:val="24"/>
          <w:lang w:val="en-US"/>
        </w:rPr>
        <w:t xml:space="preserve"> </w:t>
      </w:r>
      <w:r w:rsidRPr="00F252B2">
        <w:rPr>
          <w:rFonts w:ascii="Arial" w:hAnsi="Arial" w:cs="Arial"/>
          <w:sz w:val="24"/>
          <w:szCs w:val="24"/>
          <w:lang w:val="en-US"/>
        </w:rPr>
        <w:t>conti</w:t>
      </w:r>
      <w:r w:rsidRPr="00CD43B4">
        <w:rPr>
          <w:rFonts w:ascii="Arial" w:hAnsi="Arial" w:cs="Arial"/>
          <w:sz w:val="24"/>
          <w:szCs w:val="24"/>
          <w:lang w:val="en-US"/>
        </w:rPr>
        <w:t>nued</w:t>
      </w:r>
      <w:r w:rsidR="00F55C61" w:rsidRPr="00CD43B4">
        <w:rPr>
          <w:rFonts w:ascii="Arial" w:hAnsi="Arial" w:cs="Arial"/>
          <w:sz w:val="24"/>
          <w:szCs w:val="24"/>
          <w:lang w:val="en-US"/>
        </w:rPr>
        <w:t xml:space="preserve"> </w:t>
      </w:r>
      <w:r w:rsidRPr="00CD43B4">
        <w:rPr>
          <w:rFonts w:ascii="Arial" w:hAnsi="Arial" w:cs="Arial"/>
          <w:sz w:val="24"/>
          <w:szCs w:val="24"/>
          <w:lang w:val="en-US"/>
        </w:rPr>
        <w:t xml:space="preserve">to </w:t>
      </w:r>
      <w:r w:rsidR="00CD43B4" w:rsidRPr="00CD43B4">
        <w:rPr>
          <w:rFonts w:ascii="Arial" w:hAnsi="Arial" w:cs="Arial"/>
          <w:sz w:val="24"/>
          <w:szCs w:val="24"/>
          <w:lang w:val="en-US"/>
        </w:rPr>
        <w:t xml:space="preserve">be governed by </w:t>
      </w:r>
      <w:r w:rsidRPr="00CD43B4">
        <w:rPr>
          <w:rFonts w:ascii="Arial" w:hAnsi="Arial" w:cs="Arial"/>
          <w:sz w:val="24"/>
          <w:szCs w:val="24"/>
          <w:lang w:val="en-US"/>
        </w:rPr>
        <w:t>person</w:t>
      </w:r>
      <w:r w:rsidRPr="00351D3A">
        <w:rPr>
          <w:rFonts w:ascii="Arial" w:hAnsi="Arial" w:cs="Arial"/>
          <w:sz w:val="24"/>
          <w:szCs w:val="24"/>
          <w:lang w:val="en-US"/>
        </w:rPr>
        <w:t>al</w:t>
      </w:r>
      <w:r w:rsidR="00F55C61" w:rsidRPr="00351D3A">
        <w:rPr>
          <w:rFonts w:ascii="Arial" w:hAnsi="Arial" w:cs="Arial"/>
          <w:sz w:val="24"/>
          <w:szCs w:val="24"/>
          <w:lang w:val="en-US"/>
        </w:rPr>
        <w:t xml:space="preserve"> </w:t>
      </w:r>
      <w:r w:rsidRPr="00351D3A">
        <w:rPr>
          <w:rFonts w:ascii="Arial" w:hAnsi="Arial" w:cs="Arial"/>
          <w:sz w:val="24"/>
          <w:szCs w:val="24"/>
          <w:lang w:val="en-US"/>
        </w:rPr>
        <w:t>decision</w:t>
      </w:r>
      <w:r w:rsidR="00CD43B4" w:rsidRPr="00351D3A">
        <w:rPr>
          <w:rFonts w:ascii="Arial" w:hAnsi="Arial" w:cs="Arial"/>
          <w:sz w:val="24"/>
          <w:szCs w:val="24"/>
          <w:lang w:val="en-US"/>
        </w:rPr>
        <w:t>s</w:t>
      </w:r>
      <w:r w:rsidR="00351D3A" w:rsidRPr="00351D3A">
        <w:rPr>
          <w:rFonts w:ascii="Arial" w:hAnsi="Arial" w:cs="Arial"/>
          <w:sz w:val="24"/>
          <w:szCs w:val="24"/>
          <w:lang w:val="en-US"/>
        </w:rPr>
        <w:t xml:space="preserve"> in order for parties to</w:t>
      </w:r>
      <w:r w:rsidR="00F55C61" w:rsidRPr="00351D3A">
        <w:rPr>
          <w:rFonts w:ascii="Arial" w:hAnsi="Arial" w:cs="Arial"/>
          <w:sz w:val="24"/>
          <w:szCs w:val="24"/>
          <w:lang w:val="en-US"/>
        </w:rPr>
        <w:t xml:space="preserve"> </w:t>
      </w:r>
      <w:r w:rsidR="00351D3A" w:rsidRPr="00351D3A">
        <w:rPr>
          <w:rFonts w:ascii="Arial" w:hAnsi="Arial" w:cs="Arial"/>
          <w:sz w:val="24"/>
          <w:szCs w:val="24"/>
          <w:lang w:val="en-US"/>
        </w:rPr>
        <w:t>opt out of the effects of a reservation at will</w:t>
      </w:r>
      <w:r w:rsidR="00F55C61" w:rsidRPr="00351D3A">
        <w:rPr>
          <w:rFonts w:ascii="Arial" w:hAnsi="Arial" w:cs="Arial"/>
          <w:sz w:val="24"/>
          <w:szCs w:val="24"/>
          <w:lang w:val="en-US"/>
        </w:rPr>
        <w:t>,</w:t>
      </w:r>
      <w:r w:rsidR="00FD1FF6">
        <w:rPr>
          <w:rFonts w:ascii="Arial" w:hAnsi="Arial" w:cs="Arial"/>
          <w:sz w:val="24"/>
          <w:szCs w:val="24"/>
          <w:lang w:val="en-US"/>
        </w:rPr>
        <w:t xml:space="preserve"> the relatio</w:t>
      </w:r>
      <w:r w:rsidR="00FD1FF6" w:rsidRPr="007741D8">
        <w:rPr>
          <w:rFonts w:ascii="Arial" w:hAnsi="Arial" w:cs="Arial"/>
          <w:sz w:val="24"/>
          <w:szCs w:val="24"/>
          <w:lang w:val="en-US"/>
        </w:rPr>
        <w:t>nship between the reserving state and the convention</w:t>
      </w:r>
      <w:r w:rsidR="00F55C61" w:rsidRPr="007741D8">
        <w:rPr>
          <w:rFonts w:ascii="Arial" w:hAnsi="Arial" w:cs="Arial"/>
          <w:sz w:val="24"/>
          <w:szCs w:val="24"/>
          <w:lang w:val="en-US"/>
        </w:rPr>
        <w:t xml:space="preserve"> would </w:t>
      </w:r>
      <w:r w:rsidR="007741D8" w:rsidRPr="007741D8">
        <w:rPr>
          <w:rFonts w:ascii="Arial" w:hAnsi="Arial" w:cs="Arial"/>
          <w:sz w:val="24"/>
          <w:szCs w:val="24"/>
          <w:lang w:val="en-US"/>
        </w:rPr>
        <w:t>still be</w:t>
      </w:r>
      <w:r w:rsidR="00F55C61" w:rsidRPr="007741D8">
        <w:rPr>
          <w:rFonts w:ascii="Arial" w:hAnsi="Arial" w:cs="Arial"/>
          <w:sz w:val="24"/>
          <w:szCs w:val="24"/>
          <w:lang w:val="en-US"/>
        </w:rPr>
        <w:t xml:space="preserve"> </w:t>
      </w:r>
      <w:r w:rsidR="00824FDC" w:rsidRPr="007741D8">
        <w:rPr>
          <w:rFonts w:ascii="Arial" w:hAnsi="Arial" w:cs="Arial"/>
          <w:sz w:val="24"/>
          <w:szCs w:val="24"/>
          <w:lang w:val="en-US"/>
        </w:rPr>
        <w:t>uncertain</w:t>
      </w:r>
      <w:r w:rsidR="002A1AEE">
        <w:rPr>
          <w:rFonts w:ascii="Arial" w:hAnsi="Arial" w:cs="Arial"/>
          <w:sz w:val="24"/>
          <w:szCs w:val="24"/>
          <w:lang w:val="en-US"/>
        </w:rPr>
        <w:t>. It would also generate</w:t>
      </w:r>
      <w:r w:rsidR="002A1AEE">
        <w:rPr>
          <w:rFonts w:ascii="Arial" w:hAnsi="Arial" w:cs="Arial"/>
          <w:color w:val="FF0000"/>
          <w:sz w:val="24"/>
          <w:szCs w:val="24"/>
          <w:lang w:val="en-US"/>
        </w:rPr>
        <w:t xml:space="preserve"> </w:t>
      </w:r>
      <w:r w:rsidR="002A1AEE" w:rsidRPr="002A1AEE">
        <w:rPr>
          <w:rFonts w:ascii="Arial" w:hAnsi="Arial" w:cs="Arial"/>
          <w:sz w:val="24"/>
          <w:szCs w:val="24"/>
          <w:lang w:val="en-US"/>
        </w:rPr>
        <w:t>doubts about</w:t>
      </w:r>
      <w:r w:rsidR="00F55C61" w:rsidRPr="002A1AEE">
        <w:rPr>
          <w:rFonts w:ascii="Arial" w:hAnsi="Arial" w:cs="Arial"/>
          <w:sz w:val="24"/>
          <w:szCs w:val="24"/>
          <w:lang w:val="en-US"/>
        </w:rPr>
        <w:t xml:space="preserve"> </w:t>
      </w:r>
      <w:r w:rsidR="002A1AEE" w:rsidRPr="002A1AEE">
        <w:rPr>
          <w:rFonts w:ascii="Arial" w:hAnsi="Arial" w:cs="Arial"/>
          <w:sz w:val="24"/>
          <w:szCs w:val="24"/>
          <w:lang w:val="en-US"/>
        </w:rPr>
        <w:t>‘</w:t>
      </w:r>
      <w:r w:rsidR="00F55C61" w:rsidRPr="002A1AEE">
        <w:rPr>
          <w:rFonts w:ascii="Arial" w:hAnsi="Arial" w:cs="Arial"/>
          <w:sz w:val="24"/>
          <w:szCs w:val="24"/>
          <w:lang w:val="en-US"/>
        </w:rPr>
        <w:t>whether an instrument of ratification or accession accompanied by a reservation to which some of the contracting states had objected should count towards the number of instruments of ratification or accession required to bring the convention into force</w:t>
      </w:r>
      <w:r w:rsidR="002A1AEE" w:rsidRPr="002A1AEE">
        <w:rPr>
          <w:rFonts w:ascii="Arial" w:hAnsi="Arial" w:cs="Arial"/>
          <w:sz w:val="24"/>
          <w:szCs w:val="24"/>
          <w:lang w:val="en-US"/>
        </w:rPr>
        <w:t>’</w:t>
      </w:r>
      <w:r w:rsidR="00F55C61" w:rsidRPr="002A1AEE">
        <w:rPr>
          <w:rFonts w:ascii="Arial" w:hAnsi="Arial" w:cs="Arial"/>
          <w:sz w:val="24"/>
          <w:szCs w:val="24"/>
          <w:lang w:val="en-US"/>
        </w:rPr>
        <w:t>.</w:t>
      </w:r>
      <w:r w:rsidR="002A1AEE">
        <w:rPr>
          <w:rStyle w:val="FootnoteReference"/>
          <w:rFonts w:ascii="Arial" w:hAnsi="Arial" w:cs="Arial"/>
          <w:sz w:val="24"/>
          <w:szCs w:val="24"/>
          <w:lang w:val="en-US"/>
        </w:rPr>
        <w:footnoteReference w:id="86"/>
      </w:r>
      <w:r w:rsidR="00F55C61">
        <w:rPr>
          <w:rFonts w:ascii="Arial" w:hAnsi="Arial" w:cs="Arial"/>
          <w:color w:val="FF0000"/>
          <w:sz w:val="24"/>
          <w:szCs w:val="24"/>
          <w:lang w:val="en-US"/>
        </w:rPr>
        <w:t xml:space="preserve"> </w:t>
      </w:r>
      <w:r w:rsidR="002A1AEE" w:rsidRPr="002A1AEE">
        <w:rPr>
          <w:rFonts w:ascii="Arial" w:hAnsi="Arial" w:cs="Arial"/>
          <w:sz w:val="24"/>
          <w:szCs w:val="24"/>
          <w:lang w:val="en-US"/>
        </w:rPr>
        <w:t>In summary</w:t>
      </w:r>
      <w:r w:rsidR="00F55C61" w:rsidRPr="002A1AEE">
        <w:rPr>
          <w:rFonts w:ascii="Arial" w:hAnsi="Arial" w:cs="Arial"/>
          <w:sz w:val="24"/>
          <w:szCs w:val="24"/>
          <w:lang w:val="en-US"/>
        </w:rPr>
        <w:t xml:space="preserve">, the </w:t>
      </w:r>
      <w:r w:rsidR="002A1AEE" w:rsidRPr="002A1AEE">
        <w:rPr>
          <w:rFonts w:ascii="Arial" w:hAnsi="Arial" w:cs="Arial"/>
          <w:sz w:val="24"/>
          <w:szCs w:val="24"/>
          <w:lang w:val="en-US"/>
        </w:rPr>
        <w:t>ILC</w:t>
      </w:r>
      <w:r w:rsidR="00F55C61" w:rsidRPr="002A1AEE">
        <w:rPr>
          <w:rFonts w:ascii="Arial" w:hAnsi="Arial" w:cs="Arial"/>
          <w:sz w:val="24"/>
          <w:szCs w:val="24"/>
          <w:lang w:val="en-US"/>
        </w:rPr>
        <w:t xml:space="preserve"> </w:t>
      </w:r>
      <w:r w:rsidR="002A1AEE" w:rsidRPr="002A1AEE">
        <w:rPr>
          <w:rFonts w:ascii="Arial" w:hAnsi="Arial" w:cs="Arial"/>
          <w:sz w:val="24"/>
          <w:szCs w:val="24"/>
          <w:lang w:val="en-US"/>
        </w:rPr>
        <w:t>advised</w:t>
      </w:r>
      <w:r w:rsidR="00F55C61">
        <w:rPr>
          <w:rFonts w:ascii="Arial" w:hAnsi="Arial" w:cs="Arial"/>
          <w:color w:val="FF0000"/>
          <w:sz w:val="24"/>
          <w:szCs w:val="24"/>
          <w:lang w:val="en-US"/>
        </w:rPr>
        <w:t xml:space="preserve"> </w:t>
      </w:r>
      <w:r w:rsidR="00B2702A" w:rsidRPr="00B2702A">
        <w:rPr>
          <w:rFonts w:ascii="Arial" w:hAnsi="Arial" w:cs="Arial"/>
          <w:sz w:val="24"/>
          <w:szCs w:val="24"/>
          <w:lang w:val="en-US"/>
        </w:rPr>
        <w:t>a return</w:t>
      </w:r>
      <w:r w:rsidR="00F55C61" w:rsidRPr="00B2702A">
        <w:rPr>
          <w:rFonts w:ascii="Arial" w:hAnsi="Arial" w:cs="Arial"/>
          <w:sz w:val="24"/>
          <w:szCs w:val="24"/>
          <w:lang w:val="en-US"/>
        </w:rPr>
        <w:t xml:space="preserve"> to </w:t>
      </w:r>
      <w:r w:rsidR="00B2702A">
        <w:rPr>
          <w:rFonts w:ascii="Arial" w:hAnsi="Arial" w:cs="Arial"/>
          <w:sz w:val="24"/>
          <w:szCs w:val="24"/>
          <w:lang w:val="en-US"/>
        </w:rPr>
        <w:t xml:space="preserve">and minor reform of </w:t>
      </w:r>
      <w:r w:rsidR="00F55C61" w:rsidRPr="00B2702A">
        <w:rPr>
          <w:rFonts w:ascii="Arial" w:hAnsi="Arial" w:cs="Arial"/>
          <w:sz w:val="24"/>
          <w:szCs w:val="24"/>
          <w:lang w:val="en-US"/>
        </w:rPr>
        <w:t xml:space="preserve">the traditional rule </w:t>
      </w:r>
      <w:r w:rsidR="00B2702A" w:rsidRPr="00B2702A">
        <w:rPr>
          <w:rFonts w:ascii="Arial" w:hAnsi="Arial" w:cs="Arial"/>
          <w:sz w:val="24"/>
          <w:szCs w:val="24"/>
          <w:lang w:val="en-US"/>
        </w:rPr>
        <w:t>in which</w:t>
      </w:r>
      <w:r w:rsidR="00122EE5">
        <w:rPr>
          <w:rFonts w:ascii="Arial" w:hAnsi="Arial" w:cs="Arial"/>
          <w:sz w:val="24"/>
          <w:szCs w:val="24"/>
          <w:lang w:val="en-US"/>
        </w:rPr>
        <w:t>,</w:t>
      </w:r>
      <w:r w:rsidR="00F55C61" w:rsidRPr="00B2702A">
        <w:rPr>
          <w:rFonts w:ascii="Arial" w:hAnsi="Arial" w:cs="Arial"/>
          <w:sz w:val="24"/>
          <w:szCs w:val="24"/>
          <w:lang w:val="en-US"/>
        </w:rPr>
        <w:t xml:space="preserve"> </w:t>
      </w:r>
      <w:r w:rsidR="00122EE5" w:rsidRPr="00122EE5">
        <w:rPr>
          <w:rFonts w:ascii="Arial" w:hAnsi="Arial" w:cs="Arial"/>
          <w:sz w:val="24"/>
          <w:szCs w:val="24"/>
          <w:lang w:val="en-US"/>
        </w:rPr>
        <w:t xml:space="preserve">subject to a reservation, </w:t>
      </w:r>
      <w:r w:rsidR="00B2702A" w:rsidRPr="00122EE5">
        <w:rPr>
          <w:rFonts w:ascii="Arial" w:hAnsi="Arial" w:cs="Arial"/>
          <w:sz w:val="24"/>
          <w:szCs w:val="24"/>
          <w:lang w:val="en-US"/>
        </w:rPr>
        <w:t xml:space="preserve">a </w:t>
      </w:r>
      <w:r w:rsidR="00F55C61" w:rsidRPr="00122EE5">
        <w:rPr>
          <w:rFonts w:ascii="Arial" w:hAnsi="Arial" w:cs="Arial"/>
          <w:sz w:val="24"/>
          <w:szCs w:val="24"/>
          <w:lang w:val="en-US"/>
        </w:rPr>
        <w:t xml:space="preserve">unanimous </w:t>
      </w:r>
      <w:r w:rsidR="00B2702A" w:rsidRPr="00122EE5">
        <w:rPr>
          <w:rFonts w:ascii="Arial" w:hAnsi="Arial" w:cs="Arial"/>
          <w:sz w:val="24"/>
          <w:szCs w:val="24"/>
          <w:lang w:val="en-US"/>
        </w:rPr>
        <w:t>decision</w:t>
      </w:r>
      <w:r w:rsidR="00F55C61" w:rsidRPr="00122EE5">
        <w:rPr>
          <w:rFonts w:ascii="Arial" w:hAnsi="Arial" w:cs="Arial"/>
          <w:sz w:val="24"/>
          <w:szCs w:val="24"/>
          <w:lang w:val="en-US"/>
        </w:rPr>
        <w:t xml:space="preserve"> </w:t>
      </w:r>
      <w:r w:rsidR="00B2702A" w:rsidRPr="00122EE5">
        <w:rPr>
          <w:rFonts w:ascii="Arial" w:hAnsi="Arial" w:cs="Arial"/>
          <w:sz w:val="24"/>
          <w:szCs w:val="24"/>
          <w:lang w:val="en-US"/>
        </w:rPr>
        <w:t>necessitated a state’s admission to b</w:t>
      </w:r>
      <w:r w:rsidR="00122EE5" w:rsidRPr="00122EE5">
        <w:rPr>
          <w:rFonts w:ascii="Arial" w:hAnsi="Arial" w:cs="Arial"/>
          <w:sz w:val="24"/>
          <w:szCs w:val="24"/>
          <w:lang w:val="en-US"/>
        </w:rPr>
        <w:t>ecoming</w:t>
      </w:r>
      <w:r w:rsidR="00B2702A" w:rsidRPr="00122EE5">
        <w:rPr>
          <w:rFonts w:ascii="Arial" w:hAnsi="Arial" w:cs="Arial"/>
          <w:sz w:val="24"/>
          <w:szCs w:val="24"/>
          <w:lang w:val="en-US"/>
        </w:rPr>
        <w:t xml:space="preserve"> </w:t>
      </w:r>
      <w:r w:rsidR="00F55C61" w:rsidRPr="00122EE5">
        <w:rPr>
          <w:rFonts w:ascii="Arial" w:hAnsi="Arial" w:cs="Arial"/>
          <w:sz w:val="24"/>
          <w:szCs w:val="24"/>
          <w:lang w:val="en-US"/>
        </w:rPr>
        <w:t>party to a treaty</w:t>
      </w:r>
      <w:r w:rsidR="00B2702A" w:rsidRPr="00122EE5">
        <w:rPr>
          <w:rFonts w:ascii="Arial" w:hAnsi="Arial" w:cs="Arial"/>
          <w:sz w:val="24"/>
          <w:szCs w:val="24"/>
          <w:lang w:val="en-US"/>
        </w:rPr>
        <w:t>.</w:t>
      </w:r>
      <w:r w:rsidR="00C14849" w:rsidRPr="00122EE5">
        <w:rPr>
          <w:rStyle w:val="FootnoteReference"/>
          <w:rFonts w:ascii="Arial" w:hAnsi="Arial" w:cs="Arial"/>
          <w:sz w:val="24"/>
          <w:szCs w:val="24"/>
          <w:lang w:val="en-US"/>
        </w:rPr>
        <w:footnoteReference w:id="87"/>
      </w:r>
    </w:p>
    <w:p w14:paraId="31B59EB8" w14:textId="2EB8AE6F" w:rsidR="00F55C61" w:rsidRPr="00752F14" w:rsidRDefault="00490EAB" w:rsidP="00401E4C">
      <w:pPr>
        <w:spacing w:line="480" w:lineRule="auto"/>
        <w:rPr>
          <w:rFonts w:ascii="Arial" w:hAnsi="Arial" w:cs="Arial"/>
          <w:sz w:val="24"/>
          <w:szCs w:val="24"/>
          <w:lang w:val="en-US"/>
        </w:rPr>
      </w:pPr>
      <w:r w:rsidRPr="00752F14">
        <w:rPr>
          <w:rFonts w:ascii="Arial" w:hAnsi="Arial" w:cs="Arial"/>
          <w:sz w:val="24"/>
          <w:szCs w:val="24"/>
          <w:lang w:val="en-US"/>
        </w:rPr>
        <w:t xml:space="preserve">The </w:t>
      </w:r>
      <w:r w:rsidR="00B42136">
        <w:rPr>
          <w:rFonts w:ascii="Arial" w:hAnsi="Arial" w:cs="Arial"/>
          <w:sz w:val="24"/>
          <w:szCs w:val="24"/>
          <w:lang w:val="en-US"/>
        </w:rPr>
        <w:t xml:space="preserve">UN </w:t>
      </w:r>
      <w:r w:rsidRPr="00752F14">
        <w:rPr>
          <w:rFonts w:ascii="Arial" w:hAnsi="Arial" w:cs="Arial"/>
          <w:sz w:val="24"/>
          <w:szCs w:val="24"/>
          <w:lang w:val="en-US"/>
        </w:rPr>
        <w:t>General Assembly was divided over what it saw as ‘a deliberately neutral procedural resolution’ from the ILC.</w:t>
      </w:r>
      <w:r w:rsidRPr="00752F14">
        <w:rPr>
          <w:rStyle w:val="FootnoteReference"/>
          <w:rFonts w:ascii="Arial" w:hAnsi="Arial" w:cs="Arial"/>
          <w:sz w:val="24"/>
          <w:szCs w:val="24"/>
          <w:lang w:val="en-US"/>
        </w:rPr>
        <w:footnoteReference w:id="88"/>
      </w:r>
      <w:r w:rsidR="000869B0">
        <w:rPr>
          <w:rFonts w:ascii="Arial" w:hAnsi="Arial" w:cs="Arial"/>
          <w:sz w:val="24"/>
          <w:szCs w:val="24"/>
          <w:lang w:val="en-US"/>
        </w:rPr>
        <w:t xml:space="preserve"> The ILC was expected to continue re</w:t>
      </w:r>
      <w:r w:rsidR="005756F5">
        <w:rPr>
          <w:rFonts w:ascii="Arial" w:hAnsi="Arial" w:cs="Arial"/>
          <w:sz w:val="24"/>
          <w:szCs w:val="24"/>
          <w:lang w:val="en-US"/>
        </w:rPr>
        <w:t>-</w:t>
      </w:r>
      <w:r w:rsidR="000869B0">
        <w:rPr>
          <w:rFonts w:ascii="Arial" w:hAnsi="Arial" w:cs="Arial"/>
          <w:sz w:val="24"/>
          <w:szCs w:val="24"/>
          <w:lang w:val="en-US"/>
        </w:rPr>
        <w:t>examining reservations to multilateral treaties</w:t>
      </w:r>
      <w:r w:rsidR="006B5AD0">
        <w:rPr>
          <w:rFonts w:ascii="Arial" w:hAnsi="Arial" w:cs="Arial"/>
          <w:sz w:val="24"/>
          <w:szCs w:val="24"/>
          <w:lang w:val="en-US"/>
        </w:rPr>
        <w:t xml:space="preserve"> for future use in developing the law of treaties. </w:t>
      </w:r>
      <w:r w:rsidR="00826EEC">
        <w:rPr>
          <w:rFonts w:ascii="Arial" w:hAnsi="Arial" w:cs="Arial"/>
          <w:sz w:val="24"/>
          <w:szCs w:val="24"/>
          <w:lang w:val="en-US"/>
        </w:rPr>
        <w:t>ILC Special Rapporteurs on the law of treaties Lauterpacht and Fitzmaurice</w:t>
      </w:r>
      <w:r w:rsidR="002614D5">
        <w:rPr>
          <w:rFonts w:ascii="Arial" w:hAnsi="Arial" w:cs="Arial"/>
          <w:sz w:val="24"/>
          <w:szCs w:val="24"/>
          <w:lang w:val="en-US"/>
        </w:rPr>
        <w:t xml:space="preserve"> both added</w:t>
      </w:r>
      <w:r w:rsidR="00826EEC">
        <w:rPr>
          <w:rFonts w:ascii="Arial" w:hAnsi="Arial" w:cs="Arial"/>
          <w:sz w:val="24"/>
          <w:szCs w:val="24"/>
          <w:lang w:val="en-US"/>
        </w:rPr>
        <w:t xml:space="preserve"> </w:t>
      </w:r>
      <w:r w:rsidR="002614D5" w:rsidRPr="00714BB7">
        <w:rPr>
          <w:rFonts w:ascii="Arial" w:hAnsi="Arial" w:cs="Arial"/>
          <w:sz w:val="24"/>
          <w:szCs w:val="24"/>
          <w:lang w:val="en-US"/>
        </w:rPr>
        <w:t>amendments to their propositions</w:t>
      </w:r>
      <w:r w:rsidR="002614D5" w:rsidRPr="002614D5">
        <w:rPr>
          <w:rFonts w:ascii="Arial" w:hAnsi="Arial" w:cs="Arial"/>
          <w:color w:val="FF0000"/>
          <w:sz w:val="24"/>
          <w:szCs w:val="24"/>
          <w:lang w:val="en-US"/>
        </w:rPr>
        <w:t xml:space="preserve"> </w:t>
      </w:r>
      <w:r w:rsidR="00714BB7" w:rsidRPr="00714BB7">
        <w:rPr>
          <w:rFonts w:ascii="Arial" w:hAnsi="Arial" w:cs="Arial"/>
          <w:sz w:val="24"/>
          <w:szCs w:val="24"/>
          <w:lang w:val="en-US"/>
        </w:rPr>
        <w:t xml:space="preserve">founded </w:t>
      </w:r>
      <w:r w:rsidR="002614D5" w:rsidRPr="00714BB7">
        <w:rPr>
          <w:rFonts w:ascii="Arial" w:hAnsi="Arial" w:cs="Arial"/>
          <w:sz w:val="24"/>
          <w:szCs w:val="24"/>
          <w:lang w:val="en-US"/>
        </w:rPr>
        <w:t xml:space="preserve">on the </w:t>
      </w:r>
      <w:r w:rsidR="00714BB7" w:rsidRPr="00714BB7">
        <w:rPr>
          <w:rFonts w:ascii="Arial" w:hAnsi="Arial" w:cs="Arial"/>
          <w:sz w:val="24"/>
          <w:szCs w:val="24"/>
          <w:lang w:val="en-US"/>
        </w:rPr>
        <w:t>previous</w:t>
      </w:r>
      <w:r w:rsidR="002614D5" w:rsidRPr="00714BB7">
        <w:rPr>
          <w:rFonts w:ascii="Arial" w:hAnsi="Arial" w:cs="Arial"/>
          <w:sz w:val="24"/>
          <w:szCs w:val="24"/>
          <w:lang w:val="en-US"/>
        </w:rPr>
        <w:t xml:space="preserve"> unanimity rule</w:t>
      </w:r>
      <w:r w:rsidR="002614D5" w:rsidRPr="002614D5">
        <w:rPr>
          <w:rFonts w:ascii="Arial" w:hAnsi="Arial" w:cs="Arial"/>
          <w:color w:val="FF0000"/>
          <w:sz w:val="24"/>
          <w:szCs w:val="24"/>
          <w:lang w:val="en-US"/>
        </w:rPr>
        <w:t xml:space="preserve"> </w:t>
      </w:r>
      <w:r w:rsidR="002614D5" w:rsidRPr="002614D5">
        <w:rPr>
          <w:rFonts w:ascii="Arial" w:hAnsi="Arial" w:cs="Arial"/>
          <w:sz w:val="24"/>
          <w:szCs w:val="24"/>
          <w:lang w:val="en-US"/>
        </w:rPr>
        <w:t>in order to</w:t>
      </w:r>
      <w:r w:rsidR="002614D5">
        <w:rPr>
          <w:rFonts w:ascii="Arial" w:hAnsi="Arial" w:cs="Arial"/>
          <w:sz w:val="24"/>
          <w:szCs w:val="24"/>
          <w:lang w:val="en-US"/>
        </w:rPr>
        <w:t xml:space="preserve"> make the reservation system more flexible.</w:t>
      </w:r>
      <w:r w:rsidR="000F3748">
        <w:rPr>
          <w:rStyle w:val="FootnoteReference"/>
          <w:rFonts w:ascii="Arial" w:hAnsi="Arial" w:cs="Arial"/>
          <w:sz w:val="24"/>
          <w:szCs w:val="24"/>
          <w:lang w:val="en-US"/>
        </w:rPr>
        <w:footnoteReference w:id="89"/>
      </w:r>
      <w:r w:rsidR="002614D5" w:rsidRPr="002614D5">
        <w:rPr>
          <w:rFonts w:ascii="Arial" w:hAnsi="Arial" w:cs="Arial"/>
          <w:color w:val="FF0000"/>
          <w:sz w:val="24"/>
          <w:szCs w:val="24"/>
          <w:lang w:val="en-US"/>
        </w:rPr>
        <w:t xml:space="preserve"> </w:t>
      </w:r>
      <w:r w:rsidR="00435E70" w:rsidRPr="009E7A43">
        <w:rPr>
          <w:rFonts w:ascii="Arial" w:hAnsi="Arial" w:cs="Arial"/>
          <w:sz w:val="24"/>
          <w:szCs w:val="24"/>
          <w:lang w:val="en-US"/>
        </w:rPr>
        <w:t xml:space="preserve">After considering further proposals by Special Rapporteur Waldock, who proposed that </w:t>
      </w:r>
      <w:r w:rsidR="00BA6693" w:rsidRPr="009E7A43">
        <w:rPr>
          <w:rFonts w:ascii="Arial" w:hAnsi="Arial" w:cs="Arial"/>
          <w:sz w:val="24"/>
          <w:szCs w:val="24"/>
          <w:lang w:val="en-US"/>
        </w:rPr>
        <w:t xml:space="preserve">a flexible system </w:t>
      </w:r>
      <w:r w:rsidR="00281895" w:rsidRPr="009E7A43">
        <w:rPr>
          <w:rFonts w:ascii="Arial" w:hAnsi="Arial" w:cs="Arial"/>
          <w:sz w:val="24"/>
          <w:szCs w:val="24"/>
          <w:lang w:val="en-US"/>
        </w:rPr>
        <w:t>might</w:t>
      </w:r>
      <w:r w:rsidR="00BA6693" w:rsidRPr="009E7A43">
        <w:rPr>
          <w:rFonts w:ascii="Arial" w:hAnsi="Arial" w:cs="Arial"/>
          <w:sz w:val="24"/>
          <w:szCs w:val="24"/>
          <w:lang w:val="en-US"/>
        </w:rPr>
        <w:t xml:space="preserve"> encourage </w:t>
      </w:r>
      <w:r w:rsidR="009E7A43" w:rsidRPr="009E7A43">
        <w:rPr>
          <w:rFonts w:ascii="Arial" w:hAnsi="Arial" w:cs="Arial"/>
          <w:sz w:val="24"/>
          <w:szCs w:val="24"/>
          <w:lang w:val="en-US"/>
        </w:rPr>
        <w:t>the requirement of a reserving state to remain tied to the convention regarding any other contracting state that did not signal its objection to the reservation</w:t>
      </w:r>
      <w:r w:rsidR="00435E70" w:rsidRPr="009E7A43">
        <w:rPr>
          <w:rFonts w:ascii="Arial" w:hAnsi="Arial" w:cs="Arial"/>
          <w:sz w:val="24"/>
          <w:szCs w:val="24"/>
          <w:lang w:val="en-US"/>
        </w:rPr>
        <w:t>,</w:t>
      </w:r>
      <w:r w:rsidR="009E7A43">
        <w:rPr>
          <w:rStyle w:val="FootnoteReference"/>
          <w:rFonts w:ascii="Arial" w:hAnsi="Arial" w:cs="Arial"/>
          <w:sz w:val="24"/>
          <w:szCs w:val="24"/>
          <w:lang w:val="en-US"/>
        </w:rPr>
        <w:footnoteReference w:id="90"/>
      </w:r>
      <w:r w:rsidR="00435E70" w:rsidRPr="009E7A43">
        <w:rPr>
          <w:rFonts w:ascii="Arial" w:hAnsi="Arial" w:cs="Arial"/>
          <w:sz w:val="24"/>
          <w:szCs w:val="24"/>
          <w:lang w:val="en-US"/>
        </w:rPr>
        <w:t xml:space="preserve"> the ILC submitted another report to the General Assembly in which it doubled down on many of the previous positions it had taken in its 1951 report.</w:t>
      </w:r>
      <w:r w:rsidR="009E7A43">
        <w:rPr>
          <w:rStyle w:val="FootnoteReference"/>
          <w:rFonts w:ascii="Arial" w:hAnsi="Arial" w:cs="Arial"/>
          <w:sz w:val="24"/>
          <w:szCs w:val="24"/>
          <w:lang w:val="en-US"/>
        </w:rPr>
        <w:footnoteReference w:id="91"/>
      </w:r>
      <w:r w:rsidR="00435E70" w:rsidRPr="009E7A43">
        <w:rPr>
          <w:rFonts w:ascii="Arial" w:hAnsi="Arial" w:cs="Arial"/>
          <w:sz w:val="24"/>
          <w:szCs w:val="24"/>
          <w:lang w:val="en-US"/>
        </w:rPr>
        <w:t xml:space="preserve"> </w:t>
      </w:r>
      <w:r w:rsidR="00F17A7D" w:rsidRPr="009E7A43">
        <w:rPr>
          <w:rFonts w:ascii="Arial" w:hAnsi="Arial" w:cs="Arial"/>
          <w:sz w:val="24"/>
          <w:szCs w:val="24"/>
          <w:lang w:val="en-US"/>
        </w:rPr>
        <w:t>Howeve</w:t>
      </w:r>
      <w:r w:rsidR="00FA2749" w:rsidRPr="009E7A43">
        <w:rPr>
          <w:rFonts w:ascii="Arial" w:hAnsi="Arial" w:cs="Arial"/>
          <w:sz w:val="24"/>
          <w:szCs w:val="24"/>
          <w:lang w:val="en-US"/>
        </w:rPr>
        <w:t>r, there was</w:t>
      </w:r>
      <w:r w:rsidR="00F17A7D" w:rsidRPr="009E7A43">
        <w:rPr>
          <w:rFonts w:ascii="Arial" w:hAnsi="Arial" w:cs="Arial"/>
          <w:sz w:val="24"/>
          <w:szCs w:val="24"/>
          <w:lang w:val="en-US"/>
        </w:rPr>
        <w:t xml:space="preserve"> still</w:t>
      </w:r>
      <w:r w:rsidR="00FA2749" w:rsidRPr="009E7A43">
        <w:rPr>
          <w:rFonts w:ascii="Arial" w:hAnsi="Arial" w:cs="Arial"/>
          <w:sz w:val="24"/>
          <w:szCs w:val="24"/>
          <w:lang w:val="en-US"/>
        </w:rPr>
        <w:t xml:space="preserve"> much further research on reservations </w:t>
      </w:r>
      <w:r w:rsidR="00A01F70">
        <w:rPr>
          <w:rFonts w:ascii="Arial" w:hAnsi="Arial" w:cs="Arial"/>
          <w:sz w:val="24"/>
          <w:szCs w:val="24"/>
          <w:lang w:val="en-US"/>
        </w:rPr>
        <w:t xml:space="preserve">to treaties </w:t>
      </w:r>
      <w:r w:rsidR="00FA2749" w:rsidRPr="009E7A43">
        <w:rPr>
          <w:rFonts w:ascii="Arial" w:hAnsi="Arial" w:cs="Arial"/>
          <w:sz w:val="24"/>
          <w:szCs w:val="24"/>
          <w:lang w:val="en-US"/>
        </w:rPr>
        <w:t xml:space="preserve">that needed to be </w:t>
      </w:r>
      <w:r w:rsidR="00A01F70">
        <w:rPr>
          <w:rFonts w:ascii="Arial" w:hAnsi="Arial" w:cs="Arial"/>
          <w:sz w:val="24"/>
          <w:szCs w:val="24"/>
          <w:lang w:val="en-US"/>
        </w:rPr>
        <w:t>conducted.</w:t>
      </w:r>
    </w:p>
    <w:p w14:paraId="499FF7C9" w14:textId="6E898790" w:rsidR="00516C50" w:rsidRPr="00A34D67" w:rsidRDefault="00516C50" w:rsidP="00401E4C">
      <w:pPr>
        <w:spacing w:line="480" w:lineRule="auto"/>
        <w:rPr>
          <w:rFonts w:ascii="Arial" w:hAnsi="Arial" w:cs="Arial"/>
          <w:color w:val="FF0000"/>
          <w:sz w:val="24"/>
          <w:szCs w:val="24"/>
          <w:lang w:val="en-US"/>
        </w:rPr>
      </w:pPr>
      <w:r w:rsidRPr="00A34D67">
        <w:rPr>
          <w:rFonts w:ascii="Arial" w:hAnsi="Arial" w:cs="Arial"/>
          <w:sz w:val="24"/>
          <w:szCs w:val="24"/>
          <w:lang w:val="en-US"/>
        </w:rPr>
        <w:t>In 1993, th</w:t>
      </w:r>
      <w:r w:rsidR="0047700C" w:rsidRPr="00A34D67">
        <w:rPr>
          <w:rFonts w:ascii="Arial" w:hAnsi="Arial" w:cs="Arial"/>
          <w:sz w:val="24"/>
          <w:szCs w:val="24"/>
          <w:lang w:val="en-US"/>
        </w:rPr>
        <w:t>e ILC</w:t>
      </w:r>
      <w:r w:rsidRPr="00A34D67">
        <w:rPr>
          <w:rFonts w:ascii="Arial" w:hAnsi="Arial" w:cs="Arial"/>
          <w:sz w:val="24"/>
          <w:szCs w:val="24"/>
          <w:lang w:val="en-US"/>
        </w:rPr>
        <w:t xml:space="preserve"> </w:t>
      </w:r>
      <w:r w:rsidR="00176E70" w:rsidRPr="00A34D67">
        <w:rPr>
          <w:rFonts w:ascii="Arial" w:hAnsi="Arial" w:cs="Arial"/>
          <w:sz w:val="24"/>
          <w:szCs w:val="24"/>
          <w:lang w:val="en-US"/>
        </w:rPr>
        <w:t>resolved</w:t>
      </w:r>
      <w:r w:rsidRPr="00A34D67">
        <w:rPr>
          <w:rFonts w:ascii="Arial" w:hAnsi="Arial" w:cs="Arial"/>
          <w:sz w:val="24"/>
          <w:szCs w:val="24"/>
          <w:lang w:val="en-US"/>
        </w:rPr>
        <w:t xml:space="preserve"> to draft guidelines on reservations to treaties.</w:t>
      </w:r>
      <w:r w:rsidRPr="00A34D67">
        <w:rPr>
          <w:rFonts w:ascii="Arial" w:hAnsi="Arial" w:cs="Arial"/>
          <w:color w:val="FF0000"/>
          <w:sz w:val="24"/>
          <w:szCs w:val="24"/>
          <w:lang w:val="en-US"/>
        </w:rPr>
        <w:t xml:space="preserve"> </w:t>
      </w:r>
      <w:r w:rsidR="00591612" w:rsidRPr="00A34D67">
        <w:rPr>
          <w:rFonts w:ascii="Arial" w:hAnsi="Arial" w:cs="Arial"/>
          <w:sz w:val="24"/>
          <w:szCs w:val="24"/>
          <w:lang w:val="en-US"/>
        </w:rPr>
        <w:t>In these guidelines, the Commission decided that ‘a unilateral statement by which a state purports to exclude the application of the treaty or some of its provisions to a territory to which that treaty would be applicable in the absence of such a statement constitutes a reservation’.</w:t>
      </w:r>
      <w:r w:rsidR="00591612" w:rsidRPr="00A34D67">
        <w:rPr>
          <w:rStyle w:val="FootnoteReference"/>
          <w:rFonts w:ascii="Arial" w:hAnsi="Arial" w:cs="Arial"/>
          <w:sz w:val="24"/>
          <w:szCs w:val="24"/>
          <w:lang w:val="en-US"/>
        </w:rPr>
        <w:footnoteReference w:id="92"/>
      </w:r>
      <w:r w:rsidR="002019BF" w:rsidRPr="00A34D67">
        <w:rPr>
          <w:rFonts w:ascii="Arial" w:hAnsi="Arial" w:cs="Arial"/>
          <w:sz w:val="24"/>
          <w:szCs w:val="24"/>
          <w:lang w:val="en-US"/>
        </w:rPr>
        <w:t xml:space="preserve"> </w:t>
      </w:r>
      <w:r w:rsidRPr="00A34D67">
        <w:rPr>
          <w:rFonts w:ascii="Arial" w:hAnsi="Arial" w:cs="Arial"/>
          <w:sz w:val="24"/>
          <w:szCs w:val="24"/>
          <w:lang w:val="en-US"/>
        </w:rPr>
        <w:t xml:space="preserve">However, the </w:t>
      </w:r>
      <w:r w:rsidR="00560C56" w:rsidRPr="00A34D67">
        <w:rPr>
          <w:rFonts w:ascii="Arial" w:hAnsi="Arial" w:cs="Arial"/>
          <w:sz w:val="24"/>
          <w:szCs w:val="24"/>
          <w:lang w:val="en-US"/>
        </w:rPr>
        <w:t xml:space="preserve">ILC </w:t>
      </w:r>
      <w:r w:rsidRPr="00A34D67">
        <w:rPr>
          <w:rFonts w:ascii="Arial" w:hAnsi="Arial" w:cs="Arial"/>
          <w:sz w:val="24"/>
          <w:szCs w:val="24"/>
          <w:lang w:val="en-US"/>
        </w:rPr>
        <w:t xml:space="preserve">guidelines scarcely mention any of the human rights advancements of the 1990s in any great detail. </w:t>
      </w:r>
      <w:r w:rsidR="00560C56" w:rsidRPr="00A34D67">
        <w:rPr>
          <w:rFonts w:ascii="Arial" w:hAnsi="Arial" w:cs="Arial"/>
          <w:sz w:val="24"/>
          <w:szCs w:val="24"/>
          <w:lang w:val="en-US"/>
        </w:rPr>
        <w:t>To address the</w:t>
      </w:r>
      <w:r w:rsidRPr="00A34D67">
        <w:rPr>
          <w:rFonts w:ascii="Arial" w:hAnsi="Arial" w:cs="Arial"/>
          <w:sz w:val="24"/>
          <w:szCs w:val="24"/>
          <w:lang w:val="en-US"/>
        </w:rPr>
        <w:t xml:space="preserve"> issue as to whether </w:t>
      </w:r>
      <w:r w:rsidRPr="00A34D67">
        <w:rPr>
          <w:rFonts w:ascii="Arial" w:hAnsi="Arial" w:cs="Arial"/>
          <w:sz w:val="24"/>
          <w:szCs w:val="24"/>
        </w:rPr>
        <w:t xml:space="preserve">the ILC has </w:t>
      </w:r>
      <w:r w:rsidR="00B35B50" w:rsidRPr="00A34D67">
        <w:rPr>
          <w:rFonts w:ascii="Arial" w:hAnsi="Arial" w:cs="Arial"/>
          <w:sz w:val="24"/>
          <w:szCs w:val="24"/>
        </w:rPr>
        <w:t xml:space="preserve">officially </w:t>
      </w:r>
      <w:r w:rsidRPr="00A34D67">
        <w:rPr>
          <w:rFonts w:ascii="Arial" w:hAnsi="Arial" w:cs="Arial"/>
          <w:sz w:val="24"/>
          <w:szCs w:val="24"/>
        </w:rPr>
        <w:t>acknowledged these human rights developments</w:t>
      </w:r>
      <w:r w:rsidRPr="00A34D67">
        <w:rPr>
          <w:rFonts w:ascii="Arial" w:hAnsi="Arial" w:cs="Arial"/>
          <w:color w:val="FF0000"/>
          <w:sz w:val="24"/>
          <w:szCs w:val="24"/>
          <w:lang w:val="en-US"/>
        </w:rPr>
        <w:t xml:space="preserve"> </w:t>
      </w:r>
      <w:r w:rsidR="00560C56" w:rsidRPr="007452CB">
        <w:rPr>
          <w:rFonts w:ascii="Arial" w:hAnsi="Arial" w:cs="Arial"/>
          <w:sz w:val="24"/>
          <w:szCs w:val="24"/>
          <w:lang w:val="en-US"/>
        </w:rPr>
        <w:t>we must examine the evidence offered by the strong proponents on both sides of the debate.</w:t>
      </w:r>
      <w:r w:rsidR="00560C56" w:rsidRPr="00A34D67">
        <w:rPr>
          <w:rFonts w:ascii="Arial" w:hAnsi="Arial" w:cs="Arial"/>
          <w:sz w:val="24"/>
          <w:szCs w:val="24"/>
          <w:lang w:val="en-US"/>
        </w:rPr>
        <w:t xml:space="preserve"> </w:t>
      </w:r>
    </w:p>
    <w:p w14:paraId="792C031B" w14:textId="2EEECAC1" w:rsidR="00890427" w:rsidRPr="00A34D67" w:rsidRDefault="00176E70" w:rsidP="00401E4C">
      <w:pPr>
        <w:spacing w:line="480" w:lineRule="auto"/>
        <w:rPr>
          <w:rFonts w:ascii="Arial" w:hAnsi="Arial" w:cs="Arial"/>
          <w:sz w:val="24"/>
          <w:szCs w:val="24"/>
          <w:lang w:val="en-US"/>
        </w:rPr>
      </w:pPr>
      <w:r w:rsidRPr="00A34D67">
        <w:rPr>
          <w:rFonts w:ascii="Arial" w:hAnsi="Arial" w:cs="Arial"/>
          <w:sz w:val="24"/>
          <w:szCs w:val="24"/>
          <w:lang w:val="en-US"/>
        </w:rPr>
        <w:t xml:space="preserve">In order to adequately assess the issue of reservations, the ILC </w:t>
      </w:r>
      <w:r w:rsidR="005E5AC7" w:rsidRPr="00A34D67">
        <w:rPr>
          <w:rFonts w:ascii="Arial" w:hAnsi="Arial" w:cs="Arial"/>
          <w:sz w:val="24"/>
          <w:szCs w:val="24"/>
          <w:lang w:val="en-US"/>
        </w:rPr>
        <w:t>appointed a Special Rapporteur</w:t>
      </w:r>
      <w:r w:rsidR="00135A13" w:rsidRPr="00A34D67">
        <w:rPr>
          <w:rFonts w:ascii="Arial" w:hAnsi="Arial" w:cs="Arial"/>
          <w:sz w:val="24"/>
          <w:szCs w:val="24"/>
          <w:lang w:val="en-US"/>
        </w:rPr>
        <w:t xml:space="preserve"> named Alain Pellet</w:t>
      </w:r>
      <w:r w:rsidRPr="00A34D67">
        <w:rPr>
          <w:rFonts w:ascii="Arial" w:hAnsi="Arial" w:cs="Arial"/>
          <w:sz w:val="24"/>
          <w:szCs w:val="24"/>
          <w:lang w:val="en-US"/>
        </w:rPr>
        <w:t xml:space="preserve"> </w:t>
      </w:r>
      <w:r w:rsidR="005E5AC7" w:rsidRPr="00A34D67">
        <w:rPr>
          <w:rFonts w:ascii="Arial" w:hAnsi="Arial" w:cs="Arial"/>
          <w:sz w:val="24"/>
          <w:szCs w:val="24"/>
          <w:lang w:val="en-US"/>
        </w:rPr>
        <w:t xml:space="preserve">to </w:t>
      </w:r>
      <w:r w:rsidRPr="00A34D67">
        <w:rPr>
          <w:rFonts w:ascii="Arial" w:hAnsi="Arial" w:cs="Arial"/>
          <w:sz w:val="24"/>
          <w:szCs w:val="24"/>
          <w:lang w:val="en-US"/>
        </w:rPr>
        <w:t>study the subject</w:t>
      </w:r>
      <w:r w:rsidR="006A7526" w:rsidRPr="00A34D67">
        <w:rPr>
          <w:rFonts w:ascii="Arial" w:hAnsi="Arial" w:cs="Arial"/>
          <w:sz w:val="24"/>
          <w:szCs w:val="24"/>
          <w:lang w:val="en-US"/>
        </w:rPr>
        <w:t xml:space="preserve"> in 1994</w:t>
      </w:r>
      <w:r w:rsidRPr="00A34D67">
        <w:rPr>
          <w:rFonts w:ascii="Arial" w:hAnsi="Arial" w:cs="Arial"/>
          <w:sz w:val="24"/>
          <w:szCs w:val="24"/>
          <w:lang w:val="en-US"/>
        </w:rPr>
        <w:t>.</w:t>
      </w:r>
      <w:r w:rsidRPr="00A34D67">
        <w:rPr>
          <w:rStyle w:val="FootnoteReference"/>
          <w:rFonts w:ascii="Arial" w:hAnsi="Arial" w:cs="Arial"/>
          <w:sz w:val="24"/>
          <w:szCs w:val="24"/>
          <w:lang w:val="en-US"/>
        </w:rPr>
        <w:footnoteReference w:id="93"/>
      </w:r>
      <w:r w:rsidRPr="00A34D67">
        <w:rPr>
          <w:rFonts w:ascii="Arial" w:hAnsi="Arial" w:cs="Arial"/>
          <w:sz w:val="24"/>
          <w:szCs w:val="24"/>
          <w:lang w:val="en-US"/>
        </w:rPr>
        <w:t xml:space="preserve"> </w:t>
      </w:r>
      <w:r w:rsidR="006A7526" w:rsidRPr="00A34D67">
        <w:rPr>
          <w:rFonts w:ascii="Arial" w:hAnsi="Arial" w:cs="Arial"/>
          <w:sz w:val="24"/>
          <w:szCs w:val="24"/>
          <w:lang w:val="en-US"/>
        </w:rPr>
        <w:t>Three years later</w:t>
      </w:r>
      <w:r w:rsidR="00B05411" w:rsidRPr="00A34D67">
        <w:rPr>
          <w:rFonts w:ascii="Arial" w:hAnsi="Arial" w:cs="Arial"/>
          <w:sz w:val="24"/>
          <w:szCs w:val="24"/>
          <w:lang w:val="en-US"/>
        </w:rPr>
        <w:t xml:space="preserve"> (</w:t>
      </w:r>
      <w:r w:rsidR="00111C69" w:rsidRPr="00A34D67">
        <w:rPr>
          <w:rFonts w:ascii="Arial" w:hAnsi="Arial" w:cs="Arial"/>
          <w:sz w:val="24"/>
          <w:szCs w:val="24"/>
          <w:lang w:val="en-US"/>
        </w:rPr>
        <w:t>during which time</w:t>
      </w:r>
      <w:r w:rsidR="00B05411" w:rsidRPr="00A34D67">
        <w:rPr>
          <w:rFonts w:ascii="Arial" w:hAnsi="Arial" w:cs="Arial"/>
          <w:sz w:val="24"/>
          <w:szCs w:val="24"/>
          <w:lang w:val="en-US"/>
        </w:rPr>
        <w:t>,</w:t>
      </w:r>
      <w:r w:rsidR="00111C69" w:rsidRPr="00A34D67">
        <w:rPr>
          <w:rFonts w:ascii="Arial" w:hAnsi="Arial" w:cs="Arial"/>
          <w:sz w:val="24"/>
          <w:szCs w:val="24"/>
          <w:lang w:val="en-US"/>
        </w:rPr>
        <w:t xml:space="preserve"> </w:t>
      </w:r>
      <w:r w:rsidR="00B05411" w:rsidRPr="00A34D67">
        <w:rPr>
          <w:rFonts w:ascii="Arial" w:hAnsi="Arial" w:cs="Arial"/>
          <w:sz w:val="24"/>
          <w:szCs w:val="24"/>
          <w:lang w:val="en-US"/>
        </w:rPr>
        <w:t xml:space="preserve">the reservations dispute had been addressed by </w:t>
      </w:r>
      <w:r w:rsidR="00B05411" w:rsidRPr="00A34D67">
        <w:rPr>
          <w:rFonts w:ascii="Arial" w:hAnsi="Arial" w:cs="Arial"/>
          <w:i/>
          <w:sz w:val="24"/>
          <w:szCs w:val="24"/>
          <w:lang w:val="en-US"/>
        </w:rPr>
        <w:t>General Comment No. 24</w:t>
      </w:r>
      <w:r w:rsidR="00B05411" w:rsidRPr="00A34D67">
        <w:rPr>
          <w:rFonts w:ascii="Arial" w:hAnsi="Arial" w:cs="Arial"/>
          <w:sz w:val="24"/>
          <w:szCs w:val="24"/>
          <w:lang w:val="en-US"/>
        </w:rPr>
        <w:t>),</w:t>
      </w:r>
      <w:r w:rsidR="00B05411" w:rsidRPr="00A34D67">
        <w:rPr>
          <w:rStyle w:val="FootnoteReference"/>
          <w:rFonts w:ascii="Arial" w:hAnsi="Arial" w:cs="Arial"/>
          <w:sz w:val="24"/>
          <w:szCs w:val="24"/>
          <w:lang w:val="en-US"/>
        </w:rPr>
        <w:footnoteReference w:id="94"/>
      </w:r>
      <w:r w:rsidR="00B05411" w:rsidRPr="00A34D67">
        <w:rPr>
          <w:rFonts w:ascii="Arial" w:hAnsi="Arial" w:cs="Arial"/>
          <w:sz w:val="24"/>
          <w:szCs w:val="24"/>
          <w:lang w:val="en-US"/>
        </w:rPr>
        <w:t xml:space="preserve"> </w:t>
      </w:r>
      <w:r w:rsidR="005E5AC7" w:rsidRPr="00A34D67">
        <w:rPr>
          <w:rFonts w:ascii="Arial" w:hAnsi="Arial" w:cs="Arial"/>
          <w:sz w:val="24"/>
          <w:szCs w:val="24"/>
          <w:lang w:val="en-US"/>
        </w:rPr>
        <w:t xml:space="preserve">the ILC </w:t>
      </w:r>
      <w:r w:rsidR="006A7526" w:rsidRPr="00A34D67">
        <w:rPr>
          <w:rFonts w:ascii="Arial" w:hAnsi="Arial" w:cs="Arial"/>
          <w:sz w:val="24"/>
          <w:szCs w:val="24"/>
          <w:lang w:val="en-US"/>
        </w:rPr>
        <w:t>examined a second report prepared by</w:t>
      </w:r>
      <w:r w:rsidR="005E5AC7" w:rsidRPr="00A34D67">
        <w:rPr>
          <w:rFonts w:ascii="Arial" w:hAnsi="Arial" w:cs="Arial"/>
          <w:sz w:val="24"/>
          <w:szCs w:val="24"/>
          <w:lang w:val="en-US"/>
        </w:rPr>
        <w:t xml:space="preserve"> the Special Rapporteur's second report.</w:t>
      </w:r>
      <w:r w:rsidR="00990B46" w:rsidRPr="00A34D67">
        <w:rPr>
          <w:rStyle w:val="FootnoteReference"/>
          <w:rFonts w:ascii="Arial" w:hAnsi="Arial" w:cs="Arial"/>
          <w:sz w:val="24"/>
          <w:szCs w:val="24"/>
          <w:lang w:val="en-US"/>
        </w:rPr>
        <w:footnoteReference w:id="95"/>
      </w:r>
      <w:r w:rsidR="00D50D11" w:rsidRPr="00A34D67">
        <w:rPr>
          <w:rFonts w:ascii="Arial" w:hAnsi="Arial" w:cs="Arial"/>
          <w:sz w:val="24"/>
          <w:szCs w:val="24"/>
          <w:lang w:val="en-US"/>
        </w:rPr>
        <w:t xml:space="preserve"> </w:t>
      </w:r>
      <w:r w:rsidR="00312B77" w:rsidRPr="00A34D67">
        <w:rPr>
          <w:rFonts w:ascii="Arial" w:hAnsi="Arial" w:cs="Arial"/>
          <w:sz w:val="24"/>
          <w:szCs w:val="24"/>
          <w:lang w:val="en-US"/>
        </w:rPr>
        <w:t xml:space="preserve">Pellet ultimately ended up producing 17 reports covering reservations for the ILC over the </w:t>
      </w:r>
      <w:r w:rsidR="002E7E04" w:rsidRPr="00A34D67">
        <w:rPr>
          <w:rFonts w:ascii="Arial" w:hAnsi="Arial" w:cs="Arial"/>
          <w:sz w:val="24"/>
          <w:szCs w:val="24"/>
          <w:lang w:val="en-US"/>
        </w:rPr>
        <w:t xml:space="preserve">coming </w:t>
      </w:r>
      <w:r w:rsidR="00312B77" w:rsidRPr="00A34D67">
        <w:rPr>
          <w:rFonts w:ascii="Arial" w:hAnsi="Arial" w:cs="Arial"/>
          <w:sz w:val="24"/>
          <w:szCs w:val="24"/>
          <w:lang w:val="en-US"/>
        </w:rPr>
        <w:t>years</w:t>
      </w:r>
      <w:r w:rsidR="002E7E04" w:rsidRPr="00A34D67">
        <w:rPr>
          <w:rFonts w:ascii="Arial" w:hAnsi="Arial" w:cs="Arial"/>
          <w:sz w:val="24"/>
          <w:szCs w:val="24"/>
          <w:lang w:val="en-US"/>
        </w:rPr>
        <w:t>.</w:t>
      </w:r>
      <w:r w:rsidR="00922A26" w:rsidRPr="00A34D67">
        <w:rPr>
          <w:rStyle w:val="FootnoteReference"/>
          <w:rFonts w:ascii="Arial" w:hAnsi="Arial" w:cs="Arial"/>
          <w:sz w:val="24"/>
          <w:szCs w:val="24"/>
          <w:lang w:val="en-US"/>
        </w:rPr>
        <w:footnoteReference w:id="96"/>
      </w:r>
      <w:r w:rsidR="00312B77" w:rsidRPr="00A34D67">
        <w:rPr>
          <w:rFonts w:ascii="Arial" w:hAnsi="Arial" w:cs="Arial"/>
          <w:color w:val="FF0000"/>
          <w:sz w:val="24"/>
          <w:szCs w:val="24"/>
          <w:lang w:val="en-US"/>
        </w:rPr>
        <w:t xml:space="preserve"> </w:t>
      </w:r>
      <w:r w:rsidR="0070208D" w:rsidRPr="00A34D67">
        <w:rPr>
          <w:rFonts w:ascii="Arial" w:hAnsi="Arial" w:cs="Arial"/>
          <w:sz w:val="24"/>
          <w:szCs w:val="24"/>
          <w:lang w:val="en-US"/>
        </w:rPr>
        <w:t>T</w:t>
      </w:r>
      <w:r w:rsidR="005E5AC7" w:rsidRPr="00A34D67">
        <w:rPr>
          <w:rFonts w:ascii="Arial" w:hAnsi="Arial" w:cs="Arial"/>
          <w:sz w:val="24"/>
          <w:szCs w:val="24"/>
          <w:lang w:val="en-US"/>
        </w:rPr>
        <w:t>he Special Rapporteur</w:t>
      </w:r>
      <w:r w:rsidR="0070208D" w:rsidRPr="00A34D67">
        <w:rPr>
          <w:rFonts w:ascii="Arial" w:hAnsi="Arial" w:cs="Arial"/>
          <w:sz w:val="24"/>
          <w:szCs w:val="24"/>
          <w:lang w:val="en-US"/>
        </w:rPr>
        <w:t>’</w:t>
      </w:r>
      <w:r w:rsidR="005E5AC7" w:rsidRPr="00A34D67">
        <w:rPr>
          <w:rFonts w:ascii="Arial" w:hAnsi="Arial" w:cs="Arial"/>
          <w:sz w:val="24"/>
          <w:szCs w:val="24"/>
          <w:lang w:val="en-US"/>
        </w:rPr>
        <w:t xml:space="preserve">s </w:t>
      </w:r>
      <w:r w:rsidR="00B70689" w:rsidRPr="00A34D67">
        <w:rPr>
          <w:rFonts w:ascii="Arial" w:hAnsi="Arial" w:cs="Arial"/>
          <w:sz w:val="24"/>
          <w:szCs w:val="24"/>
          <w:lang w:val="en-US"/>
        </w:rPr>
        <w:t>draft conclusions</w:t>
      </w:r>
      <w:r w:rsidR="005E5AC7" w:rsidRPr="00A34D67">
        <w:rPr>
          <w:rFonts w:ascii="Arial" w:hAnsi="Arial" w:cs="Arial"/>
          <w:sz w:val="24"/>
          <w:szCs w:val="24"/>
          <w:lang w:val="en-US"/>
        </w:rPr>
        <w:t xml:space="preserve"> </w:t>
      </w:r>
      <w:r w:rsidR="0070208D" w:rsidRPr="00A34D67">
        <w:rPr>
          <w:rFonts w:ascii="Arial" w:hAnsi="Arial" w:cs="Arial"/>
          <w:sz w:val="24"/>
          <w:szCs w:val="24"/>
          <w:lang w:val="en-US"/>
        </w:rPr>
        <w:t>appropriately acknowledged the decision of the Human Rights Committee</w:t>
      </w:r>
      <w:r w:rsidR="0070208D" w:rsidRPr="00A34D67">
        <w:rPr>
          <w:rFonts w:ascii="Arial" w:hAnsi="Arial" w:cs="Arial"/>
          <w:color w:val="FF0000"/>
          <w:sz w:val="24"/>
          <w:szCs w:val="24"/>
          <w:lang w:val="en-US"/>
        </w:rPr>
        <w:t xml:space="preserve"> </w:t>
      </w:r>
      <w:r w:rsidR="005E5AC7" w:rsidRPr="00A34D67">
        <w:rPr>
          <w:rFonts w:ascii="Arial" w:hAnsi="Arial" w:cs="Arial"/>
          <w:sz w:val="24"/>
          <w:szCs w:val="24"/>
          <w:lang w:val="en-US"/>
        </w:rPr>
        <w:t xml:space="preserve">and </w:t>
      </w:r>
      <w:r w:rsidR="004A41E8" w:rsidRPr="00A34D67">
        <w:rPr>
          <w:rFonts w:ascii="Arial" w:hAnsi="Arial" w:cs="Arial"/>
          <w:sz w:val="24"/>
          <w:szCs w:val="24"/>
          <w:lang w:val="en-US"/>
        </w:rPr>
        <w:t>recognised</w:t>
      </w:r>
      <w:r w:rsidR="005E5AC7" w:rsidRPr="00A34D67">
        <w:rPr>
          <w:rFonts w:ascii="Arial" w:hAnsi="Arial" w:cs="Arial"/>
          <w:color w:val="FF0000"/>
          <w:sz w:val="24"/>
          <w:szCs w:val="24"/>
          <w:lang w:val="en-US"/>
        </w:rPr>
        <w:t xml:space="preserve"> </w:t>
      </w:r>
      <w:r w:rsidR="00091CA6" w:rsidRPr="00A34D67">
        <w:rPr>
          <w:rFonts w:ascii="Arial" w:hAnsi="Arial" w:cs="Arial"/>
          <w:sz w:val="24"/>
          <w:szCs w:val="24"/>
          <w:lang w:val="en-US"/>
        </w:rPr>
        <w:t>‘</w:t>
      </w:r>
      <w:r w:rsidR="005E5AC7" w:rsidRPr="00A34D67">
        <w:rPr>
          <w:rFonts w:ascii="Arial" w:hAnsi="Arial" w:cs="Arial"/>
          <w:sz w:val="24"/>
          <w:szCs w:val="24"/>
          <w:lang w:val="en-US"/>
        </w:rPr>
        <w:t>the questions of the applicability of the Vienna Convention reservations regime to human rights treaties,</w:t>
      </w:r>
      <w:r w:rsidR="00091CA6" w:rsidRPr="00A34D67">
        <w:rPr>
          <w:rFonts w:ascii="Arial" w:hAnsi="Arial" w:cs="Arial"/>
          <w:sz w:val="24"/>
          <w:szCs w:val="24"/>
          <w:lang w:val="en-US"/>
        </w:rPr>
        <w:t>’</w:t>
      </w:r>
      <w:r w:rsidR="00091CA6" w:rsidRPr="00A34D67">
        <w:rPr>
          <w:rStyle w:val="FootnoteReference"/>
          <w:rFonts w:ascii="Arial" w:hAnsi="Arial" w:cs="Arial"/>
          <w:sz w:val="24"/>
          <w:szCs w:val="24"/>
          <w:lang w:val="en-US"/>
        </w:rPr>
        <w:footnoteReference w:id="97"/>
      </w:r>
      <w:r w:rsidR="005E5AC7" w:rsidRPr="00A34D67">
        <w:rPr>
          <w:rFonts w:ascii="Arial" w:hAnsi="Arial" w:cs="Arial"/>
          <w:sz w:val="24"/>
          <w:szCs w:val="24"/>
          <w:lang w:val="en-US"/>
        </w:rPr>
        <w:t xml:space="preserve"> and </w:t>
      </w:r>
      <w:r w:rsidR="00C83123" w:rsidRPr="00A34D67">
        <w:rPr>
          <w:rFonts w:ascii="Arial" w:hAnsi="Arial" w:cs="Arial"/>
          <w:sz w:val="24"/>
          <w:szCs w:val="24"/>
          <w:lang w:val="en-US"/>
        </w:rPr>
        <w:t>the doubts concerning</w:t>
      </w:r>
      <w:r w:rsidR="005E5AC7" w:rsidRPr="00A34D67">
        <w:rPr>
          <w:rFonts w:ascii="Arial" w:hAnsi="Arial" w:cs="Arial"/>
          <w:sz w:val="24"/>
          <w:szCs w:val="24"/>
          <w:lang w:val="en-US"/>
        </w:rPr>
        <w:t xml:space="preserve"> the </w:t>
      </w:r>
      <w:r w:rsidR="00C83123" w:rsidRPr="00A34D67">
        <w:rPr>
          <w:rFonts w:ascii="Arial" w:hAnsi="Arial" w:cs="Arial"/>
          <w:sz w:val="24"/>
          <w:szCs w:val="24"/>
          <w:lang w:val="en-US"/>
        </w:rPr>
        <w:t>power</w:t>
      </w:r>
      <w:r w:rsidR="005E5AC7" w:rsidRPr="00A34D67">
        <w:rPr>
          <w:rFonts w:ascii="Arial" w:hAnsi="Arial" w:cs="Arial"/>
          <w:sz w:val="24"/>
          <w:szCs w:val="24"/>
          <w:lang w:val="en-US"/>
        </w:rPr>
        <w:t xml:space="preserve"> of </w:t>
      </w:r>
      <w:r w:rsidR="00C83123" w:rsidRPr="00A34D67">
        <w:rPr>
          <w:rFonts w:ascii="Arial" w:hAnsi="Arial" w:cs="Arial"/>
          <w:sz w:val="24"/>
          <w:szCs w:val="24"/>
          <w:lang w:val="en-US"/>
        </w:rPr>
        <w:t xml:space="preserve">human rights treaty </w:t>
      </w:r>
      <w:r w:rsidR="005E5AC7" w:rsidRPr="00A34D67">
        <w:rPr>
          <w:rFonts w:ascii="Arial" w:hAnsi="Arial" w:cs="Arial"/>
          <w:sz w:val="24"/>
          <w:szCs w:val="24"/>
          <w:lang w:val="en-US"/>
        </w:rPr>
        <w:t>organi</w:t>
      </w:r>
      <w:r w:rsidR="00C83123" w:rsidRPr="00A34D67">
        <w:rPr>
          <w:rFonts w:ascii="Arial" w:hAnsi="Arial" w:cs="Arial"/>
          <w:sz w:val="24"/>
          <w:szCs w:val="24"/>
          <w:lang w:val="en-US"/>
        </w:rPr>
        <w:t>s</w:t>
      </w:r>
      <w:r w:rsidR="005E5AC7" w:rsidRPr="00A34D67">
        <w:rPr>
          <w:rFonts w:ascii="Arial" w:hAnsi="Arial" w:cs="Arial"/>
          <w:sz w:val="24"/>
          <w:szCs w:val="24"/>
          <w:lang w:val="en-US"/>
        </w:rPr>
        <w:t xml:space="preserve">ations </w:t>
      </w:r>
      <w:r w:rsidR="00FF6B98" w:rsidRPr="00A34D67">
        <w:rPr>
          <w:rFonts w:ascii="Arial" w:hAnsi="Arial" w:cs="Arial"/>
          <w:sz w:val="24"/>
          <w:szCs w:val="24"/>
          <w:lang w:val="en-US"/>
        </w:rPr>
        <w:t xml:space="preserve">to </w:t>
      </w:r>
      <w:r w:rsidR="00C83123" w:rsidRPr="00A34D67">
        <w:rPr>
          <w:rFonts w:ascii="Arial" w:hAnsi="Arial" w:cs="Arial"/>
          <w:sz w:val="24"/>
          <w:szCs w:val="24"/>
          <w:lang w:val="en-US"/>
        </w:rPr>
        <w:t>amend</w:t>
      </w:r>
      <w:r w:rsidR="00FF6B98" w:rsidRPr="00A34D67">
        <w:rPr>
          <w:rFonts w:ascii="Arial" w:hAnsi="Arial" w:cs="Arial"/>
          <w:sz w:val="24"/>
          <w:szCs w:val="24"/>
          <w:lang w:val="en-US"/>
        </w:rPr>
        <w:t xml:space="preserve"> that </w:t>
      </w:r>
      <w:r w:rsidR="00C83123" w:rsidRPr="00A34D67">
        <w:rPr>
          <w:rFonts w:ascii="Arial" w:hAnsi="Arial" w:cs="Arial"/>
          <w:sz w:val="24"/>
          <w:szCs w:val="24"/>
          <w:lang w:val="en-US"/>
        </w:rPr>
        <w:t>system</w:t>
      </w:r>
      <w:r w:rsidR="00B70689" w:rsidRPr="00A34D67">
        <w:rPr>
          <w:rFonts w:ascii="Arial" w:hAnsi="Arial" w:cs="Arial"/>
          <w:sz w:val="24"/>
          <w:szCs w:val="24"/>
          <w:lang w:val="en-US"/>
        </w:rPr>
        <w:t>:</w:t>
      </w:r>
      <w:r w:rsidR="00091CA6" w:rsidRPr="00A34D67">
        <w:rPr>
          <w:rStyle w:val="FootnoteReference"/>
          <w:rFonts w:ascii="Arial" w:hAnsi="Arial" w:cs="Arial"/>
          <w:sz w:val="24"/>
          <w:szCs w:val="24"/>
          <w:lang w:val="en-US"/>
        </w:rPr>
        <w:footnoteReference w:id="98"/>
      </w:r>
      <w:r w:rsidR="00855A05" w:rsidRPr="00A34D67">
        <w:rPr>
          <w:rFonts w:ascii="Arial" w:hAnsi="Arial" w:cs="Arial"/>
          <w:sz w:val="24"/>
          <w:szCs w:val="24"/>
          <w:lang w:val="en-US"/>
        </w:rPr>
        <w:t xml:space="preserve"> </w:t>
      </w:r>
    </w:p>
    <w:p w14:paraId="7CFFC4A8" w14:textId="77777777" w:rsidR="00B70689" w:rsidRPr="00A34D67" w:rsidRDefault="00B70689" w:rsidP="00401E4C">
      <w:pPr>
        <w:spacing w:line="480" w:lineRule="auto"/>
        <w:ind w:left="709" w:right="1035"/>
        <w:rPr>
          <w:rFonts w:ascii="Arial" w:hAnsi="Arial" w:cs="Arial"/>
          <w:sz w:val="24"/>
          <w:szCs w:val="24"/>
          <w:lang w:val="en-US"/>
        </w:rPr>
      </w:pPr>
      <w:r w:rsidRPr="00A34D67">
        <w:rPr>
          <w:rFonts w:ascii="Arial" w:hAnsi="Arial" w:cs="Arial"/>
          <w:sz w:val="24"/>
          <w:szCs w:val="24"/>
          <w:lang w:val="en-US"/>
        </w:rPr>
        <w:t>‘The Commission notes also that, in the event of incompatibility of a reservation with the object and purpose of a treaty, it is primarily the reserving State that has the responsibility of taking action. This action may consist, for example, in the State either foregoing becoming a party or withdrawing its reservation, or modifying the latter so as to eliminate the incompatibility.’</w:t>
      </w:r>
      <w:r w:rsidRPr="00A34D67">
        <w:rPr>
          <w:rStyle w:val="FootnoteReference"/>
          <w:rFonts w:ascii="Arial" w:hAnsi="Arial" w:cs="Arial"/>
          <w:sz w:val="24"/>
          <w:szCs w:val="24"/>
          <w:lang w:val="en-US"/>
        </w:rPr>
        <w:footnoteReference w:id="99"/>
      </w:r>
      <w:r w:rsidRPr="00A34D67">
        <w:rPr>
          <w:rFonts w:ascii="Arial" w:hAnsi="Arial" w:cs="Arial"/>
          <w:sz w:val="24"/>
          <w:szCs w:val="24"/>
          <w:lang w:val="en-US"/>
        </w:rPr>
        <w:t xml:space="preserve"> </w:t>
      </w:r>
    </w:p>
    <w:p w14:paraId="54526393" w14:textId="01ED3D57" w:rsidR="00890427" w:rsidRPr="00A34D67" w:rsidRDefault="00B70689" w:rsidP="00401E4C">
      <w:pPr>
        <w:spacing w:line="480" w:lineRule="auto"/>
        <w:rPr>
          <w:rFonts w:ascii="Arial" w:hAnsi="Arial" w:cs="Arial"/>
          <w:sz w:val="24"/>
          <w:szCs w:val="24"/>
          <w:lang w:val="en-US"/>
        </w:rPr>
      </w:pPr>
      <w:r w:rsidRPr="00A34D67">
        <w:rPr>
          <w:rFonts w:ascii="Arial" w:hAnsi="Arial" w:cs="Arial"/>
          <w:sz w:val="24"/>
          <w:szCs w:val="24"/>
          <w:lang w:val="en-US"/>
        </w:rPr>
        <w:t xml:space="preserve">Nevertheless, </w:t>
      </w:r>
      <w:r w:rsidR="00E03F7F" w:rsidRPr="00A34D67">
        <w:rPr>
          <w:rFonts w:ascii="Arial" w:hAnsi="Arial" w:cs="Arial"/>
          <w:sz w:val="24"/>
          <w:szCs w:val="24"/>
          <w:lang w:val="en-US"/>
        </w:rPr>
        <w:t xml:space="preserve">in contrast to the initially accepting view </w:t>
      </w:r>
      <w:r w:rsidR="00BF47CF" w:rsidRPr="00A34D67">
        <w:rPr>
          <w:rFonts w:ascii="Arial" w:hAnsi="Arial" w:cs="Arial"/>
          <w:sz w:val="24"/>
          <w:szCs w:val="24"/>
          <w:lang w:val="en-US"/>
        </w:rPr>
        <w:t>from</w:t>
      </w:r>
      <w:r w:rsidR="00E03F7F" w:rsidRPr="00A34D67">
        <w:rPr>
          <w:rFonts w:ascii="Arial" w:hAnsi="Arial" w:cs="Arial"/>
          <w:sz w:val="24"/>
          <w:szCs w:val="24"/>
          <w:lang w:val="en-US"/>
        </w:rPr>
        <w:t xml:space="preserve"> the rest of the ILC,</w:t>
      </w:r>
      <w:r w:rsidR="00E03F7F" w:rsidRPr="00A34D67">
        <w:rPr>
          <w:rStyle w:val="FootnoteReference"/>
          <w:rFonts w:ascii="Arial" w:hAnsi="Arial" w:cs="Arial"/>
          <w:sz w:val="24"/>
          <w:szCs w:val="24"/>
          <w:lang w:val="en-US"/>
        </w:rPr>
        <w:footnoteReference w:id="100"/>
      </w:r>
      <w:r w:rsidR="00E03F7F" w:rsidRPr="00A34D67">
        <w:rPr>
          <w:rFonts w:ascii="Arial" w:hAnsi="Arial" w:cs="Arial"/>
          <w:sz w:val="24"/>
          <w:szCs w:val="24"/>
          <w:lang w:val="en-US"/>
        </w:rPr>
        <w:t xml:space="preserve"> </w:t>
      </w:r>
      <w:r w:rsidRPr="00A34D67">
        <w:rPr>
          <w:rFonts w:ascii="Arial" w:hAnsi="Arial" w:cs="Arial"/>
          <w:sz w:val="24"/>
          <w:szCs w:val="24"/>
          <w:lang w:val="en-US"/>
        </w:rPr>
        <w:t xml:space="preserve">Pellet’s draft conclusions on the issue were a clear ‘refutation of the approach favoured by HRC </w:t>
      </w:r>
      <w:r w:rsidRPr="00A34D67">
        <w:rPr>
          <w:rFonts w:ascii="Arial" w:hAnsi="Arial" w:cs="Arial"/>
          <w:i/>
          <w:sz w:val="24"/>
          <w:szCs w:val="24"/>
          <w:lang w:val="en-US"/>
        </w:rPr>
        <w:t>General Comment No. 24</w:t>
      </w:r>
      <w:r w:rsidRPr="00A34D67">
        <w:rPr>
          <w:rFonts w:ascii="Arial" w:hAnsi="Arial" w:cs="Arial"/>
          <w:sz w:val="24"/>
          <w:szCs w:val="24"/>
          <w:lang w:val="en-US"/>
        </w:rPr>
        <w:t>’.</w:t>
      </w:r>
      <w:r w:rsidR="00890427" w:rsidRPr="00A34D67">
        <w:rPr>
          <w:rStyle w:val="FootnoteReference"/>
          <w:rFonts w:ascii="Arial" w:hAnsi="Arial" w:cs="Arial"/>
          <w:sz w:val="24"/>
          <w:szCs w:val="24"/>
          <w:lang w:val="en-US"/>
        </w:rPr>
        <w:footnoteReference w:id="101"/>
      </w:r>
      <w:r w:rsidR="00890427" w:rsidRPr="00A34D67">
        <w:rPr>
          <w:rFonts w:ascii="Arial" w:hAnsi="Arial" w:cs="Arial"/>
          <w:sz w:val="24"/>
          <w:szCs w:val="24"/>
          <w:lang w:val="en-US"/>
        </w:rPr>
        <w:t xml:space="preserve"> Pellet’s draft conclusion</w:t>
      </w:r>
      <w:r w:rsidR="00F368B4" w:rsidRPr="00A34D67">
        <w:rPr>
          <w:rFonts w:ascii="Arial" w:hAnsi="Arial" w:cs="Arial"/>
          <w:sz w:val="24"/>
          <w:szCs w:val="24"/>
          <w:lang w:val="en-US"/>
        </w:rPr>
        <w:t>s</w:t>
      </w:r>
      <w:r w:rsidR="00890427" w:rsidRPr="00A34D67">
        <w:rPr>
          <w:rFonts w:ascii="Arial" w:hAnsi="Arial" w:cs="Arial"/>
          <w:sz w:val="24"/>
          <w:szCs w:val="24"/>
          <w:lang w:val="en-US"/>
        </w:rPr>
        <w:t xml:space="preserve"> failed to even consider whether invalidity had necessitated severability, instead suggesting that universal human rights treaty bodies were not empowered to establish the cost of invalid reservations.</w:t>
      </w:r>
      <w:r w:rsidR="00373B0C" w:rsidRPr="00A34D67">
        <w:rPr>
          <w:rFonts w:ascii="Arial" w:hAnsi="Arial" w:cs="Arial"/>
          <w:sz w:val="24"/>
          <w:szCs w:val="24"/>
          <w:lang w:val="en-US"/>
        </w:rPr>
        <w:t xml:space="preserve"> </w:t>
      </w:r>
      <w:r w:rsidR="00B3135A" w:rsidRPr="00A34D67">
        <w:rPr>
          <w:rFonts w:ascii="Arial" w:hAnsi="Arial" w:cs="Arial"/>
          <w:sz w:val="24"/>
          <w:szCs w:val="24"/>
          <w:lang w:val="en-US"/>
        </w:rPr>
        <w:t>Pellet</w:t>
      </w:r>
      <w:r w:rsidR="00B3135A" w:rsidRPr="00A34D67">
        <w:rPr>
          <w:rFonts w:ascii="Arial" w:hAnsi="Arial" w:cs="Arial"/>
          <w:color w:val="FF0000"/>
          <w:sz w:val="24"/>
          <w:szCs w:val="24"/>
          <w:lang w:val="en-US"/>
        </w:rPr>
        <w:t xml:space="preserve"> </w:t>
      </w:r>
      <w:r w:rsidR="00B3135A" w:rsidRPr="00A34D67">
        <w:rPr>
          <w:rFonts w:ascii="Arial" w:hAnsi="Arial" w:cs="Arial"/>
          <w:sz w:val="24"/>
          <w:szCs w:val="24"/>
          <w:lang w:val="en-US"/>
        </w:rPr>
        <w:t>had</w:t>
      </w:r>
      <w:r w:rsidR="00B3135A" w:rsidRPr="00A34D67">
        <w:rPr>
          <w:rFonts w:ascii="Arial" w:hAnsi="Arial" w:cs="Arial"/>
          <w:color w:val="FF0000"/>
          <w:sz w:val="24"/>
          <w:szCs w:val="24"/>
          <w:lang w:val="en-US"/>
        </w:rPr>
        <w:t xml:space="preserve"> </w:t>
      </w:r>
      <w:r w:rsidR="00B3135A" w:rsidRPr="00A34D67">
        <w:rPr>
          <w:rFonts w:ascii="Arial" w:hAnsi="Arial" w:cs="Arial"/>
          <w:sz w:val="24"/>
          <w:szCs w:val="24"/>
          <w:lang w:val="en-US"/>
        </w:rPr>
        <w:t>decided that by contrast to regional courts,</w:t>
      </w:r>
      <w:r w:rsidR="00B3135A" w:rsidRPr="00A34D67">
        <w:rPr>
          <w:rFonts w:ascii="Arial" w:hAnsi="Arial" w:cs="Arial"/>
          <w:color w:val="FF0000"/>
          <w:sz w:val="24"/>
          <w:szCs w:val="24"/>
          <w:lang w:val="en-US"/>
        </w:rPr>
        <w:t xml:space="preserve"> </w:t>
      </w:r>
      <w:r w:rsidR="00B3135A" w:rsidRPr="00A34D67">
        <w:rPr>
          <w:rFonts w:ascii="Arial" w:hAnsi="Arial" w:cs="Arial"/>
          <w:sz w:val="24"/>
          <w:szCs w:val="24"/>
          <w:lang w:val="en-US"/>
        </w:rPr>
        <w:t>universal human rights treaty bodies</w:t>
      </w:r>
      <w:r w:rsidR="00373B0C" w:rsidRPr="00A34D67">
        <w:rPr>
          <w:rFonts w:ascii="Arial" w:hAnsi="Arial" w:cs="Arial"/>
          <w:sz w:val="24"/>
          <w:szCs w:val="24"/>
          <w:lang w:val="en-US"/>
        </w:rPr>
        <w:t>,</w:t>
      </w:r>
      <w:r w:rsidR="00B3135A" w:rsidRPr="00A34D67">
        <w:rPr>
          <w:rFonts w:ascii="Arial" w:hAnsi="Arial" w:cs="Arial"/>
          <w:sz w:val="24"/>
          <w:szCs w:val="24"/>
          <w:lang w:val="en-US"/>
        </w:rPr>
        <w:t xml:space="preserve"> such as the HRC</w:t>
      </w:r>
      <w:r w:rsidR="00373B0C" w:rsidRPr="00A34D67">
        <w:rPr>
          <w:rFonts w:ascii="Arial" w:hAnsi="Arial" w:cs="Arial"/>
          <w:sz w:val="24"/>
          <w:szCs w:val="24"/>
          <w:lang w:val="en-US"/>
        </w:rPr>
        <w:t>,</w:t>
      </w:r>
      <w:r w:rsidR="00B3135A" w:rsidRPr="00A34D67">
        <w:rPr>
          <w:rFonts w:ascii="Arial" w:hAnsi="Arial" w:cs="Arial"/>
          <w:color w:val="FF0000"/>
          <w:sz w:val="24"/>
          <w:szCs w:val="24"/>
          <w:lang w:val="en-US"/>
        </w:rPr>
        <w:t xml:space="preserve"> </w:t>
      </w:r>
      <w:r w:rsidR="00B3135A" w:rsidRPr="00A34D67">
        <w:rPr>
          <w:rFonts w:ascii="Arial" w:hAnsi="Arial" w:cs="Arial"/>
          <w:sz w:val="24"/>
          <w:szCs w:val="24"/>
          <w:lang w:val="en-US"/>
        </w:rPr>
        <w:t>could not determine invalidity and its possible implications with authority.</w:t>
      </w:r>
      <w:r w:rsidR="00B3135A" w:rsidRPr="00A34D67">
        <w:rPr>
          <w:rStyle w:val="FootnoteReference"/>
          <w:rFonts w:ascii="Arial" w:hAnsi="Arial" w:cs="Arial"/>
          <w:sz w:val="24"/>
          <w:szCs w:val="24"/>
          <w:lang w:val="en-US"/>
        </w:rPr>
        <w:footnoteReference w:id="102"/>
      </w:r>
      <w:r w:rsidR="00B3135A" w:rsidRPr="00A34D67">
        <w:rPr>
          <w:rFonts w:ascii="Arial" w:hAnsi="Arial" w:cs="Arial"/>
          <w:color w:val="FF0000"/>
          <w:sz w:val="24"/>
          <w:szCs w:val="24"/>
          <w:lang w:val="en-US"/>
        </w:rPr>
        <w:t xml:space="preserve"> </w:t>
      </w:r>
      <w:r w:rsidR="00B3135A" w:rsidRPr="00A34D67">
        <w:rPr>
          <w:rFonts w:ascii="Arial" w:hAnsi="Arial" w:cs="Arial"/>
          <w:sz w:val="24"/>
          <w:szCs w:val="24"/>
          <w:lang w:val="en-US"/>
        </w:rPr>
        <w:t>He therefore criticised</w:t>
      </w:r>
      <w:r w:rsidR="00890427" w:rsidRPr="00A34D67">
        <w:rPr>
          <w:rFonts w:ascii="Arial" w:hAnsi="Arial" w:cs="Arial"/>
          <w:sz w:val="24"/>
          <w:szCs w:val="24"/>
          <w:lang w:val="en-US"/>
        </w:rPr>
        <w:t xml:space="preserve"> the ‘excessive pretentions of the Human Rights Committee in seeking to act as the sole judge of the permissibility of reservations’.</w:t>
      </w:r>
      <w:r w:rsidR="00890427" w:rsidRPr="00A34D67">
        <w:rPr>
          <w:rStyle w:val="FootnoteReference"/>
          <w:rFonts w:ascii="Arial" w:hAnsi="Arial" w:cs="Arial"/>
          <w:sz w:val="24"/>
          <w:szCs w:val="24"/>
          <w:lang w:val="en-US"/>
        </w:rPr>
        <w:footnoteReference w:id="103"/>
      </w:r>
      <w:r w:rsidR="00890427" w:rsidRPr="00A34D67">
        <w:rPr>
          <w:rFonts w:ascii="Arial" w:hAnsi="Arial" w:cs="Arial"/>
          <w:color w:val="FF0000"/>
          <w:sz w:val="24"/>
          <w:szCs w:val="24"/>
          <w:lang w:val="en-US"/>
        </w:rPr>
        <w:t xml:space="preserve"> </w:t>
      </w:r>
    </w:p>
    <w:p w14:paraId="31404C76" w14:textId="282ED186" w:rsidR="002A688A" w:rsidRPr="0095178F" w:rsidRDefault="00D922DF" w:rsidP="00401E4C">
      <w:pPr>
        <w:spacing w:line="480" w:lineRule="auto"/>
        <w:rPr>
          <w:rFonts w:ascii="Arial" w:hAnsi="Arial" w:cs="Arial"/>
          <w:sz w:val="24"/>
          <w:szCs w:val="24"/>
          <w:lang w:val="en-US"/>
        </w:rPr>
      </w:pPr>
      <w:r w:rsidRPr="0095178F">
        <w:rPr>
          <w:rFonts w:ascii="Arial" w:hAnsi="Arial" w:cs="Arial"/>
          <w:sz w:val="24"/>
          <w:szCs w:val="24"/>
          <w:lang w:val="en-US"/>
        </w:rPr>
        <w:t>In his second report, Pellet unexpectedly concluded that the Vienna Convention regime was actually sufficient to tackle reservations to human rights treaties</w:t>
      </w:r>
      <w:r w:rsidR="005905B6" w:rsidRPr="0095178F">
        <w:rPr>
          <w:rFonts w:ascii="Arial" w:hAnsi="Arial" w:cs="Arial"/>
          <w:sz w:val="24"/>
          <w:szCs w:val="24"/>
          <w:lang w:val="en-US"/>
        </w:rPr>
        <w:t>.</w:t>
      </w:r>
      <w:r w:rsidRPr="0095178F">
        <w:rPr>
          <w:rStyle w:val="FootnoteReference"/>
          <w:rFonts w:ascii="Arial" w:hAnsi="Arial" w:cs="Arial"/>
          <w:sz w:val="24"/>
          <w:szCs w:val="24"/>
          <w:lang w:val="en-US"/>
        </w:rPr>
        <w:footnoteReference w:id="104"/>
      </w:r>
      <w:r w:rsidRPr="0095178F">
        <w:rPr>
          <w:rFonts w:ascii="Arial" w:hAnsi="Arial" w:cs="Arial"/>
          <w:sz w:val="24"/>
          <w:szCs w:val="24"/>
          <w:lang w:val="en-US"/>
        </w:rPr>
        <w:t xml:space="preserve"> </w:t>
      </w:r>
      <w:r w:rsidR="005905B6" w:rsidRPr="0095178F">
        <w:rPr>
          <w:rFonts w:ascii="Arial" w:hAnsi="Arial" w:cs="Arial"/>
          <w:sz w:val="24"/>
          <w:szCs w:val="24"/>
          <w:lang w:val="en-US"/>
        </w:rPr>
        <w:t>He further</w:t>
      </w:r>
      <w:r w:rsidRPr="0095178F">
        <w:rPr>
          <w:rFonts w:ascii="Arial" w:hAnsi="Arial" w:cs="Arial"/>
          <w:sz w:val="24"/>
          <w:szCs w:val="24"/>
          <w:lang w:val="en-US"/>
        </w:rPr>
        <w:t xml:space="preserve"> not</w:t>
      </w:r>
      <w:r w:rsidR="005905B6" w:rsidRPr="0095178F">
        <w:rPr>
          <w:rFonts w:ascii="Arial" w:hAnsi="Arial" w:cs="Arial"/>
          <w:sz w:val="24"/>
          <w:szCs w:val="24"/>
          <w:lang w:val="en-US"/>
        </w:rPr>
        <w:t>ed</w:t>
      </w:r>
      <w:r w:rsidRPr="0095178F">
        <w:rPr>
          <w:rFonts w:ascii="Arial" w:hAnsi="Arial" w:cs="Arial"/>
          <w:sz w:val="24"/>
          <w:szCs w:val="24"/>
          <w:lang w:val="en-US"/>
        </w:rPr>
        <w:t xml:space="preserve"> that human rights bod</w:t>
      </w:r>
      <w:r w:rsidR="00F533D0" w:rsidRPr="0095178F">
        <w:rPr>
          <w:rFonts w:ascii="Arial" w:hAnsi="Arial" w:cs="Arial"/>
          <w:sz w:val="24"/>
          <w:szCs w:val="24"/>
          <w:lang w:val="en-US"/>
        </w:rPr>
        <w:t>y</w:t>
      </w:r>
      <w:r w:rsidRPr="0095178F">
        <w:rPr>
          <w:rFonts w:ascii="Arial" w:hAnsi="Arial" w:cs="Arial"/>
          <w:sz w:val="24"/>
          <w:szCs w:val="24"/>
          <w:lang w:val="en-US"/>
        </w:rPr>
        <w:t xml:space="preserve"> practice is inconsistent and often convinces states to rescind improper reservations rather than regard them as invalid.</w:t>
      </w:r>
      <w:r w:rsidRPr="0095178F">
        <w:rPr>
          <w:rStyle w:val="FootnoteReference"/>
          <w:rFonts w:ascii="Arial" w:hAnsi="Arial" w:cs="Arial"/>
          <w:sz w:val="24"/>
          <w:szCs w:val="24"/>
          <w:lang w:val="en-US"/>
        </w:rPr>
        <w:footnoteReference w:id="105"/>
      </w:r>
      <w:r w:rsidRPr="0095178F">
        <w:rPr>
          <w:rFonts w:ascii="Arial" w:hAnsi="Arial" w:cs="Arial"/>
          <w:sz w:val="24"/>
          <w:szCs w:val="24"/>
          <w:lang w:val="en-US"/>
        </w:rPr>
        <w:t xml:space="preserve"> This highlights the continuing controversy in this area of international law. </w:t>
      </w:r>
    </w:p>
    <w:p w14:paraId="676ABBF0" w14:textId="76250060" w:rsidR="000D2471" w:rsidRPr="00A34D67" w:rsidRDefault="004544D3" w:rsidP="00401E4C">
      <w:pPr>
        <w:spacing w:line="480" w:lineRule="auto"/>
        <w:rPr>
          <w:rFonts w:ascii="Arial" w:hAnsi="Arial" w:cs="Arial"/>
          <w:sz w:val="24"/>
          <w:szCs w:val="24"/>
          <w:lang w:val="en-US"/>
        </w:rPr>
      </w:pPr>
      <w:r w:rsidRPr="00A34D67">
        <w:rPr>
          <w:rFonts w:ascii="Arial" w:hAnsi="Arial" w:cs="Arial"/>
          <w:sz w:val="24"/>
          <w:szCs w:val="24"/>
          <w:lang w:val="en-US"/>
        </w:rPr>
        <w:t>Pellet</w:t>
      </w:r>
      <w:r w:rsidR="005E5AC7" w:rsidRPr="00A34D67">
        <w:rPr>
          <w:rFonts w:ascii="Arial" w:hAnsi="Arial" w:cs="Arial"/>
          <w:sz w:val="24"/>
          <w:szCs w:val="24"/>
          <w:lang w:val="en-US"/>
        </w:rPr>
        <w:t xml:space="preserve"> </w:t>
      </w:r>
      <w:r w:rsidR="00D922DF" w:rsidRPr="00A34D67">
        <w:rPr>
          <w:rFonts w:ascii="Arial" w:hAnsi="Arial" w:cs="Arial"/>
          <w:sz w:val="24"/>
          <w:szCs w:val="24"/>
          <w:lang w:val="en-US"/>
        </w:rPr>
        <w:t xml:space="preserve">had </w:t>
      </w:r>
      <w:r w:rsidRPr="00A34D67">
        <w:rPr>
          <w:rFonts w:ascii="Arial" w:hAnsi="Arial" w:cs="Arial"/>
          <w:sz w:val="24"/>
          <w:szCs w:val="24"/>
          <w:lang w:val="en-US"/>
        </w:rPr>
        <w:t>surmised</w:t>
      </w:r>
      <w:r w:rsidR="00D922DF" w:rsidRPr="00A34D67">
        <w:rPr>
          <w:rFonts w:ascii="Arial" w:hAnsi="Arial" w:cs="Arial"/>
          <w:sz w:val="24"/>
          <w:szCs w:val="24"/>
          <w:lang w:val="en-US"/>
        </w:rPr>
        <w:t xml:space="preserve"> </w:t>
      </w:r>
      <w:r w:rsidR="005E5AC7" w:rsidRPr="00A34D67">
        <w:rPr>
          <w:rFonts w:ascii="Arial" w:hAnsi="Arial" w:cs="Arial"/>
          <w:sz w:val="24"/>
          <w:szCs w:val="24"/>
          <w:lang w:val="en-US"/>
        </w:rPr>
        <w:t>that</w:t>
      </w:r>
      <w:r w:rsidR="005E5AC7" w:rsidRPr="00A34D67">
        <w:rPr>
          <w:rFonts w:ascii="Arial" w:hAnsi="Arial" w:cs="Arial"/>
          <w:color w:val="FF0000"/>
          <w:sz w:val="24"/>
          <w:szCs w:val="24"/>
          <w:lang w:val="en-US"/>
        </w:rPr>
        <w:t xml:space="preserve"> </w:t>
      </w:r>
      <w:r w:rsidR="004D1594" w:rsidRPr="00A34D67">
        <w:rPr>
          <w:rFonts w:ascii="Arial" w:hAnsi="Arial" w:cs="Arial"/>
          <w:sz w:val="24"/>
          <w:szCs w:val="24"/>
          <w:lang w:val="en-US"/>
        </w:rPr>
        <w:t>‘</w:t>
      </w:r>
      <w:r w:rsidR="005E5AC7" w:rsidRPr="00A34D67">
        <w:rPr>
          <w:rFonts w:ascii="Arial" w:hAnsi="Arial" w:cs="Arial"/>
          <w:sz w:val="24"/>
          <w:szCs w:val="24"/>
          <w:lang w:val="en-US"/>
        </w:rPr>
        <w:t>no exception for human rights or other normative treaties should be made to the Vienna Conven</w:t>
      </w:r>
      <w:r w:rsidR="00483FF7" w:rsidRPr="00A34D67">
        <w:rPr>
          <w:rFonts w:ascii="Arial" w:hAnsi="Arial" w:cs="Arial"/>
          <w:sz w:val="24"/>
          <w:szCs w:val="24"/>
          <w:lang w:val="en-US"/>
        </w:rPr>
        <w:t>tion provisions on reservations’.</w:t>
      </w:r>
      <w:r w:rsidR="004D1594" w:rsidRPr="00A34D67">
        <w:rPr>
          <w:rStyle w:val="FootnoteReference"/>
          <w:rFonts w:ascii="Arial" w:hAnsi="Arial" w:cs="Arial"/>
          <w:sz w:val="24"/>
          <w:szCs w:val="24"/>
          <w:lang w:val="en-US"/>
        </w:rPr>
        <w:footnoteReference w:id="106"/>
      </w:r>
      <w:r w:rsidR="005E5AC7" w:rsidRPr="00A34D67">
        <w:rPr>
          <w:rFonts w:ascii="Arial" w:hAnsi="Arial" w:cs="Arial"/>
          <w:color w:val="FF0000"/>
          <w:sz w:val="24"/>
          <w:szCs w:val="24"/>
          <w:lang w:val="en-US"/>
        </w:rPr>
        <w:t xml:space="preserve"> </w:t>
      </w:r>
      <w:r w:rsidR="00483FF7" w:rsidRPr="00A34D67">
        <w:rPr>
          <w:rFonts w:ascii="Arial" w:hAnsi="Arial" w:cs="Arial"/>
          <w:sz w:val="24"/>
          <w:szCs w:val="24"/>
          <w:lang w:val="en-US"/>
        </w:rPr>
        <w:t xml:space="preserve">However, </w:t>
      </w:r>
      <w:r w:rsidR="005E5AC7" w:rsidRPr="00A34D67">
        <w:rPr>
          <w:rFonts w:ascii="Arial" w:hAnsi="Arial" w:cs="Arial"/>
          <w:sz w:val="24"/>
          <w:szCs w:val="24"/>
          <w:lang w:val="en-US"/>
        </w:rPr>
        <w:t>h</w:t>
      </w:r>
      <w:r w:rsidR="00483FF7" w:rsidRPr="00A34D67">
        <w:rPr>
          <w:rFonts w:ascii="Arial" w:hAnsi="Arial" w:cs="Arial"/>
          <w:sz w:val="24"/>
          <w:szCs w:val="24"/>
          <w:lang w:val="en-US"/>
        </w:rPr>
        <w:t>e indicated</w:t>
      </w:r>
      <w:r w:rsidR="005E5AC7" w:rsidRPr="00A34D67">
        <w:rPr>
          <w:rFonts w:ascii="Arial" w:hAnsi="Arial" w:cs="Arial"/>
          <w:sz w:val="24"/>
          <w:szCs w:val="24"/>
          <w:lang w:val="en-US"/>
        </w:rPr>
        <w:t xml:space="preserve"> that</w:t>
      </w:r>
      <w:r w:rsidR="00483FF7" w:rsidRPr="00A34D67">
        <w:rPr>
          <w:rFonts w:ascii="Arial" w:hAnsi="Arial" w:cs="Arial"/>
          <w:sz w:val="24"/>
          <w:szCs w:val="24"/>
          <w:lang w:val="en-US"/>
        </w:rPr>
        <w:t xml:space="preserve"> parties to a treaty were entitled to individually </w:t>
      </w:r>
      <w:r w:rsidR="00E26153" w:rsidRPr="00A34D67">
        <w:rPr>
          <w:rFonts w:ascii="Arial" w:hAnsi="Arial" w:cs="Arial"/>
          <w:sz w:val="24"/>
          <w:szCs w:val="24"/>
          <w:lang w:val="en-US"/>
        </w:rPr>
        <w:t>draft</w:t>
      </w:r>
      <w:r w:rsidR="00483FF7" w:rsidRPr="00A34D67">
        <w:rPr>
          <w:rFonts w:ascii="Arial" w:hAnsi="Arial" w:cs="Arial"/>
          <w:sz w:val="24"/>
          <w:szCs w:val="24"/>
          <w:lang w:val="en-US"/>
        </w:rPr>
        <w:t xml:space="preserve"> their</w:t>
      </w:r>
      <w:r w:rsidR="00E26153" w:rsidRPr="00A34D67">
        <w:rPr>
          <w:rFonts w:ascii="Arial" w:hAnsi="Arial" w:cs="Arial"/>
          <w:sz w:val="24"/>
          <w:szCs w:val="24"/>
          <w:lang w:val="en-US"/>
        </w:rPr>
        <w:t xml:space="preserve"> own</w:t>
      </w:r>
      <w:r w:rsidR="00483FF7" w:rsidRPr="00A34D67">
        <w:rPr>
          <w:rFonts w:ascii="Arial" w:hAnsi="Arial" w:cs="Arial"/>
          <w:sz w:val="24"/>
          <w:szCs w:val="24"/>
          <w:lang w:val="en-US"/>
        </w:rPr>
        <w:t xml:space="preserve"> rules concerning reservations </w:t>
      </w:r>
      <w:r w:rsidR="00FF6B98" w:rsidRPr="00A34D67">
        <w:rPr>
          <w:rFonts w:ascii="Arial" w:hAnsi="Arial" w:cs="Arial"/>
          <w:sz w:val="24"/>
          <w:szCs w:val="24"/>
          <w:lang w:val="en-US"/>
        </w:rPr>
        <w:t>via</w:t>
      </w:r>
      <w:r w:rsidR="00483FF7" w:rsidRPr="00A34D67">
        <w:rPr>
          <w:rFonts w:ascii="Arial" w:hAnsi="Arial" w:cs="Arial"/>
          <w:sz w:val="24"/>
          <w:szCs w:val="24"/>
          <w:lang w:val="en-US"/>
        </w:rPr>
        <w:t xml:space="preserve"> ‘</w:t>
      </w:r>
      <w:r w:rsidR="005E5AC7" w:rsidRPr="00A34D67">
        <w:rPr>
          <w:rFonts w:ascii="Arial" w:hAnsi="Arial" w:cs="Arial"/>
          <w:sz w:val="24"/>
          <w:szCs w:val="24"/>
          <w:lang w:val="en-US"/>
        </w:rPr>
        <w:t>express treaty provisions</w:t>
      </w:r>
      <w:r w:rsidR="00483FF7" w:rsidRPr="00A34D67">
        <w:rPr>
          <w:rFonts w:ascii="Arial" w:hAnsi="Arial" w:cs="Arial"/>
          <w:sz w:val="24"/>
          <w:szCs w:val="24"/>
          <w:lang w:val="en-US"/>
        </w:rPr>
        <w:t>’</w:t>
      </w:r>
      <w:r w:rsidR="005E5AC7" w:rsidRPr="00A34D67">
        <w:rPr>
          <w:rFonts w:ascii="Arial" w:hAnsi="Arial" w:cs="Arial"/>
          <w:sz w:val="24"/>
          <w:szCs w:val="24"/>
          <w:lang w:val="en-US"/>
        </w:rPr>
        <w:t>.</w:t>
      </w:r>
      <w:r w:rsidR="00483FF7" w:rsidRPr="00A34D67">
        <w:rPr>
          <w:rStyle w:val="FootnoteReference"/>
          <w:rFonts w:ascii="Arial" w:hAnsi="Arial" w:cs="Arial"/>
          <w:sz w:val="24"/>
          <w:szCs w:val="24"/>
          <w:lang w:val="en-US"/>
        </w:rPr>
        <w:footnoteReference w:id="107"/>
      </w:r>
      <w:r w:rsidR="005E5AC7" w:rsidRPr="00A34D67">
        <w:rPr>
          <w:rFonts w:ascii="Arial" w:hAnsi="Arial" w:cs="Arial"/>
          <w:color w:val="FF0000"/>
          <w:sz w:val="24"/>
          <w:szCs w:val="24"/>
          <w:lang w:val="en-US"/>
        </w:rPr>
        <w:t xml:space="preserve"> </w:t>
      </w:r>
      <w:r w:rsidR="005E5AC7" w:rsidRPr="00A34D67">
        <w:rPr>
          <w:rFonts w:ascii="Arial" w:hAnsi="Arial" w:cs="Arial"/>
          <w:sz w:val="24"/>
          <w:szCs w:val="24"/>
          <w:lang w:val="en-US"/>
        </w:rPr>
        <w:t>Pellet further stressed that human rights bodies “could and should assess whether reservations were permissible when that was necessary for the exercise of their functions,” but that they could not exceed the bounds of necessity “to discharge their main responsibility”.</w:t>
      </w:r>
      <w:r w:rsidR="00344EA0" w:rsidRPr="00A34D67">
        <w:rPr>
          <w:rStyle w:val="FootnoteReference"/>
          <w:rFonts w:ascii="Arial" w:hAnsi="Arial" w:cs="Arial"/>
          <w:sz w:val="24"/>
          <w:szCs w:val="24"/>
          <w:lang w:val="en-US"/>
        </w:rPr>
        <w:footnoteReference w:id="108"/>
      </w:r>
    </w:p>
    <w:p w14:paraId="2163E0EC" w14:textId="33D1CEB5" w:rsidR="00837742" w:rsidRPr="00A34D67" w:rsidRDefault="00970832" w:rsidP="00401E4C">
      <w:pPr>
        <w:spacing w:line="480" w:lineRule="auto"/>
        <w:rPr>
          <w:rFonts w:ascii="Arial" w:hAnsi="Arial" w:cs="Arial"/>
          <w:sz w:val="24"/>
          <w:szCs w:val="24"/>
          <w:lang w:val="en-US"/>
        </w:rPr>
      </w:pPr>
      <w:r w:rsidRPr="00A34D67">
        <w:rPr>
          <w:rFonts w:ascii="Arial" w:hAnsi="Arial" w:cs="Arial"/>
          <w:sz w:val="24"/>
          <w:szCs w:val="24"/>
          <w:lang w:val="en-US"/>
        </w:rPr>
        <w:t>Pellet criticised the issues concerning state sovereignty and consent that arose from the findings of the General Comment.</w:t>
      </w:r>
      <w:r w:rsidR="007709FA" w:rsidRPr="00A34D67">
        <w:rPr>
          <w:rStyle w:val="FootnoteReference"/>
          <w:rFonts w:ascii="Arial" w:hAnsi="Arial" w:cs="Arial"/>
          <w:sz w:val="24"/>
          <w:szCs w:val="24"/>
          <w:lang w:val="en-US"/>
        </w:rPr>
        <w:footnoteReference w:id="109"/>
      </w:r>
      <w:r w:rsidR="007804BB" w:rsidRPr="00A34D67">
        <w:rPr>
          <w:rFonts w:ascii="Arial" w:hAnsi="Arial" w:cs="Arial"/>
          <w:color w:val="FF0000"/>
          <w:sz w:val="24"/>
          <w:szCs w:val="24"/>
          <w:lang w:val="en-US"/>
        </w:rPr>
        <w:t xml:space="preserve"> </w:t>
      </w:r>
      <w:r w:rsidR="00837742" w:rsidRPr="00A34D67">
        <w:rPr>
          <w:rFonts w:ascii="Arial" w:hAnsi="Arial" w:cs="Arial"/>
          <w:sz w:val="24"/>
          <w:szCs w:val="24"/>
          <w:lang w:val="en-US"/>
        </w:rPr>
        <w:t xml:space="preserve">The </w:t>
      </w:r>
      <w:r w:rsidR="00650026" w:rsidRPr="00A34D67">
        <w:rPr>
          <w:rFonts w:ascii="Arial" w:hAnsi="Arial" w:cs="Arial"/>
          <w:sz w:val="24"/>
          <w:szCs w:val="24"/>
          <w:lang w:val="en-US"/>
        </w:rPr>
        <w:t>HRC</w:t>
      </w:r>
      <w:r w:rsidR="00837742" w:rsidRPr="00A34D67">
        <w:rPr>
          <w:rFonts w:ascii="Arial" w:hAnsi="Arial" w:cs="Arial"/>
          <w:sz w:val="24"/>
          <w:szCs w:val="24"/>
          <w:lang w:val="en-US"/>
        </w:rPr>
        <w:t>’s proposed notion that a state’s consent to be bound by a treaty was</w:t>
      </w:r>
      <w:r w:rsidR="00837742" w:rsidRPr="00A34D67">
        <w:rPr>
          <w:rFonts w:ascii="Arial" w:hAnsi="Arial" w:cs="Arial"/>
          <w:color w:val="FF0000"/>
          <w:sz w:val="24"/>
          <w:szCs w:val="24"/>
          <w:lang w:val="en-US"/>
        </w:rPr>
        <w:t xml:space="preserve"> </w:t>
      </w:r>
      <w:r w:rsidR="000614C0" w:rsidRPr="00A34D67">
        <w:rPr>
          <w:rFonts w:ascii="Arial" w:hAnsi="Arial" w:cs="Arial"/>
          <w:sz w:val="24"/>
          <w:szCs w:val="24"/>
          <w:lang w:val="en-US"/>
        </w:rPr>
        <w:t>insignificant</w:t>
      </w:r>
      <w:r w:rsidR="00837742" w:rsidRPr="00A34D67">
        <w:rPr>
          <w:rFonts w:ascii="Arial" w:hAnsi="Arial" w:cs="Arial"/>
          <w:sz w:val="24"/>
          <w:szCs w:val="24"/>
          <w:lang w:val="en-US"/>
        </w:rPr>
        <w:t xml:space="preserve"> enough to allow a reservation to be severed from it was, in Pellet’s view, preposterous:</w:t>
      </w:r>
    </w:p>
    <w:p w14:paraId="246F6528" w14:textId="03D3057A" w:rsidR="00837742" w:rsidRPr="00A34D67" w:rsidRDefault="00837742" w:rsidP="00401E4C">
      <w:pPr>
        <w:spacing w:line="480" w:lineRule="auto"/>
        <w:ind w:left="993" w:right="1177"/>
        <w:rPr>
          <w:rFonts w:ascii="Arial" w:hAnsi="Arial" w:cs="Arial"/>
          <w:sz w:val="24"/>
          <w:szCs w:val="24"/>
          <w:lang w:val="en-US"/>
        </w:rPr>
      </w:pPr>
      <w:r w:rsidRPr="00A34D67">
        <w:rPr>
          <w:rFonts w:ascii="Arial" w:hAnsi="Arial" w:cs="Arial"/>
          <w:sz w:val="24"/>
          <w:szCs w:val="24"/>
          <w:lang w:val="en-US"/>
        </w:rPr>
        <w:t>“T</w:t>
      </w:r>
      <w:r w:rsidR="007804BB" w:rsidRPr="00A34D67">
        <w:rPr>
          <w:rFonts w:ascii="Arial" w:hAnsi="Arial" w:cs="Arial"/>
          <w:sz w:val="24"/>
          <w:szCs w:val="24"/>
          <w:lang w:val="en-US"/>
        </w:rPr>
        <w:t>he reservations made</w:t>
      </w:r>
      <w:r w:rsidRPr="00A34D67">
        <w:rPr>
          <w:rFonts w:ascii="Arial" w:hAnsi="Arial" w:cs="Arial"/>
          <w:bCs/>
          <w:sz w:val="24"/>
          <w:szCs w:val="24"/>
          <w:lang w:val="en-US"/>
        </w:rPr>
        <w:t>…</w:t>
      </w:r>
      <w:r w:rsidRPr="00A34D67">
        <w:rPr>
          <w:rFonts w:ascii="Arial" w:hAnsi="Arial" w:cs="Arial"/>
          <w:b/>
          <w:bCs/>
          <w:sz w:val="24"/>
          <w:szCs w:val="24"/>
          <w:lang w:val="en-US"/>
        </w:rPr>
        <w:t xml:space="preserve"> </w:t>
      </w:r>
      <w:r w:rsidR="008C13F3" w:rsidRPr="00A34D67">
        <w:rPr>
          <w:rFonts w:ascii="Arial" w:hAnsi="Arial" w:cs="Arial"/>
          <w:sz w:val="24"/>
          <w:szCs w:val="24"/>
          <w:lang w:val="en-US"/>
        </w:rPr>
        <w:t xml:space="preserve">were </w:t>
      </w:r>
      <w:r w:rsidRPr="00A34D67">
        <w:rPr>
          <w:rFonts w:ascii="Arial" w:hAnsi="Arial" w:cs="Arial"/>
          <w:sz w:val="24"/>
          <w:szCs w:val="24"/>
          <w:lang w:val="en-US"/>
        </w:rPr>
        <w:t>‘</w:t>
      </w:r>
      <w:r w:rsidR="008C13F3" w:rsidRPr="00A34D67">
        <w:rPr>
          <w:rFonts w:ascii="Arial" w:hAnsi="Arial" w:cs="Arial"/>
          <w:sz w:val="24"/>
          <w:szCs w:val="24"/>
          <w:lang w:val="en-US"/>
        </w:rPr>
        <w:t>consubstan</w:t>
      </w:r>
      <w:r w:rsidR="007804BB" w:rsidRPr="00A34D67">
        <w:rPr>
          <w:rFonts w:ascii="Arial" w:hAnsi="Arial" w:cs="Arial"/>
          <w:sz w:val="24"/>
          <w:szCs w:val="24"/>
          <w:lang w:val="en-US"/>
        </w:rPr>
        <w:t>tial</w:t>
      </w:r>
      <w:r w:rsidRPr="00A34D67">
        <w:rPr>
          <w:rFonts w:ascii="Arial" w:hAnsi="Arial" w:cs="Arial"/>
          <w:sz w:val="24"/>
          <w:szCs w:val="24"/>
          <w:lang w:val="en-US"/>
        </w:rPr>
        <w:t>’</w:t>
      </w:r>
      <w:r w:rsidR="007804BB" w:rsidRPr="00A34D67">
        <w:rPr>
          <w:rFonts w:ascii="Arial" w:hAnsi="Arial" w:cs="Arial"/>
          <w:sz w:val="24"/>
          <w:szCs w:val="24"/>
          <w:lang w:val="en-US"/>
        </w:rPr>
        <w:t xml:space="preserve"> with the State</w:t>
      </w:r>
      <w:r w:rsidRPr="00A34D67">
        <w:rPr>
          <w:rFonts w:ascii="Arial" w:hAnsi="Arial" w:cs="Arial"/>
          <w:sz w:val="24"/>
          <w:szCs w:val="24"/>
          <w:lang w:val="en-US"/>
        </w:rPr>
        <w:t>’</w:t>
      </w:r>
      <w:r w:rsidR="007804BB" w:rsidRPr="00A34D67">
        <w:rPr>
          <w:rFonts w:ascii="Arial" w:hAnsi="Arial" w:cs="Arial"/>
          <w:sz w:val="24"/>
          <w:szCs w:val="24"/>
          <w:lang w:val="en-US"/>
        </w:rPr>
        <w:t xml:space="preserve">s consent to be bound by the treaty... [such that] the State </w:t>
      </w:r>
      <w:r w:rsidR="007804BB" w:rsidRPr="00A34D67">
        <w:rPr>
          <w:rFonts w:ascii="Arial" w:hAnsi="Arial" w:cs="Arial"/>
          <w:i/>
          <w:iCs/>
          <w:sz w:val="24"/>
          <w:szCs w:val="24"/>
          <w:lang w:val="en-US"/>
        </w:rPr>
        <w:t xml:space="preserve">alone </w:t>
      </w:r>
      <w:r w:rsidR="007804BB" w:rsidRPr="00A34D67">
        <w:rPr>
          <w:rFonts w:ascii="Arial" w:hAnsi="Arial" w:cs="Arial"/>
          <w:sz w:val="24"/>
          <w:szCs w:val="24"/>
          <w:lang w:val="en-US"/>
        </w:rPr>
        <w:t>could know the exact role of its reservation to its consent.</w:t>
      </w:r>
      <w:r w:rsidRPr="00A34D67">
        <w:rPr>
          <w:rFonts w:ascii="Arial" w:hAnsi="Arial" w:cs="Arial"/>
          <w:sz w:val="24"/>
          <w:szCs w:val="24"/>
          <w:lang w:val="en-US"/>
        </w:rPr>
        <w:t>”</w:t>
      </w:r>
      <w:r w:rsidRPr="00A34D67">
        <w:rPr>
          <w:rStyle w:val="FootnoteReference"/>
          <w:rFonts w:ascii="Arial" w:hAnsi="Arial" w:cs="Arial"/>
          <w:sz w:val="24"/>
          <w:szCs w:val="24"/>
          <w:lang w:val="en-US"/>
        </w:rPr>
        <w:footnoteReference w:id="110"/>
      </w:r>
    </w:p>
    <w:p w14:paraId="1C22C015" w14:textId="62E4C1B5" w:rsidR="007804BB" w:rsidRPr="00A34D67" w:rsidRDefault="00A86A1B" w:rsidP="00401E4C">
      <w:pPr>
        <w:spacing w:line="480" w:lineRule="auto"/>
        <w:rPr>
          <w:rFonts w:ascii="Arial" w:hAnsi="Arial" w:cs="Arial"/>
          <w:sz w:val="24"/>
          <w:szCs w:val="24"/>
          <w:lang w:val="en-US"/>
        </w:rPr>
      </w:pPr>
      <w:r w:rsidRPr="00A34D67">
        <w:rPr>
          <w:rFonts w:ascii="Arial" w:hAnsi="Arial" w:cs="Arial"/>
          <w:sz w:val="24"/>
          <w:szCs w:val="24"/>
          <w:lang w:val="en-US"/>
        </w:rPr>
        <w:t>The HRC’s</w:t>
      </w:r>
      <w:r w:rsidR="007804BB" w:rsidRPr="00A34D67">
        <w:rPr>
          <w:rFonts w:ascii="Arial" w:hAnsi="Arial" w:cs="Arial"/>
          <w:sz w:val="24"/>
          <w:szCs w:val="24"/>
          <w:lang w:val="en-US"/>
        </w:rPr>
        <w:t xml:space="preserve"> </w:t>
      </w:r>
      <w:r w:rsidRPr="00A34D67">
        <w:rPr>
          <w:rFonts w:ascii="Arial" w:hAnsi="Arial" w:cs="Arial"/>
          <w:sz w:val="24"/>
          <w:szCs w:val="24"/>
          <w:lang w:val="en-US"/>
        </w:rPr>
        <w:t>claimed binding authority</w:t>
      </w:r>
      <w:r w:rsidR="00E6162D" w:rsidRPr="00A34D67">
        <w:rPr>
          <w:rFonts w:ascii="Arial" w:hAnsi="Arial" w:cs="Arial"/>
          <w:sz w:val="24"/>
          <w:szCs w:val="24"/>
          <w:lang w:val="en-US"/>
        </w:rPr>
        <w:t xml:space="preserve"> over decision-making</w:t>
      </w:r>
      <w:r w:rsidRPr="00A34D67">
        <w:rPr>
          <w:rFonts w:ascii="Arial" w:hAnsi="Arial" w:cs="Arial"/>
          <w:sz w:val="24"/>
          <w:szCs w:val="24"/>
          <w:lang w:val="en-US"/>
        </w:rPr>
        <w:t xml:space="preserve"> and</w:t>
      </w:r>
      <w:r w:rsidR="00E6162D" w:rsidRPr="00A34D67">
        <w:rPr>
          <w:rFonts w:ascii="Arial" w:hAnsi="Arial" w:cs="Arial"/>
          <w:sz w:val="24"/>
          <w:szCs w:val="24"/>
          <w:lang w:val="en-US"/>
        </w:rPr>
        <w:t xml:space="preserve"> its</w:t>
      </w:r>
      <w:r w:rsidRPr="00A34D67">
        <w:rPr>
          <w:rFonts w:ascii="Arial" w:hAnsi="Arial" w:cs="Arial"/>
          <w:sz w:val="24"/>
          <w:szCs w:val="24"/>
          <w:lang w:val="en-US"/>
        </w:rPr>
        <w:t xml:space="preserve"> </w:t>
      </w:r>
      <w:r w:rsidR="00E6162D" w:rsidRPr="00A34D67">
        <w:rPr>
          <w:rFonts w:ascii="Arial" w:hAnsi="Arial" w:cs="Arial"/>
          <w:sz w:val="24"/>
          <w:szCs w:val="24"/>
          <w:lang w:val="en-US"/>
        </w:rPr>
        <w:t>“excessive pretensions…</w:t>
      </w:r>
      <w:r w:rsidR="007804BB" w:rsidRPr="00A34D67">
        <w:rPr>
          <w:rFonts w:ascii="Arial" w:hAnsi="Arial" w:cs="Arial"/>
          <w:sz w:val="24"/>
          <w:szCs w:val="24"/>
          <w:lang w:val="en-US"/>
        </w:rPr>
        <w:t xml:space="preserve"> in seeking to act as the </w:t>
      </w:r>
      <w:r w:rsidR="007804BB" w:rsidRPr="00A34D67">
        <w:rPr>
          <w:rFonts w:ascii="Arial" w:hAnsi="Arial" w:cs="Arial"/>
          <w:i/>
          <w:iCs/>
          <w:sz w:val="24"/>
          <w:szCs w:val="24"/>
          <w:lang w:val="en-US"/>
        </w:rPr>
        <w:t xml:space="preserve">sole </w:t>
      </w:r>
      <w:r w:rsidR="007804BB" w:rsidRPr="00A34D67">
        <w:rPr>
          <w:rFonts w:ascii="Arial" w:hAnsi="Arial" w:cs="Arial"/>
          <w:sz w:val="24"/>
          <w:szCs w:val="24"/>
          <w:lang w:val="en-US"/>
        </w:rPr>
        <w:t>judge of the permissibility of reservations,</w:t>
      </w:r>
      <w:r w:rsidR="00E6162D" w:rsidRPr="00A34D67">
        <w:rPr>
          <w:rFonts w:ascii="Arial" w:hAnsi="Arial" w:cs="Arial"/>
          <w:sz w:val="24"/>
          <w:szCs w:val="24"/>
          <w:lang w:val="en-US"/>
        </w:rPr>
        <w:t>”</w:t>
      </w:r>
      <w:r w:rsidRPr="00A34D67">
        <w:rPr>
          <w:rFonts w:ascii="Arial" w:hAnsi="Arial" w:cs="Arial"/>
          <w:sz w:val="24"/>
          <w:szCs w:val="24"/>
          <w:lang w:val="en-US"/>
        </w:rPr>
        <w:t xml:space="preserve"> understandably irked Pellet</w:t>
      </w:r>
      <w:r w:rsidR="00E6162D" w:rsidRPr="00A34D67">
        <w:rPr>
          <w:rFonts w:ascii="Arial" w:hAnsi="Arial" w:cs="Arial"/>
          <w:sz w:val="24"/>
          <w:szCs w:val="24"/>
          <w:lang w:val="en-US"/>
        </w:rPr>
        <w:t>.</w:t>
      </w:r>
      <w:r w:rsidR="00E6162D" w:rsidRPr="00A34D67">
        <w:rPr>
          <w:rStyle w:val="FootnoteReference"/>
          <w:rFonts w:ascii="Arial" w:hAnsi="Arial" w:cs="Arial"/>
          <w:sz w:val="24"/>
          <w:szCs w:val="24"/>
          <w:lang w:val="en-US"/>
        </w:rPr>
        <w:footnoteReference w:id="111"/>
      </w:r>
      <w:r w:rsidR="00E6162D" w:rsidRPr="00A34D67">
        <w:rPr>
          <w:rFonts w:ascii="Arial" w:hAnsi="Arial" w:cs="Arial"/>
          <w:sz w:val="24"/>
          <w:szCs w:val="24"/>
          <w:lang w:val="en-US"/>
        </w:rPr>
        <w:t xml:space="preserve"> </w:t>
      </w:r>
      <w:r w:rsidR="00D160D5" w:rsidRPr="00A34D67">
        <w:rPr>
          <w:rFonts w:ascii="Arial" w:hAnsi="Arial" w:cs="Arial"/>
          <w:sz w:val="24"/>
          <w:szCs w:val="24"/>
          <w:lang w:val="en-US"/>
        </w:rPr>
        <w:t xml:space="preserve">The Special Rapporteur believed </w:t>
      </w:r>
      <w:r w:rsidR="007804BB" w:rsidRPr="00A34D67">
        <w:rPr>
          <w:rFonts w:ascii="Arial" w:hAnsi="Arial" w:cs="Arial"/>
          <w:sz w:val="24"/>
          <w:szCs w:val="24"/>
          <w:lang w:val="en-US"/>
        </w:rPr>
        <w:t xml:space="preserve">that </w:t>
      </w:r>
      <w:r w:rsidR="00D160D5" w:rsidRPr="00A34D67">
        <w:rPr>
          <w:rFonts w:ascii="Arial" w:hAnsi="Arial" w:cs="Arial"/>
          <w:sz w:val="24"/>
          <w:szCs w:val="24"/>
          <w:lang w:val="en-US"/>
        </w:rPr>
        <w:t>“</w:t>
      </w:r>
      <w:r w:rsidR="007804BB" w:rsidRPr="00A34D67">
        <w:rPr>
          <w:rFonts w:ascii="Arial" w:hAnsi="Arial" w:cs="Arial"/>
          <w:sz w:val="24"/>
          <w:szCs w:val="24"/>
          <w:lang w:val="en-US"/>
        </w:rPr>
        <w:t>decisions of that type made by bodies</w:t>
      </w:r>
      <w:r w:rsidR="00D160D5" w:rsidRPr="00A34D67">
        <w:rPr>
          <w:rFonts w:ascii="Arial" w:hAnsi="Arial" w:cs="Arial"/>
          <w:sz w:val="24"/>
          <w:szCs w:val="24"/>
          <w:lang w:val="en-US"/>
        </w:rPr>
        <w:t>…</w:t>
      </w:r>
      <w:r w:rsidR="007804BB" w:rsidRPr="00A34D67">
        <w:rPr>
          <w:rFonts w:ascii="Arial" w:hAnsi="Arial" w:cs="Arial"/>
          <w:sz w:val="24"/>
          <w:szCs w:val="24"/>
          <w:lang w:val="en-US"/>
        </w:rPr>
        <w:t xml:space="preserve"> like the Committee</w:t>
      </w:r>
      <w:r w:rsidR="00D160D5" w:rsidRPr="00A34D67">
        <w:rPr>
          <w:rFonts w:ascii="Arial" w:hAnsi="Arial" w:cs="Arial"/>
          <w:sz w:val="24"/>
          <w:szCs w:val="24"/>
          <w:lang w:val="en-US"/>
        </w:rPr>
        <w:t xml:space="preserve">… </w:t>
      </w:r>
      <w:r w:rsidR="007804BB" w:rsidRPr="00A34D67">
        <w:rPr>
          <w:rFonts w:ascii="Arial" w:hAnsi="Arial" w:cs="Arial"/>
          <w:sz w:val="24"/>
          <w:szCs w:val="24"/>
          <w:lang w:val="en-US"/>
        </w:rPr>
        <w:t>would be contrary to general international law</w:t>
      </w:r>
      <w:r w:rsidR="00D160D5" w:rsidRPr="00A34D67">
        <w:rPr>
          <w:rFonts w:ascii="Arial" w:hAnsi="Arial" w:cs="Arial"/>
          <w:sz w:val="24"/>
          <w:szCs w:val="24"/>
          <w:lang w:val="en-US"/>
        </w:rPr>
        <w:t>”</w:t>
      </w:r>
      <w:r w:rsidR="007804BB" w:rsidRPr="00A34D67">
        <w:rPr>
          <w:rFonts w:ascii="Arial" w:hAnsi="Arial" w:cs="Arial"/>
          <w:sz w:val="24"/>
          <w:szCs w:val="24"/>
          <w:lang w:val="en-US"/>
        </w:rPr>
        <w:t>.</w:t>
      </w:r>
      <w:r w:rsidR="00D160D5" w:rsidRPr="00A34D67">
        <w:rPr>
          <w:rStyle w:val="FootnoteReference"/>
          <w:rFonts w:ascii="Arial" w:hAnsi="Arial" w:cs="Arial"/>
          <w:sz w:val="24"/>
          <w:szCs w:val="24"/>
          <w:lang w:val="en-US"/>
        </w:rPr>
        <w:footnoteReference w:id="112"/>
      </w:r>
      <w:r w:rsidR="007804BB" w:rsidRPr="00A34D67">
        <w:rPr>
          <w:rFonts w:ascii="Arial" w:hAnsi="Arial" w:cs="Arial"/>
          <w:color w:val="FF0000"/>
          <w:sz w:val="24"/>
          <w:szCs w:val="24"/>
          <w:lang w:val="en-US"/>
        </w:rPr>
        <w:t xml:space="preserve"> </w:t>
      </w:r>
      <w:r w:rsidR="00E03F7F" w:rsidRPr="00A34D67">
        <w:rPr>
          <w:rFonts w:ascii="Arial" w:hAnsi="Arial" w:cs="Arial"/>
          <w:sz w:val="24"/>
          <w:szCs w:val="24"/>
          <w:lang w:val="en-US"/>
        </w:rPr>
        <w:t>Pellet</w:t>
      </w:r>
      <w:r w:rsidR="007804BB" w:rsidRPr="00A34D67">
        <w:rPr>
          <w:rFonts w:ascii="Arial" w:hAnsi="Arial" w:cs="Arial"/>
          <w:sz w:val="24"/>
          <w:szCs w:val="24"/>
          <w:lang w:val="en-US"/>
        </w:rPr>
        <w:t xml:space="preserve"> </w:t>
      </w:r>
      <w:r w:rsidR="00493EED" w:rsidRPr="00A34D67">
        <w:rPr>
          <w:rFonts w:ascii="Arial" w:hAnsi="Arial" w:cs="Arial"/>
          <w:sz w:val="24"/>
          <w:szCs w:val="24"/>
          <w:lang w:val="en-US"/>
        </w:rPr>
        <w:t>contended</w:t>
      </w:r>
      <w:r w:rsidR="007804BB" w:rsidRPr="00A34D67">
        <w:rPr>
          <w:rFonts w:ascii="Arial" w:hAnsi="Arial" w:cs="Arial"/>
          <w:sz w:val="24"/>
          <w:szCs w:val="24"/>
          <w:lang w:val="en-US"/>
        </w:rPr>
        <w:t xml:space="preserve"> that </w:t>
      </w:r>
      <w:r w:rsidR="00493EED" w:rsidRPr="00A34D67">
        <w:rPr>
          <w:rFonts w:ascii="Arial" w:hAnsi="Arial" w:cs="Arial"/>
          <w:sz w:val="24"/>
          <w:szCs w:val="24"/>
          <w:lang w:val="en-US"/>
        </w:rPr>
        <w:t xml:space="preserve">monitoring </w:t>
      </w:r>
      <w:r w:rsidR="007804BB" w:rsidRPr="00A34D67">
        <w:rPr>
          <w:rFonts w:ascii="Arial" w:hAnsi="Arial" w:cs="Arial"/>
          <w:sz w:val="24"/>
          <w:szCs w:val="24"/>
          <w:lang w:val="en-US"/>
        </w:rPr>
        <w:t xml:space="preserve">bodies </w:t>
      </w:r>
      <w:r w:rsidR="00493EED" w:rsidRPr="00A34D67">
        <w:rPr>
          <w:rFonts w:ascii="Arial" w:hAnsi="Arial" w:cs="Arial"/>
          <w:sz w:val="24"/>
          <w:szCs w:val="24"/>
          <w:lang w:val="en-US"/>
        </w:rPr>
        <w:t>like</w:t>
      </w:r>
      <w:r w:rsidR="007804BB" w:rsidRPr="00A34D67">
        <w:rPr>
          <w:rFonts w:ascii="Arial" w:hAnsi="Arial" w:cs="Arial"/>
          <w:sz w:val="24"/>
          <w:szCs w:val="24"/>
          <w:lang w:val="en-US"/>
        </w:rPr>
        <w:t xml:space="preserve"> the </w:t>
      </w:r>
      <w:r w:rsidR="00493EED" w:rsidRPr="00A34D67">
        <w:rPr>
          <w:rFonts w:ascii="Arial" w:hAnsi="Arial" w:cs="Arial"/>
          <w:sz w:val="24"/>
          <w:szCs w:val="24"/>
          <w:lang w:val="en-US"/>
        </w:rPr>
        <w:t>HRC</w:t>
      </w:r>
      <w:r w:rsidR="007804BB" w:rsidRPr="00A34D67">
        <w:rPr>
          <w:rFonts w:ascii="Arial" w:hAnsi="Arial" w:cs="Arial"/>
          <w:sz w:val="24"/>
          <w:szCs w:val="24"/>
          <w:lang w:val="en-US"/>
        </w:rPr>
        <w:t xml:space="preserve"> </w:t>
      </w:r>
      <w:r w:rsidR="00493EED" w:rsidRPr="00A34D67">
        <w:rPr>
          <w:rFonts w:ascii="Arial" w:hAnsi="Arial" w:cs="Arial"/>
          <w:sz w:val="24"/>
          <w:szCs w:val="24"/>
          <w:lang w:val="en-US"/>
        </w:rPr>
        <w:t>‘should only provide a state party with their advisory analysis on the state’s reservations’</w:t>
      </w:r>
      <w:r w:rsidR="007804BB" w:rsidRPr="00A34D67">
        <w:rPr>
          <w:rFonts w:ascii="Arial" w:hAnsi="Arial" w:cs="Arial"/>
          <w:sz w:val="24"/>
          <w:szCs w:val="24"/>
          <w:lang w:val="en-US"/>
        </w:rPr>
        <w:t>.</w:t>
      </w:r>
      <w:r w:rsidR="00493EED" w:rsidRPr="00A34D67">
        <w:rPr>
          <w:rStyle w:val="FootnoteReference"/>
          <w:rFonts w:ascii="Arial" w:hAnsi="Arial" w:cs="Arial"/>
          <w:sz w:val="24"/>
          <w:szCs w:val="24"/>
          <w:lang w:val="en-US"/>
        </w:rPr>
        <w:footnoteReference w:id="113"/>
      </w:r>
      <w:r w:rsidR="007804BB" w:rsidRPr="00A34D67">
        <w:rPr>
          <w:rFonts w:ascii="Arial" w:hAnsi="Arial" w:cs="Arial"/>
          <w:color w:val="FF0000"/>
          <w:sz w:val="24"/>
          <w:szCs w:val="24"/>
          <w:lang w:val="en-US"/>
        </w:rPr>
        <w:t xml:space="preserve"> </w:t>
      </w:r>
      <w:r w:rsidR="00493EED" w:rsidRPr="00A34D67">
        <w:rPr>
          <w:rFonts w:ascii="Arial" w:hAnsi="Arial" w:cs="Arial"/>
          <w:sz w:val="24"/>
          <w:szCs w:val="24"/>
          <w:lang w:val="en-US"/>
        </w:rPr>
        <w:t>It is the responsibility of the state to then</w:t>
      </w:r>
      <w:r w:rsidR="007804BB" w:rsidRPr="00A34D67">
        <w:rPr>
          <w:rFonts w:ascii="Arial" w:hAnsi="Arial" w:cs="Arial"/>
          <w:sz w:val="24"/>
          <w:szCs w:val="24"/>
          <w:lang w:val="en-US"/>
        </w:rPr>
        <w:t xml:space="preserve"> </w:t>
      </w:r>
      <w:r w:rsidR="00493EED" w:rsidRPr="00A34D67">
        <w:rPr>
          <w:rFonts w:ascii="Arial" w:hAnsi="Arial" w:cs="Arial"/>
          <w:sz w:val="24"/>
          <w:szCs w:val="24"/>
          <w:lang w:val="en-US"/>
        </w:rPr>
        <w:t>“</w:t>
      </w:r>
      <w:r w:rsidR="007804BB" w:rsidRPr="00A34D67">
        <w:rPr>
          <w:rFonts w:ascii="Arial" w:hAnsi="Arial" w:cs="Arial"/>
          <w:sz w:val="24"/>
          <w:szCs w:val="24"/>
          <w:lang w:val="en-US"/>
        </w:rPr>
        <w:t>examine the finding in good faith</w:t>
      </w:r>
      <w:r w:rsidR="00493EED" w:rsidRPr="00A34D67">
        <w:rPr>
          <w:rFonts w:ascii="Arial" w:hAnsi="Arial" w:cs="Arial"/>
          <w:sz w:val="24"/>
          <w:szCs w:val="24"/>
          <w:lang w:val="en-US"/>
        </w:rPr>
        <w:t>”</w:t>
      </w:r>
      <w:r w:rsidR="007804BB" w:rsidRPr="00A34D67">
        <w:rPr>
          <w:rFonts w:ascii="Arial" w:hAnsi="Arial" w:cs="Arial"/>
          <w:sz w:val="24"/>
          <w:szCs w:val="24"/>
          <w:lang w:val="en-US"/>
        </w:rPr>
        <w:t xml:space="preserve"> and </w:t>
      </w:r>
      <w:r w:rsidR="00493EED" w:rsidRPr="00A34D67">
        <w:rPr>
          <w:rFonts w:ascii="Arial" w:hAnsi="Arial" w:cs="Arial"/>
          <w:sz w:val="24"/>
          <w:szCs w:val="24"/>
          <w:lang w:val="en-US"/>
        </w:rPr>
        <w:t>respond</w:t>
      </w:r>
      <w:r w:rsidR="007804BB" w:rsidRPr="00A34D67">
        <w:rPr>
          <w:rFonts w:ascii="Arial" w:hAnsi="Arial" w:cs="Arial"/>
          <w:sz w:val="24"/>
          <w:szCs w:val="24"/>
          <w:lang w:val="en-US"/>
        </w:rPr>
        <w:t xml:space="preserve"> </w:t>
      </w:r>
      <w:r w:rsidR="00493EED" w:rsidRPr="00A34D67">
        <w:rPr>
          <w:rFonts w:ascii="Arial" w:hAnsi="Arial" w:cs="Arial"/>
          <w:sz w:val="24"/>
          <w:szCs w:val="24"/>
          <w:lang w:val="en-US"/>
        </w:rPr>
        <w:t>in a suitable manner,</w:t>
      </w:r>
      <w:r w:rsidR="00761662" w:rsidRPr="00A34D67">
        <w:rPr>
          <w:rStyle w:val="FootnoteReference"/>
          <w:rFonts w:ascii="Arial" w:hAnsi="Arial" w:cs="Arial"/>
          <w:sz w:val="24"/>
          <w:szCs w:val="24"/>
          <w:lang w:val="en-US"/>
        </w:rPr>
        <w:footnoteReference w:id="114"/>
      </w:r>
      <w:r w:rsidR="00493EED" w:rsidRPr="00A34D67">
        <w:rPr>
          <w:rFonts w:ascii="Arial" w:hAnsi="Arial" w:cs="Arial"/>
          <w:sz w:val="24"/>
          <w:szCs w:val="24"/>
          <w:lang w:val="en-US"/>
        </w:rPr>
        <w:t xml:space="preserve"> whether that </w:t>
      </w:r>
      <w:r w:rsidR="00761662" w:rsidRPr="00A34D67">
        <w:rPr>
          <w:rFonts w:ascii="Arial" w:hAnsi="Arial" w:cs="Arial"/>
          <w:sz w:val="24"/>
          <w:szCs w:val="24"/>
          <w:lang w:val="en-US"/>
        </w:rPr>
        <w:t>involved ‘maintaining, withdrawing or replacing its reservation, or withdrawing from the treaty’</w:t>
      </w:r>
      <w:r w:rsidR="007804BB" w:rsidRPr="00A34D67">
        <w:rPr>
          <w:rFonts w:ascii="Arial" w:hAnsi="Arial" w:cs="Arial"/>
          <w:sz w:val="24"/>
          <w:szCs w:val="24"/>
          <w:lang w:val="en-US"/>
        </w:rPr>
        <w:t>.</w:t>
      </w:r>
      <w:r w:rsidR="00761662" w:rsidRPr="00A34D67">
        <w:rPr>
          <w:rStyle w:val="FootnoteReference"/>
          <w:rFonts w:ascii="Arial" w:hAnsi="Arial" w:cs="Arial"/>
          <w:sz w:val="24"/>
          <w:szCs w:val="24"/>
          <w:lang w:val="en-US"/>
        </w:rPr>
        <w:footnoteReference w:id="115"/>
      </w:r>
    </w:p>
    <w:p w14:paraId="4959B698" w14:textId="77777777" w:rsidR="00EA4F0C" w:rsidRDefault="0001116E" w:rsidP="00401E4C">
      <w:pPr>
        <w:spacing w:line="480" w:lineRule="auto"/>
        <w:rPr>
          <w:rFonts w:ascii="Arial" w:hAnsi="Arial" w:cs="Arial"/>
          <w:sz w:val="24"/>
          <w:szCs w:val="24"/>
          <w:lang w:val="en-US"/>
        </w:rPr>
      </w:pPr>
      <w:r w:rsidRPr="00A34D67">
        <w:rPr>
          <w:rFonts w:ascii="Arial" w:hAnsi="Arial" w:cs="Arial"/>
          <w:sz w:val="24"/>
          <w:szCs w:val="24"/>
          <w:lang w:val="en-US"/>
        </w:rPr>
        <w:t>It was not until Pellet’s final report that he evaluated the so-called ‘reservations dialogue’</w:t>
      </w:r>
      <w:r w:rsidRPr="00A34D67">
        <w:rPr>
          <w:rStyle w:val="FootnoteReference"/>
          <w:rFonts w:ascii="Arial" w:hAnsi="Arial" w:cs="Arial"/>
          <w:sz w:val="24"/>
          <w:szCs w:val="24"/>
          <w:lang w:val="en-US"/>
        </w:rPr>
        <w:footnoteReference w:id="116"/>
      </w:r>
      <w:r w:rsidR="00DD0E8F" w:rsidRPr="00A34D67">
        <w:rPr>
          <w:rFonts w:ascii="Arial" w:hAnsi="Arial" w:cs="Arial"/>
          <w:sz w:val="24"/>
          <w:szCs w:val="24"/>
          <w:lang w:val="en-US"/>
        </w:rPr>
        <w:t xml:space="preserve"> between parties to a treaty, including the reserving party.</w:t>
      </w:r>
      <w:r w:rsidR="00A0123E" w:rsidRPr="00A34D67">
        <w:rPr>
          <w:rFonts w:ascii="Arial" w:hAnsi="Arial" w:cs="Arial"/>
          <w:sz w:val="24"/>
          <w:szCs w:val="24"/>
          <w:lang w:val="en-US"/>
        </w:rPr>
        <w:t xml:space="preserve"> </w:t>
      </w:r>
      <w:r w:rsidR="00FA5B91" w:rsidRPr="00A34D67">
        <w:rPr>
          <w:rFonts w:ascii="Arial" w:hAnsi="Arial" w:cs="Arial"/>
          <w:sz w:val="24"/>
          <w:szCs w:val="24"/>
          <w:lang w:val="en-US"/>
        </w:rPr>
        <w:t>The Convention provides no legal structure</w:t>
      </w:r>
      <w:r w:rsidR="00C22486" w:rsidRPr="00A34D67">
        <w:rPr>
          <w:rFonts w:ascii="Arial" w:hAnsi="Arial" w:cs="Arial"/>
          <w:sz w:val="24"/>
          <w:szCs w:val="24"/>
          <w:lang w:val="en-US"/>
        </w:rPr>
        <w:t xml:space="preserve"> </w:t>
      </w:r>
      <w:r w:rsidR="00FA5B91" w:rsidRPr="00A34D67">
        <w:rPr>
          <w:rFonts w:ascii="Arial" w:hAnsi="Arial" w:cs="Arial"/>
          <w:sz w:val="24"/>
          <w:szCs w:val="24"/>
          <w:lang w:val="en-US"/>
        </w:rPr>
        <w:t xml:space="preserve">for </w:t>
      </w:r>
      <w:r w:rsidR="00914797" w:rsidRPr="00A34D67">
        <w:rPr>
          <w:rFonts w:ascii="Arial" w:hAnsi="Arial" w:cs="Arial"/>
          <w:sz w:val="24"/>
          <w:szCs w:val="24"/>
          <w:lang w:val="en-US"/>
        </w:rPr>
        <w:t>this</w:t>
      </w:r>
      <w:r w:rsidR="00FA5B91" w:rsidRPr="00A34D67">
        <w:rPr>
          <w:rFonts w:ascii="Arial" w:hAnsi="Arial" w:cs="Arial"/>
          <w:sz w:val="24"/>
          <w:szCs w:val="24"/>
          <w:lang w:val="en-US"/>
        </w:rPr>
        <w:t xml:space="preserve"> reservations dialogue</w:t>
      </w:r>
      <w:r w:rsidR="008770EB" w:rsidRPr="00A34D67">
        <w:rPr>
          <w:rFonts w:ascii="Arial" w:hAnsi="Arial" w:cs="Arial"/>
          <w:sz w:val="24"/>
          <w:szCs w:val="24"/>
          <w:lang w:val="en-US"/>
        </w:rPr>
        <w:t>. However, this is not particularly disadvantageous, as Pellet argues that a reservations dialogue would rarely provide a satisfactory outcome anyway.</w:t>
      </w:r>
      <w:r w:rsidR="00BB59B6" w:rsidRPr="00A34D67">
        <w:rPr>
          <w:rFonts w:ascii="Arial" w:hAnsi="Arial" w:cs="Arial"/>
          <w:sz w:val="24"/>
          <w:szCs w:val="24"/>
          <w:lang w:val="en-US"/>
        </w:rPr>
        <w:t xml:space="preserve"> Instead, Pellet called for the establishment of an independent treaty body specifi</w:t>
      </w:r>
      <w:r w:rsidR="00F44FBD" w:rsidRPr="00A34D67">
        <w:rPr>
          <w:rFonts w:ascii="Arial" w:hAnsi="Arial" w:cs="Arial"/>
          <w:sz w:val="24"/>
          <w:szCs w:val="24"/>
          <w:lang w:val="en-US"/>
        </w:rPr>
        <w:t>cally concerned with stalemate outcomes to cases.</w:t>
      </w:r>
      <w:r w:rsidR="00F44FBD" w:rsidRPr="00A34D67">
        <w:rPr>
          <w:rStyle w:val="FootnoteReference"/>
          <w:rFonts w:ascii="Arial" w:hAnsi="Arial" w:cs="Arial"/>
          <w:sz w:val="24"/>
          <w:szCs w:val="24"/>
          <w:lang w:val="en-US"/>
        </w:rPr>
        <w:footnoteReference w:id="117"/>
      </w:r>
      <w:r w:rsidR="00C86D17" w:rsidRPr="00A34D67">
        <w:rPr>
          <w:rFonts w:ascii="Arial" w:hAnsi="Arial" w:cs="Arial"/>
          <w:sz w:val="24"/>
          <w:szCs w:val="24"/>
          <w:lang w:val="en-US"/>
        </w:rPr>
        <w:t xml:space="preserve"> This suggestion was </w:t>
      </w:r>
      <w:r w:rsidR="004642F2">
        <w:rPr>
          <w:rFonts w:ascii="Arial" w:hAnsi="Arial" w:cs="Arial"/>
          <w:sz w:val="24"/>
          <w:szCs w:val="24"/>
          <w:lang w:val="en-US"/>
        </w:rPr>
        <w:t xml:space="preserve">sadly </w:t>
      </w:r>
      <w:r w:rsidR="00C86D17" w:rsidRPr="00A34D67">
        <w:rPr>
          <w:rFonts w:ascii="Arial" w:hAnsi="Arial" w:cs="Arial"/>
          <w:sz w:val="24"/>
          <w:szCs w:val="24"/>
          <w:lang w:val="en-US"/>
        </w:rPr>
        <w:t>never explored by the ILC.</w:t>
      </w:r>
      <w:r w:rsidR="00B25DC0">
        <w:rPr>
          <w:rFonts w:ascii="Arial" w:hAnsi="Arial" w:cs="Arial"/>
          <w:sz w:val="24"/>
          <w:szCs w:val="24"/>
          <w:lang w:val="en-US"/>
        </w:rPr>
        <w:t xml:space="preserve"> </w:t>
      </w:r>
    </w:p>
    <w:p w14:paraId="5DBA092C" w14:textId="77777777" w:rsidR="000C3386" w:rsidRPr="00A34D67" w:rsidRDefault="000C3386" w:rsidP="00401E4C">
      <w:pPr>
        <w:spacing w:line="480" w:lineRule="auto"/>
        <w:rPr>
          <w:rFonts w:ascii="Arial" w:hAnsi="Arial" w:cs="Arial"/>
          <w:sz w:val="24"/>
          <w:szCs w:val="24"/>
          <w:lang w:val="en-US"/>
        </w:rPr>
      </w:pPr>
      <w:r w:rsidRPr="00A34D67">
        <w:rPr>
          <w:rFonts w:ascii="Arial" w:hAnsi="Arial" w:cs="Arial"/>
          <w:sz w:val="24"/>
          <w:szCs w:val="24"/>
          <w:lang w:val="en-US"/>
        </w:rPr>
        <w:t>Many agree with the ILC’s opinion that the record of State objections to reservations is very inconsistent, offering little to ‘no real assurance of ‘quality control’’.</w:t>
      </w:r>
      <w:r w:rsidRPr="00A34D67">
        <w:rPr>
          <w:rStyle w:val="FootnoteReference"/>
          <w:rFonts w:ascii="Arial" w:hAnsi="Arial" w:cs="Arial"/>
          <w:sz w:val="24"/>
          <w:szCs w:val="24"/>
          <w:lang w:val="en-US"/>
        </w:rPr>
        <w:footnoteReference w:id="118"/>
      </w:r>
      <w:r w:rsidRPr="00A34D67">
        <w:rPr>
          <w:rFonts w:ascii="Arial" w:hAnsi="Arial" w:cs="Arial"/>
          <w:sz w:val="24"/>
          <w:szCs w:val="24"/>
          <w:lang w:val="en-US"/>
        </w:rPr>
        <w:t xml:space="preserve"> This argument is even applicable to reservations that eliminate commitments to be bound by treaties,</w:t>
      </w:r>
      <w:r w:rsidRPr="00A34D67">
        <w:rPr>
          <w:rStyle w:val="FootnoteReference"/>
          <w:rFonts w:ascii="Arial" w:hAnsi="Arial" w:cs="Arial"/>
          <w:sz w:val="24"/>
          <w:szCs w:val="24"/>
          <w:lang w:val="en-US"/>
        </w:rPr>
        <w:footnoteReference w:id="119"/>
      </w:r>
      <w:r w:rsidRPr="00A34D67">
        <w:rPr>
          <w:rFonts w:ascii="Arial" w:hAnsi="Arial" w:cs="Arial"/>
          <w:sz w:val="24"/>
          <w:szCs w:val="24"/>
          <w:lang w:val="en-US"/>
        </w:rPr>
        <w:t xml:space="preserve"> which are often unopposed by other states. The HRC therefore remains one of the ‘best guardians’ of the treaties whose application they oversee.</w:t>
      </w:r>
      <w:r w:rsidRPr="00A34D67">
        <w:rPr>
          <w:rStyle w:val="FootnoteReference"/>
          <w:rFonts w:ascii="Arial" w:hAnsi="Arial" w:cs="Arial"/>
          <w:sz w:val="24"/>
          <w:szCs w:val="24"/>
          <w:lang w:val="en-US"/>
        </w:rPr>
        <w:footnoteReference w:id="120"/>
      </w:r>
    </w:p>
    <w:p w14:paraId="64E4ACC2" w14:textId="77777777" w:rsidR="00AE25C3" w:rsidRDefault="00EA4F0C" w:rsidP="00401E4C">
      <w:pPr>
        <w:spacing w:line="480" w:lineRule="auto"/>
        <w:rPr>
          <w:rFonts w:ascii="Arial" w:hAnsi="Arial" w:cs="Arial"/>
          <w:sz w:val="24"/>
          <w:szCs w:val="24"/>
          <w:lang w:val="en-US"/>
        </w:rPr>
      </w:pPr>
      <w:r w:rsidRPr="00A34D67">
        <w:rPr>
          <w:rFonts w:ascii="Arial" w:hAnsi="Arial" w:cs="Arial"/>
          <w:sz w:val="24"/>
          <w:szCs w:val="24"/>
          <w:lang w:val="en-US"/>
        </w:rPr>
        <w:t>In 2011, the ILC produced a consolidatory Guide to Practice on Reservations to Treaties.</w:t>
      </w:r>
      <w:r w:rsidRPr="00A34D67">
        <w:rPr>
          <w:rStyle w:val="FootnoteReference"/>
          <w:rFonts w:ascii="Arial" w:hAnsi="Arial" w:cs="Arial"/>
          <w:sz w:val="24"/>
          <w:szCs w:val="24"/>
          <w:lang w:val="en-US"/>
        </w:rPr>
        <w:footnoteReference w:id="121"/>
      </w:r>
      <w:r w:rsidRPr="00A34D67">
        <w:rPr>
          <w:rFonts w:ascii="Arial" w:hAnsi="Arial" w:cs="Arial"/>
          <w:sz w:val="24"/>
          <w:szCs w:val="24"/>
          <w:lang w:val="en-US"/>
        </w:rPr>
        <w:t xml:space="preserve"> The gigantic Guide has been pivotal in many respects, but most namely because of the extent to which the Guide expanded on the Vienna Convention’s reservations regime. Effectively a ‘Vienna-plus’,</w:t>
      </w:r>
      <w:r w:rsidRPr="00A34D67">
        <w:rPr>
          <w:rStyle w:val="FootnoteReference"/>
          <w:rFonts w:ascii="Arial" w:hAnsi="Arial" w:cs="Arial"/>
          <w:sz w:val="24"/>
          <w:szCs w:val="24"/>
          <w:lang w:val="en-US"/>
        </w:rPr>
        <w:footnoteReference w:id="122"/>
      </w:r>
      <w:r w:rsidRPr="00A34D67">
        <w:rPr>
          <w:rFonts w:ascii="Arial" w:hAnsi="Arial" w:cs="Arial"/>
          <w:color w:val="FF0000"/>
          <w:sz w:val="24"/>
          <w:szCs w:val="24"/>
          <w:lang w:val="en-US"/>
        </w:rPr>
        <w:t xml:space="preserve"> </w:t>
      </w:r>
      <w:r w:rsidRPr="00A34D67">
        <w:rPr>
          <w:rFonts w:ascii="Arial" w:hAnsi="Arial" w:cs="Arial"/>
          <w:sz w:val="24"/>
          <w:szCs w:val="24"/>
          <w:lang w:val="en-US"/>
        </w:rPr>
        <w:t>the ostensibly non-binding 2011 Guide further develops and fills the gaps within the Convention (including its positions on issues ‘such as interpretative declarations’), whilst also expanding on the extensive ‘actual post-Vienna treaty practice’.</w:t>
      </w:r>
      <w:r w:rsidRPr="00A34D67">
        <w:rPr>
          <w:rStyle w:val="FootnoteReference"/>
          <w:rFonts w:ascii="Arial" w:hAnsi="Arial" w:cs="Arial"/>
          <w:sz w:val="24"/>
          <w:szCs w:val="24"/>
          <w:lang w:val="en-US"/>
        </w:rPr>
        <w:footnoteReference w:id="123"/>
      </w:r>
      <w:r w:rsidRPr="00A34D67">
        <w:rPr>
          <w:rFonts w:ascii="Arial" w:hAnsi="Arial" w:cs="Arial"/>
          <w:color w:val="FF0000"/>
          <w:sz w:val="24"/>
          <w:szCs w:val="24"/>
          <w:lang w:val="en-US"/>
        </w:rPr>
        <w:t xml:space="preserve"> </w:t>
      </w:r>
      <w:r w:rsidRPr="00F2416E">
        <w:rPr>
          <w:rFonts w:ascii="Arial" w:hAnsi="Arial" w:cs="Arial"/>
          <w:sz w:val="24"/>
          <w:szCs w:val="24"/>
          <w:lang w:val="en-US"/>
        </w:rPr>
        <w:t xml:space="preserve">For issues including reservations’ timing or the concept of a treaty’s object and purpose, </w:t>
      </w:r>
      <w:r w:rsidRPr="000722E7">
        <w:rPr>
          <w:rFonts w:ascii="Arial" w:hAnsi="Arial" w:cs="Arial"/>
          <w:sz w:val="24"/>
          <w:szCs w:val="24"/>
          <w:lang w:val="en-US"/>
        </w:rPr>
        <w:t>the ILC Guide has become one of the leading authorities to many international legal scholars.</w:t>
      </w:r>
      <w:r w:rsidRPr="000722E7">
        <w:rPr>
          <w:rStyle w:val="FootnoteReference"/>
          <w:rFonts w:ascii="Arial" w:hAnsi="Arial" w:cs="Arial"/>
          <w:sz w:val="24"/>
          <w:szCs w:val="24"/>
          <w:lang w:val="en-US"/>
        </w:rPr>
        <w:footnoteReference w:id="124"/>
      </w:r>
      <w:r w:rsidRPr="00A34D67">
        <w:rPr>
          <w:rFonts w:ascii="Arial" w:hAnsi="Arial" w:cs="Arial"/>
          <w:sz w:val="24"/>
          <w:szCs w:val="24"/>
          <w:lang w:val="en-US"/>
        </w:rPr>
        <w:t xml:space="preserve"> </w:t>
      </w:r>
    </w:p>
    <w:p w14:paraId="6327F06C" w14:textId="4BDA8A31" w:rsidR="0001116E" w:rsidRDefault="00EA4F0C" w:rsidP="00401E4C">
      <w:pPr>
        <w:spacing w:line="480" w:lineRule="auto"/>
        <w:rPr>
          <w:rFonts w:ascii="Arial" w:hAnsi="Arial" w:cs="Arial"/>
          <w:sz w:val="24"/>
          <w:szCs w:val="24"/>
          <w:lang w:val="en-US"/>
        </w:rPr>
      </w:pPr>
      <w:r>
        <w:rPr>
          <w:rFonts w:ascii="Arial" w:hAnsi="Arial" w:cs="Arial"/>
          <w:sz w:val="24"/>
          <w:szCs w:val="24"/>
        </w:rPr>
        <w:t>Crucially</w:t>
      </w:r>
      <w:r w:rsidR="00B25DC0" w:rsidRPr="00B25DC0">
        <w:rPr>
          <w:rFonts w:ascii="Arial" w:hAnsi="Arial" w:cs="Arial"/>
          <w:sz w:val="24"/>
          <w:szCs w:val="24"/>
        </w:rPr>
        <w:t>, the</w:t>
      </w:r>
      <w:r w:rsidR="00A11BB4">
        <w:rPr>
          <w:rFonts w:ascii="Arial" w:hAnsi="Arial" w:cs="Arial"/>
          <w:sz w:val="24"/>
          <w:szCs w:val="24"/>
        </w:rPr>
        <w:t xml:space="preserve"> Annex to the</w:t>
      </w:r>
      <w:r w:rsidR="00B25DC0" w:rsidRPr="00B25DC0">
        <w:rPr>
          <w:rFonts w:ascii="Arial" w:hAnsi="Arial" w:cs="Arial"/>
          <w:sz w:val="24"/>
          <w:szCs w:val="24"/>
        </w:rPr>
        <w:t xml:space="preserve"> ILC</w:t>
      </w:r>
      <w:r w:rsidR="00A60A20">
        <w:rPr>
          <w:rFonts w:ascii="Arial" w:hAnsi="Arial" w:cs="Arial"/>
          <w:sz w:val="24"/>
          <w:szCs w:val="24"/>
        </w:rPr>
        <w:t xml:space="preserve"> Guide 2011</w:t>
      </w:r>
      <w:r w:rsidR="00B25DC0" w:rsidRPr="00B25DC0">
        <w:rPr>
          <w:rFonts w:ascii="Arial" w:hAnsi="Arial" w:cs="Arial"/>
          <w:sz w:val="24"/>
          <w:szCs w:val="24"/>
        </w:rPr>
        <w:t xml:space="preserve"> did consider how a proposed ‘dialogue’ </w:t>
      </w:r>
      <w:r w:rsidR="00B75CDC">
        <w:rPr>
          <w:rFonts w:ascii="Arial" w:hAnsi="Arial" w:cs="Arial"/>
          <w:sz w:val="24"/>
          <w:szCs w:val="24"/>
        </w:rPr>
        <w:t xml:space="preserve">between </w:t>
      </w:r>
      <w:r w:rsidR="00B75CDC" w:rsidRPr="00B75CDC">
        <w:rPr>
          <w:rFonts w:ascii="Arial" w:hAnsi="Arial" w:cs="Arial"/>
          <w:sz w:val="24"/>
          <w:szCs w:val="24"/>
          <w:lang w:val="en-US"/>
        </w:rPr>
        <w:t xml:space="preserve">human rights treaty bodies </w:t>
      </w:r>
      <w:r w:rsidR="00B75CDC">
        <w:rPr>
          <w:rFonts w:ascii="Arial" w:hAnsi="Arial" w:cs="Arial"/>
          <w:sz w:val="24"/>
          <w:szCs w:val="24"/>
          <w:lang w:val="en-US"/>
        </w:rPr>
        <w:t>and</w:t>
      </w:r>
      <w:r w:rsidR="00B75CDC" w:rsidRPr="00B75CDC">
        <w:rPr>
          <w:rFonts w:ascii="Arial" w:hAnsi="Arial" w:cs="Arial"/>
          <w:sz w:val="24"/>
          <w:szCs w:val="24"/>
          <w:lang w:val="en-US"/>
        </w:rPr>
        <w:t xml:space="preserve"> </w:t>
      </w:r>
      <w:r w:rsidR="00B75CDC">
        <w:rPr>
          <w:rFonts w:ascii="Arial" w:hAnsi="Arial" w:cs="Arial"/>
          <w:sz w:val="24"/>
          <w:szCs w:val="24"/>
          <w:lang w:val="en-US"/>
        </w:rPr>
        <w:t>‘</w:t>
      </w:r>
      <w:r w:rsidR="00B75CDC" w:rsidRPr="00B75CDC">
        <w:rPr>
          <w:rFonts w:ascii="Arial" w:hAnsi="Arial" w:cs="Arial"/>
          <w:sz w:val="24"/>
          <w:szCs w:val="24"/>
          <w:lang w:val="en-US"/>
        </w:rPr>
        <w:t xml:space="preserve">within the framework of </w:t>
      </w:r>
      <w:r w:rsidR="00B75CDC">
        <w:rPr>
          <w:rFonts w:ascii="Arial" w:hAnsi="Arial" w:cs="Arial"/>
          <w:sz w:val="24"/>
          <w:szCs w:val="24"/>
          <w:lang w:val="en-US"/>
        </w:rPr>
        <w:t xml:space="preserve">international organizations’ </w:t>
      </w:r>
      <w:r w:rsidR="00B25DC0" w:rsidRPr="00B25DC0">
        <w:rPr>
          <w:rFonts w:ascii="Arial" w:hAnsi="Arial" w:cs="Arial"/>
          <w:sz w:val="24"/>
          <w:szCs w:val="24"/>
        </w:rPr>
        <w:t>would be enabled and recommended that ‘</w:t>
      </w:r>
      <w:r w:rsidR="00BA0EE4">
        <w:rPr>
          <w:rFonts w:ascii="Arial" w:hAnsi="Arial" w:cs="Arial"/>
          <w:sz w:val="24"/>
          <w:szCs w:val="24"/>
        </w:rPr>
        <w:t>[</w:t>
      </w:r>
      <w:r w:rsidR="00F50FD2">
        <w:rPr>
          <w:rFonts w:ascii="Arial" w:hAnsi="Arial" w:cs="Arial"/>
          <w:sz w:val="24"/>
          <w:szCs w:val="24"/>
        </w:rPr>
        <w:t>t</w:t>
      </w:r>
      <w:r w:rsidR="00BA0EE4">
        <w:rPr>
          <w:rFonts w:ascii="Arial" w:hAnsi="Arial" w:cs="Arial"/>
          <w:sz w:val="24"/>
          <w:szCs w:val="24"/>
        </w:rPr>
        <w:t>]</w:t>
      </w:r>
      <w:r w:rsidR="00B25DC0" w:rsidRPr="00B25DC0">
        <w:rPr>
          <w:rFonts w:ascii="Arial" w:hAnsi="Arial" w:cs="Arial"/>
          <w:sz w:val="24"/>
          <w:szCs w:val="24"/>
        </w:rPr>
        <w:t>he General Assembly call upon States and international organisations, as well as monitoring bodies, to initiate and pursue such a reservations dialogue in a pragmatic and transparent manner’.</w:t>
      </w:r>
      <w:r w:rsidR="005B5427" w:rsidRPr="00A34D67">
        <w:rPr>
          <w:rStyle w:val="FootnoteReference"/>
          <w:rFonts w:ascii="Arial" w:hAnsi="Arial" w:cs="Arial"/>
          <w:sz w:val="24"/>
          <w:szCs w:val="24"/>
          <w:lang w:val="en-US"/>
        </w:rPr>
        <w:footnoteReference w:id="125"/>
      </w:r>
      <w:r w:rsidR="005B5427" w:rsidRPr="00A34D67">
        <w:rPr>
          <w:rFonts w:ascii="Arial" w:hAnsi="Arial" w:cs="Arial"/>
          <w:sz w:val="24"/>
          <w:szCs w:val="24"/>
          <w:lang w:val="en-US"/>
        </w:rPr>
        <w:t xml:space="preserve"> </w:t>
      </w:r>
      <w:r w:rsidR="0017182A">
        <w:rPr>
          <w:rFonts w:ascii="Arial" w:hAnsi="Arial" w:cs="Arial"/>
          <w:sz w:val="24"/>
          <w:szCs w:val="24"/>
          <w:lang w:val="en-US"/>
        </w:rPr>
        <w:t xml:space="preserve">The Annex also indicated that the ILC </w:t>
      </w:r>
      <w:r w:rsidR="00F16370">
        <w:rPr>
          <w:rFonts w:ascii="Arial" w:hAnsi="Arial" w:cs="Arial"/>
          <w:sz w:val="24"/>
          <w:szCs w:val="24"/>
          <w:lang w:val="en-US"/>
        </w:rPr>
        <w:t xml:space="preserve">is aware of </w:t>
      </w:r>
      <w:r w:rsidR="0017182A">
        <w:rPr>
          <w:rFonts w:ascii="Arial" w:hAnsi="Arial" w:cs="Arial"/>
          <w:sz w:val="24"/>
          <w:szCs w:val="24"/>
          <w:lang w:val="en-US"/>
        </w:rPr>
        <w:t>the</w:t>
      </w:r>
      <w:r w:rsidR="00F16370">
        <w:rPr>
          <w:rFonts w:ascii="Arial" w:hAnsi="Arial" w:cs="Arial"/>
          <w:sz w:val="24"/>
          <w:szCs w:val="24"/>
          <w:lang w:val="en-US"/>
        </w:rPr>
        <w:t xml:space="preserve"> </w:t>
      </w:r>
      <w:r w:rsidR="00F16370" w:rsidRPr="00F16370">
        <w:rPr>
          <w:rFonts w:ascii="Arial" w:hAnsi="Arial" w:cs="Arial"/>
          <w:sz w:val="24"/>
          <w:szCs w:val="24"/>
          <w:lang w:val="en-US"/>
        </w:rPr>
        <w:t xml:space="preserve">number of reservations </w:t>
      </w:r>
      <w:r w:rsidR="00A35C37">
        <w:rPr>
          <w:rFonts w:ascii="Arial" w:hAnsi="Arial" w:cs="Arial"/>
          <w:sz w:val="24"/>
          <w:szCs w:val="24"/>
          <w:lang w:val="en-US"/>
        </w:rPr>
        <w:t>that</w:t>
      </w:r>
      <w:r w:rsidR="00F16370">
        <w:rPr>
          <w:rFonts w:ascii="Arial" w:hAnsi="Arial" w:cs="Arial"/>
          <w:sz w:val="24"/>
          <w:szCs w:val="24"/>
          <w:lang w:val="en-US"/>
        </w:rPr>
        <w:t xml:space="preserve"> apparently</w:t>
      </w:r>
      <w:r w:rsidR="00F16370" w:rsidRPr="00F16370">
        <w:rPr>
          <w:rFonts w:ascii="Arial" w:hAnsi="Arial" w:cs="Arial"/>
          <w:sz w:val="24"/>
          <w:szCs w:val="24"/>
          <w:lang w:val="en-US"/>
        </w:rPr>
        <w:t xml:space="preserve"> con</w:t>
      </w:r>
      <w:r w:rsidR="00F16370">
        <w:rPr>
          <w:rFonts w:ascii="Arial" w:hAnsi="Arial" w:cs="Arial"/>
          <w:sz w:val="24"/>
          <w:szCs w:val="24"/>
          <w:lang w:val="en-US"/>
        </w:rPr>
        <w:t>flict</w:t>
      </w:r>
      <w:r w:rsidR="00F16370" w:rsidRPr="00F16370">
        <w:rPr>
          <w:rFonts w:ascii="Arial" w:hAnsi="Arial" w:cs="Arial"/>
          <w:sz w:val="24"/>
          <w:szCs w:val="24"/>
          <w:lang w:val="en-US"/>
        </w:rPr>
        <w:t xml:space="preserve"> </w:t>
      </w:r>
      <w:r w:rsidR="00F16370">
        <w:rPr>
          <w:rFonts w:ascii="Arial" w:hAnsi="Arial" w:cs="Arial"/>
          <w:sz w:val="24"/>
          <w:szCs w:val="24"/>
          <w:lang w:val="en-US"/>
        </w:rPr>
        <w:t>‘</w:t>
      </w:r>
      <w:r w:rsidR="00F16370" w:rsidRPr="00F16370">
        <w:rPr>
          <w:rFonts w:ascii="Arial" w:hAnsi="Arial" w:cs="Arial"/>
          <w:sz w:val="24"/>
          <w:szCs w:val="24"/>
          <w:lang w:val="en-US"/>
        </w:rPr>
        <w:t xml:space="preserve">with the limits imposed by the law of treaties, in particular </w:t>
      </w:r>
      <w:r w:rsidR="00773178">
        <w:rPr>
          <w:rFonts w:ascii="Arial" w:hAnsi="Arial" w:cs="Arial"/>
          <w:sz w:val="24"/>
          <w:szCs w:val="24"/>
          <w:lang w:val="en-US"/>
        </w:rPr>
        <w:t>A</w:t>
      </w:r>
      <w:r w:rsidR="00F16370" w:rsidRPr="00F16370">
        <w:rPr>
          <w:rFonts w:ascii="Arial" w:hAnsi="Arial" w:cs="Arial"/>
          <w:sz w:val="24"/>
          <w:szCs w:val="24"/>
          <w:lang w:val="en-US"/>
        </w:rPr>
        <w:t>rticle 19 of the Vienna Conventions on the Law of Treaties</w:t>
      </w:r>
      <w:r w:rsidR="00F16370">
        <w:rPr>
          <w:rFonts w:ascii="Arial" w:hAnsi="Arial" w:cs="Arial"/>
          <w:sz w:val="24"/>
          <w:szCs w:val="24"/>
          <w:lang w:val="en-US"/>
        </w:rPr>
        <w:t>’.</w:t>
      </w:r>
      <w:r w:rsidR="00F16370">
        <w:rPr>
          <w:rStyle w:val="FootnoteReference"/>
          <w:rFonts w:ascii="Arial" w:hAnsi="Arial" w:cs="Arial"/>
          <w:sz w:val="24"/>
          <w:szCs w:val="24"/>
          <w:lang w:val="en-US"/>
        </w:rPr>
        <w:footnoteReference w:id="126"/>
      </w:r>
      <w:r w:rsidR="00F16370" w:rsidRPr="00F16370">
        <w:rPr>
          <w:rFonts w:ascii="Arial" w:hAnsi="Arial" w:cs="Arial"/>
          <w:sz w:val="24"/>
          <w:szCs w:val="24"/>
          <w:lang w:val="en-US"/>
        </w:rPr>
        <w:t xml:space="preserve"> </w:t>
      </w:r>
    </w:p>
    <w:p w14:paraId="7E5468F1" w14:textId="04F735D0" w:rsidR="003235F8" w:rsidRPr="00AD5053" w:rsidRDefault="001861D0" w:rsidP="00401E4C">
      <w:pPr>
        <w:spacing w:line="480" w:lineRule="auto"/>
        <w:rPr>
          <w:rFonts w:ascii="Arial" w:hAnsi="Arial" w:cs="Arial"/>
          <w:color w:val="FF0000"/>
          <w:sz w:val="24"/>
          <w:szCs w:val="24"/>
          <w:lang w:val="en-US"/>
        </w:rPr>
      </w:pPr>
      <w:r w:rsidRPr="00A34D67">
        <w:rPr>
          <w:rFonts w:ascii="Arial" w:hAnsi="Arial" w:cs="Arial"/>
          <w:sz w:val="24"/>
          <w:szCs w:val="24"/>
          <w:lang w:val="en-US"/>
        </w:rPr>
        <w:t xml:space="preserve">The </w:t>
      </w:r>
      <w:r>
        <w:rPr>
          <w:rFonts w:ascii="Arial" w:hAnsi="Arial" w:cs="Arial"/>
          <w:sz w:val="24"/>
          <w:szCs w:val="24"/>
          <w:lang w:val="en-US"/>
        </w:rPr>
        <w:t xml:space="preserve">ILC’s </w:t>
      </w:r>
      <w:r w:rsidRPr="00A34D67">
        <w:rPr>
          <w:rFonts w:ascii="Arial" w:hAnsi="Arial" w:cs="Arial"/>
          <w:sz w:val="24"/>
          <w:szCs w:val="24"/>
          <w:lang w:val="en-US"/>
        </w:rPr>
        <w:t>Special Rapporteur on the topic of cus</w:t>
      </w:r>
      <w:r>
        <w:rPr>
          <w:rFonts w:ascii="Arial" w:hAnsi="Arial" w:cs="Arial"/>
          <w:sz w:val="24"/>
          <w:szCs w:val="24"/>
          <w:lang w:val="en-US"/>
        </w:rPr>
        <w:t xml:space="preserve">tom formation and identification, </w:t>
      </w:r>
      <w:r w:rsidR="000E249A">
        <w:rPr>
          <w:rFonts w:ascii="Arial" w:hAnsi="Arial" w:cs="Arial"/>
          <w:sz w:val="24"/>
          <w:szCs w:val="24"/>
          <w:lang w:val="en-US"/>
        </w:rPr>
        <w:t>Sir Michael Wood</w:t>
      </w:r>
      <w:r>
        <w:rPr>
          <w:rFonts w:ascii="Arial" w:hAnsi="Arial" w:cs="Arial"/>
          <w:sz w:val="24"/>
          <w:szCs w:val="24"/>
          <w:lang w:val="en-US"/>
        </w:rPr>
        <w:t>,</w:t>
      </w:r>
      <w:r w:rsidR="000E249A">
        <w:rPr>
          <w:rFonts w:ascii="Arial" w:hAnsi="Arial" w:cs="Arial"/>
          <w:sz w:val="24"/>
          <w:szCs w:val="24"/>
          <w:lang w:val="en-US"/>
        </w:rPr>
        <w:t xml:space="preserve"> praise</w:t>
      </w:r>
      <w:r>
        <w:rPr>
          <w:rFonts w:ascii="Arial" w:hAnsi="Arial" w:cs="Arial"/>
          <w:sz w:val="24"/>
          <w:szCs w:val="24"/>
          <w:lang w:val="en-US"/>
        </w:rPr>
        <w:t>d</w:t>
      </w:r>
      <w:r w:rsidR="00C46DC0" w:rsidRPr="00C46DC0">
        <w:rPr>
          <w:rFonts w:ascii="Arial" w:hAnsi="Arial" w:cs="Arial"/>
          <w:sz w:val="24"/>
          <w:szCs w:val="24"/>
          <w:lang w:val="en-US"/>
        </w:rPr>
        <w:t xml:space="preserve"> Pellet </w:t>
      </w:r>
      <w:r w:rsidR="000E249A">
        <w:rPr>
          <w:rFonts w:ascii="Arial" w:hAnsi="Arial" w:cs="Arial"/>
          <w:sz w:val="24"/>
          <w:szCs w:val="24"/>
          <w:lang w:val="en-US"/>
        </w:rPr>
        <w:t xml:space="preserve">for his incredible foresight </w:t>
      </w:r>
      <w:r w:rsidR="00C46DC0" w:rsidRPr="00C46DC0">
        <w:rPr>
          <w:rFonts w:ascii="Arial" w:hAnsi="Arial" w:cs="Arial"/>
          <w:sz w:val="24"/>
          <w:szCs w:val="24"/>
          <w:lang w:val="en-US"/>
        </w:rPr>
        <w:t xml:space="preserve">to append the annex to the </w:t>
      </w:r>
      <w:r w:rsidR="00AB2B9C">
        <w:rPr>
          <w:rFonts w:ascii="Arial" w:hAnsi="Arial" w:cs="Arial"/>
          <w:sz w:val="24"/>
          <w:szCs w:val="24"/>
          <w:lang w:val="en-US"/>
        </w:rPr>
        <w:t xml:space="preserve">2011 </w:t>
      </w:r>
      <w:r w:rsidR="00C46DC0" w:rsidRPr="00C46DC0">
        <w:rPr>
          <w:rFonts w:ascii="Arial" w:hAnsi="Arial" w:cs="Arial"/>
          <w:sz w:val="24"/>
          <w:szCs w:val="24"/>
          <w:lang w:val="en-US"/>
        </w:rPr>
        <w:t xml:space="preserve">Guide </w:t>
      </w:r>
      <w:r w:rsidR="00AB2B9C">
        <w:rPr>
          <w:rFonts w:ascii="Arial" w:hAnsi="Arial" w:cs="Arial"/>
          <w:sz w:val="24"/>
          <w:szCs w:val="24"/>
          <w:lang w:val="en-US"/>
        </w:rPr>
        <w:t>to Practice on Reservations</w:t>
      </w:r>
      <w:r w:rsidR="00C46DC0" w:rsidRPr="00C46DC0">
        <w:rPr>
          <w:rFonts w:ascii="Arial" w:hAnsi="Arial" w:cs="Arial"/>
          <w:sz w:val="24"/>
          <w:szCs w:val="24"/>
          <w:lang w:val="en-US"/>
        </w:rPr>
        <w:t>,</w:t>
      </w:r>
      <w:r w:rsidR="00C46DC0" w:rsidRPr="00AC0191">
        <w:rPr>
          <w:rFonts w:ascii="Arial" w:hAnsi="Arial" w:cs="Arial"/>
          <w:color w:val="FF0000"/>
          <w:sz w:val="24"/>
          <w:szCs w:val="24"/>
          <w:lang w:val="en-US"/>
        </w:rPr>
        <w:t xml:space="preserve"> </w:t>
      </w:r>
      <w:r w:rsidR="00C46DC0" w:rsidRPr="00AB2B9C">
        <w:rPr>
          <w:rFonts w:ascii="Arial" w:hAnsi="Arial" w:cs="Arial"/>
          <w:sz w:val="24"/>
          <w:szCs w:val="24"/>
          <w:lang w:val="en-US"/>
        </w:rPr>
        <w:t>as well as the ILC’s resolution on a ‘reservations assistance mechanism’,</w:t>
      </w:r>
      <w:r w:rsidR="00797046">
        <w:rPr>
          <w:rStyle w:val="FootnoteReference"/>
          <w:rFonts w:ascii="Arial" w:hAnsi="Arial" w:cs="Arial"/>
          <w:sz w:val="24"/>
          <w:szCs w:val="24"/>
          <w:lang w:val="en-US"/>
        </w:rPr>
        <w:footnoteReference w:id="127"/>
      </w:r>
      <w:r w:rsidR="00C46DC0" w:rsidRPr="00AB2B9C">
        <w:rPr>
          <w:rFonts w:ascii="Arial" w:hAnsi="Arial" w:cs="Arial"/>
          <w:sz w:val="24"/>
          <w:szCs w:val="24"/>
          <w:lang w:val="en-US"/>
        </w:rPr>
        <w:t xml:space="preserve"> </w:t>
      </w:r>
      <w:r w:rsidR="00C46DC0" w:rsidRPr="00C46DC0">
        <w:rPr>
          <w:rFonts w:ascii="Arial" w:hAnsi="Arial" w:cs="Arial"/>
          <w:sz w:val="24"/>
          <w:szCs w:val="24"/>
          <w:lang w:val="en-US"/>
        </w:rPr>
        <w:t xml:space="preserve">which the annex also tries to conceptualise. </w:t>
      </w:r>
      <w:r w:rsidR="00797046" w:rsidRPr="00797046">
        <w:rPr>
          <w:rFonts w:ascii="Arial" w:hAnsi="Arial" w:cs="Arial"/>
          <w:sz w:val="24"/>
          <w:szCs w:val="24"/>
          <w:lang w:val="en-US"/>
        </w:rPr>
        <w:t xml:space="preserve">The </w:t>
      </w:r>
      <w:r w:rsidR="00797046">
        <w:rPr>
          <w:rFonts w:ascii="Arial" w:hAnsi="Arial" w:cs="Arial"/>
          <w:sz w:val="24"/>
          <w:szCs w:val="24"/>
          <w:lang w:val="en-US"/>
        </w:rPr>
        <w:t>a</w:t>
      </w:r>
      <w:r w:rsidR="00797046" w:rsidRPr="00797046">
        <w:rPr>
          <w:rFonts w:ascii="Arial" w:hAnsi="Arial" w:cs="Arial"/>
          <w:sz w:val="24"/>
          <w:szCs w:val="24"/>
          <w:lang w:val="en-US"/>
        </w:rPr>
        <w:t xml:space="preserve">nnex posits that such a </w:t>
      </w:r>
      <w:r w:rsidR="00AC0191" w:rsidRPr="00797046">
        <w:rPr>
          <w:rFonts w:ascii="Arial" w:hAnsi="Arial" w:cs="Arial"/>
          <w:sz w:val="24"/>
          <w:szCs w:val="24"/>
          <w:lang w:val="en-US"/>
        </w:rPr>
        <w:t>mechanism ‘could consist of a limited number of experts, selected on the basis of their technical competence and their practical experience in public international law and, specifically, treaty law’.</w:t>
      </w:r>
      <w:r w:rsidR="00797046" w:rsidRPr="00797046">
        <w:rPr>
          <w:rStyle w:val="FootnoteReference"/>
          <w:rFonts w:ascii="Arial" w:hAnsi="Arial" w:cs="Arial"/>
          <w:sz w:val="24"/>
          <w:szCs w:val="24"/>
          <w:lang w:val="en-US"/>
        </w:rPr>
        <w:footnoteReference w:id="128"/>
      </w:r>
      <w:r w:rsidR="00AC0191" w:rsidRPr="00AC0191">
        <w:rPr>
          <w:rFonts w:ascii="Arial" w:hAnsi="Arial" w:cs="Arial"/>
          <w:color w:val="FF0000"/>
          <w:sz w:val="24"/>
          <w:szCs w:val="24"/>
          <w:lang w:val="en-US"/>
        </w:rPr>
        <w:t xml:space="preserve"> </w:t>
      </w:r>
      <w:r w:rsidR="001338BF" w:rsidRPr="001338BF">
        <w:rPr>
          <w:rFonts w:ascii="Arial" w:hAnsi="Arial" w:cs="Arial"/>
          <w:sz w:val="24"/>
          <w:szCs w:val="24"/>
          <w:lang w:val="en-US"/>
        </w:rPr>
        <w:t>Even if the Guide’s outcome was a slight disappointment after the hype that preceded it over the year before its publication,</w:t>
      </w:r>
      <w:r w:rsidR="001338BF">
        <w:rPr>
          <w:rFonts w:ascii="Arial" w:hAnsi="Arial" w:cs="Arial"/>
          <w:color w:val="FF0000"/>
          <w:sz w:val="24"/>
          <w:szCs w:val="24"/>
          <w:lang w:val="en-US"/>
        </w:rPr>
        <w:t xml:space="preserve"> </w:t>
      </w:r>
      <w:r w:rsidR="004C6BF8" w:rsidRPr="004C6BF8">
        <w:rPr>
          <w:rFonts w:ascii="Arial" w:hAnsi="Arial" w:cs="Arial"/>
          <w:sz w:val="24"/>
          <w:szCs w:val="24"/>
          <w:lang w:val="en-US"/>
        </w:rPr>
        <w:t>states</w:t>
      </w:r>
      <w:r w:rsidR="00AC0191" w:rsidRPr="004C6BF8">
        <w:rPr>
          <w:rFonts w:ascii="Arial" w:hAnsi="Arial" w:cs="Arial"/>
          <w:sz w:val="24"/>
          <w:szCs w:val="24"/>
          <w:lang w:val="en-US"/>
        </w:rPr>
        <w:t xml:space="preserve"> and international organi</w:t>
      </w:r>
      <w:r w:rsidR="004C6BF8" w:rsidRPr="004C6BF8">
        <w:rPr>
          <w:rFonts w:ascii="Arial" w:hAnsi="Arial" w:cs="Arial"/>
          <w:sz w:val="24"/>
          <w:szCs w:val="24"/>
          <w:lang w:val="en-US"/>
        </w:rPr>
        <w:t>s</w:t>
      </w:r>
      <w:r w:rsidR="00AC0191" w:rsidRPr="004C6BF8">
        <w:rPr>
          <w:rFonts w:ascii="Arial" w:hAnsi="Arial" w:cs="Arial"/>
          <w:sz w:val="24"/>
          <w:szCs w:val="24"/>
          <w:lang w:val="en-US"/>
        </w:rPr>
        <w:t xml:space="preserve">ations will </w:t>
      </w:r>
      <w:r w:rsidR="004C6BF8" w:rsidRPr="004C6BF8">
        <w:rPr>
          <w:rFonts w:ascii="Arial" w:hAnsi="Arial" w:cs="Arial"/>
          <w:sz w:val="24"/>
          <w:szCs w:val="24"/>
          <w:lang w:val="en-US"/>
        </w:rPr>
        <w:t xml:space="preserve">hopefully </w:t>
      </w:r>
      <w:r w:rsidR="00007A39" w:rsidRPr="004C6BF8">
        <w:rPr>
          <w:rFonts w:ascii="Arial" w:hAnsi="Arial" w:cs="Arial"/>
          <w:sz w:val="24"/>
          <w:szCs w:val="24"/>
          <w:lang w:val="en-US"/>
        </w:rPr>
        <w:t>fi</w:t>
      </w:r>
      <w:r w:rsidR="00AC0191" w:rsidRPr="004C6BF8">
        <w:rPr>
          <w:rFonts w:ascii="Arial" w:hAnsi="Arial" w:cs="Arial"/>
          <w:sz w:val="24"/>
          <w:szCs w:val="24"/>
          <w:lang w:val="en-US"/>
        </w:rPr>
        <w:t xml:space="preserve">nd the </w:t>
      </w:r>
      <w:r w:rsidR="004C6BF8" w:rsidRPr="004C6BF8">
        <w:rPr>
          <w:rFonts w:ascii="Arial" w:hAnsi="Arial" w:cs="Arial"/>
          <w:sz w:val="24"/>
          <w:szCs w:val="24"/>
          <w:lang w:val="en-US"/>
        </w:rPr>
        <w:t>ILC</w:t>
      </w:r>
      <w:r w:rsidR="00AC0191" w:rsidRPr="004C6BF8">
        <w:rPr>
          <w:rFonts w:ascii="Arial" w:hAnsi="Arial" w:cs="Arial"/>
          <w:sz w:val="24"/>
          <w:szCs w:val="24"/>
          <w:lang w:val="en-US"/>
        </w:rPr>
        <w:t xml:space="preserve">’s suggestions </w:t>
      </w:r>
      <w:r w:rsidR="004C6BF8" w:rsidRPr="004C6BF8">
        <w:rPr>
          <w:rFonts w:ascii="Arial" w:hAnsi="Arial" w:cs="Arial"/>
          <w:sz w:val="24"/>
          <w:szCs w:val="24"/>
          <w:lang w:val="en-US"/>
        </w:rPr>
        <w:t>use</w:t>
      </w:r>
      <w:r w:rsidR="00AC0191" w:rsidRPr="004C6BF8">
        <w:rPr>
          <w:rFonts w:ascii="Arial" w:hAnsi="Arial" w:cs="Arial"/>
          <w:sz w:val="24"/>
          <w:szCs w:val="24"/>
          <w:lang w:val="en-US"/>
        </w:rPr>
        <w:t>ful,</w:t>
      </w:r>
      <w:r w:rsidR="004C6BF8">
        <w:rPr>
          <w:rFonts w:ascii="Arial" w:hAnsi="Arial" w:cs="Arial"/>
          <w:sz w:val="24"/>
          <w:szCs w:val="24"/>
          <w:lang w:val="en-US"/>
        </w:rPr>
        <w:t xml:space="preserve"> and will consequently be used in or</w:t>
      </w:r>
      <w:r w:rsidR="004C6BF8" w:rsidRPr="003678EA">
        <w:rPr>
          <w:rFonts w:ascii="Arial" w:hAnsi="Arial" w:cs="Arial"/>
          <w:sz w:val="24"/>
          <w:szCs w:val="24"/>
          <w:lang w:val="en-US"/>
        </w:rPr>
        <w:t xml:space="preserve">der </w:t>
      </w:r>
      <w:r w:rsidR="00AC0191" w:rsidRPr="003678EA">
        <w:rPr>
          <w:rFonts w:ascii="Arial" w:hAnsi="Arial" w:cs="Arial"/>
          <w:sz w:val="24"/>
          <w:szCs w:val="24"/>
          <w:lang w:val="en-US"/>
        </w:rPr>
        <w:t xml:space="preserve">to </w:t>
      </w:r>
      <w:r w:rsidR="003678EA" w:rsidRPr="003678EA">
        <w:rPr>
          <w:rFonts w:ascii="Arial" w:hAnsi="Arial" w:cs="Arial"/>
          <w:sz w:val="24"/>
          <w:szCs w:val="24"/>
          <w:lang w:val="en-US"/>
        </w:rPr>
        <w:t>prevail over</w:t>
      </w:r>
      <w:r w:rsidR="00AC0191" w:rsidRPr="003678EA">
        <w:rPr>
          <w:rFonts w:ascii="Arial" w:hAnsi="Arial" w:cs="Arial"/>
          <w:sz w:val="24"/>
          <w:szCs w:val="24"/>
          <w:lang w:val="en-US"/>
        </w:rPr>
        <w:t xml:space="preserve"> what has been termed ‘state inertia’ in this </w:t>
      </w:r>
      <w:r w:rsidR="004C6BF8" w:rsidRPr="003678EA">
        <w:rPr>
          <w:rFonts w:ascii="Arial" w:hAnsi="Arial" w:cs="Arial"/>
          <w:sz w:val="24"/>
          <w:szCs w:val="24"/>
          <w:lang w:val="en-US"/>
        </w:rPr>
        <w:t>respect</w:t>
      </w:r>
      <w:r w:rsidR="00AC0191" w:rsidRPr="003678EA">
        <w:rPr>
          <w:rFonts w:ascii="Arial" w:hAnsi="Arial" w:cs="Arial"/>
          <w:sz w:val="24"/>
          <w:szCs w:val="24"/>
          <w:lang w:val="en-US"/>
        </w:rPr>
        <w:t>.</w:t>
      </w:r>
      <w:r w:rsidR="00C02708" w:rsidRPr="003678EA">
        <w:rPr>
          <w:rStyle w:val="FootnoteReference"/>
          <w:rFonts w:ascii="Arial" w:hAnsi="Arial" w:cs="Arial"/>
          <w:sz w:val="24"/>
          <w:szCs w:val="24"/>
          <w:lang w:val="en-US"/>
        </w:rPr>
        <w:footnoteReference w:id="129"/>
      </w:r>
      <w:r w:rsidR="004C6BF8" w:rsidRPr="003678EA">
        <w:rPr>
          <w:rFonts w:ascii="Arial" w:hAnsi="Arial" w:cs="Arial"/>
          <w:sz w:val="24"/>
          <w:szCs w:val="24"/>
          <w:lang w:val="en-US"/>
        </w:rPr>
        <w:t xml:space="preserve"> </w:t>
      </w:r>
      <w:r w:rsidR="00A376B0" w:rsidRPr="00CC3FDF">
        <w:rPr>
          <w:rFonts w:ascii="Arial" w:hAnsi="Arial" w:cs="Arial"/>
          <w:sz w:val="24"/>
          <w:szCs w:val="24"/>
          <w:lang w:val="en-US"/>
        </w:rPr>
        <w:t xml:space="preserve">The Guide’s primary function will be to examine the gaps left by the Vienna Convention regarding the </w:t>
      </w:r>
      <w:r w:rsidR="00A376B0">
        <w:rPr>
          <w:rFonts w:ascii="Arial" w:hAnsi="Arial" w:cs="Arial"/>
          <w:sz w:val="24"/>
          <w:szCs w:val="24"/>
          <w:lang w:val="en-US"/>
        </w:rPr>
        <w:t>‘</w:t>
      </w:r>
      <w:r w:rsidR="00A376B0" w:rsidRPr="00CC3FDF">
        <w:rPr>
          <w:rFonts w:ascii="Arial" w:hAnsi="Arial" w:cs="Arial"/>
          <w:sz w:val="24"/>
          <w:szCs w:val="24"/>
          <w:lang w:val="en-US"/>
        </w:rPr>
        <w:t>many difficult substantive</w:t>
      </w:r>
      <w:r w:rsidR="00A376B0">
        <w:rPr>
          <w:rFonts w:ascii="Arial" w:hAnsi="Arial" w:cs="Arial"/>
          <w:sz w:val="24"/>
          <w:szCs w:val="24"/>
          <w:lang w:val="en-US"/>
        </w:rPr>
        <w:t xml:space="preserve"> </w:t>
      </w:r>
      <w:r w:rsidR="00A376B0" w:rsidRPr="00CC3FDF">
        <w:rPr>
          <w:rFonts w:ascii="Arial" w:hAnsi="Arial" w:cs="Arial"/>
          <w:sz w:val="24"/>
          <w:szCs w:val="24"/>
          <w:lang w:val="en-US"/>
        </w:rPr>
        <w:t>and procedural issues concerning reservations and interpretative declarations’.</w:t>
      </w:r>
      <w:r w:rsidR="00A376B0">
        <w:rPr>
          <w:rStyle w:val="FootnoteReference"/>
          <w:rFonts w:ascii="Arial" w:hAnsi="Arial" w:cs="Arial"/>
          <w:sz w:val="24"/>
          <w:szCs w:val="24"/>
          <w:lang w:val="en-US"/>
        </w:rPr>
        <w:footnoteReference w:id="130"/>
      </w:r>
      <w:r w:rsidR="00A376B0" w:rsidRPr="00AC0191">
        <w:rPr>
          <w:rFonts w:ascii="Arial" w:hAnsi="Arial" w:cs="Arial"/>
          <w:color w:val="FF0000"/>
          <w:sz w:val="24"/>
          <w:szCs w:val="24"/>
          <w:lang w:val="en-US"/>
        </w:rPr>
        <w:t xml:space="preserve"> </w:t>
      </w:r>
      <w:r w:rsidR="00CC3FDF" w:rsidRPr="00CC3FDF">
        <w:rPr>
          <w:rFonts w:ascii="Arial" w:hAnsi="Arial" w:cs="Arial"/>
          <w:sz w:val="24"/>
          <w:szCs w:val="24"/>
          <w:lang w:val="en-US"/>
        </w:rPr>
        <w:t>Wood maintains</w:t>
      </w:r>
      <w:r w:rsidR="00A376B0">
        <w:rPr>
          <w:rFonts w:ascii="Arial" w:hAnsi="Arial" w:cs="Arial"/>
          <w:sz w:val="24"/>
          <w:szCs w:val="24"/>
          <w:lang w:val="en-US"/>
        </w:rPr>
        <w:t>, however,</w:t>
      </w:r>
      <w:r w:rsidR="00CC3FDF" w:rsidRPr="00CC3FDF">
        <w:rPr>
          <w:rFonts w:ascii="Arial" w:hAnsi="Arial" w:cs="Arial"/>
          <w:sz w:val="24"/>
          <w:szCs w:val="24"/>
          <w:lang w:val="en-US"/>
        </w:rPr>
        <w:t xml:space="preserve"> that the institutional elements ‘of the Pelletian </w:t>
      </w:r>
      <w:r w:rsidR="00CC3FDF" w:rsidRPr="00CC3FDF">
        <w:rPr>
          <w:rFonts w:ascii="Arial" w:hAnsi="Arial" w:cs="Arial"/>
          <w:i/>
          <w:iCs/>
          <w:sz w:val="24"/>
          <w:szCs w:val="24"/>
          <w:lang w:val="en-US"/>
        </w:rPr>
        <w:t xml:space="preserve">magnum opus </w:t>
      </w:r>
      <w:r w:rsidR="00CC3FDF" w:rsidRPr="00CC3FDF">
        <w:rPr>
          <w:rFonts w:ascii="Arial" w:hAnsi="Arial" w:cs="Arial"/>
          <w:sz w:val="24"/>
          <w:szCs w:val="24"/>
          <w:lang w:val="en-US"/>
        </w:rPr>
        <w:t>should not be overlooked’.</w:t>
      </w:r>
      <w:r w:rsidR="00CC3FDF">
        <w:rPr>
          <w:rStyle w:val="FootnoteReference"/>
          <w:rFonts w:ascii="Arial" w:hAnsi="Arial" w:cs="Arial"/>
          <w:sz w:val="24"/>
          <w:szCs w:val="24"/>
          <w:lang w:val="en-US"/>
        </w:rPr>
        <w:footnoteReference w:id="131"/>
      </w:r>
    </w:p>
    <w:p w14:paraId="4EB98661" w14:textId="5D6A0B46" w:rsidR="00295380" w:rsidRDefault="00A55323" w:rsidP="00401E4C">
      <w:pPr>
        <w:spacing w:line="480" w:lineRule="auto"/>
        <w:rPr>
          <w:rFonts w:ascii="Arial" w:hAnsi="Arial" w:cs="Arial"/>
          <w:sz w:val="24"/>
          <w:szCs w:val="24"/>
          <w:lang w:val="en-US"/>
        </w:rPr>
      </w:pPr>
      <w:r w:rsidRPr="00F14EC1">
        <w:rPr>
          <w:rFonts w:ascii="Arial" w:hAnsi="Arial" w:cs="Arial"/>
          <w:sz w:val="24"/>
          <w:szCs w:val="24"/>
          <w:lang w:val="en-US"/>
        </w:rPr>
        <w:t>Pellet</w:t>
      </w:r>
      <w:r w:rsidR="00295380" w:rsidRPr="00F14EC1">
        <w:rPr>
          <w:rFonts w:ascii="Arial" w:hAnsi="Arial" w:cs="Arial"/>
          <w:sz w:val="24"/>
          <w:szCs w:val="24"/>
          <w:lang w:val="en-US"/>
        </w:rPr>
        <w:t>’s draft conclusions to reservations to human rights treaties may be fundamentally incompatible with the findings of both the HRC and the European Court of Human Rights</w:t>
      </w:r>
      <w:r w:rsidR="00061CF4" w:rsidRPr="00F14EC1">
        <w:rPr>
          <w:rFonts w:ascii="Arial" w:hAnsi="Arial" w:cs="Arial"/>
          <w:sz w:val="24"/>
          <w:szCs w:val="24"/>
          <w:lang w:val="en-US"/>
        </w:rPr>
        <w:t xml:space="preserve"> from the 1990s</w:t>
      </w:r>
      <w:r w:rsidR="00295380" w:rsidRPr="00F14EC1">
        <w:rPr>
          <w:rFonts w:ascii="Arial" w:hAnsi="Arial" w:cs="Arial"/>
          <w:sz w:val="24"/>
          <w:szCs w:val="24"/>
          <w:lang w:val="en-US"/>
        </w:rPr>
        <w:t xml:space="preserve">. However, it is clear that the ILC </w:t>
      </w:r>
      <w:r w:rsidR="00E32BD8">
        <w:rPr>
          <w:rFonts w:ascii="Arial" w:hAnsi="Arial" w:cs="Arial"/>
          <w:sz w:val="24"/>
          <w:szCs w:val="24"/>
          <w:lang w:val="en-US"/>
        </w:rPr>
        <w:t xml:space="preserve">Guide 2011 </w:t>
      </w:r>
      <w:r w:rsidR="00295380" w:rsidRPr="00F14EC1">
        <w:rPr>
          <w:rFonts w:ascii="Arial" w:hAnsi="Arial" w:cs="Arial"/>
          <w:sz w:val="24"/>
          <w:szCs w:val="24"/>
          <w:lang w:val="en-US"/>
        </w:rPr>
        <w:t xml:space="preserve">has </w:t>
      </w:r>
      <w:r w:rsidR="006E048C" w:rsidRPr="00F14EC1">
        <w:rPr>
          <w:rFonts w:ascii="Arial" w:hAnsi="Arial" w:cs="Arial"/>
          <w:sz w:val="24"/>
          <w:szCs w:val="24"/>
          <w:lang w:val="en-US"/>
        </w:rPr>
        <w:t xml:space="preserve">at least </w:t>
      </w:r>
      <w:r w:rsidR="00295380" w:rsidRPr="00F14EC1">
        <w:rPr>
          <w:rFonts w:ascii="Arial" w:hAnsi="Arial" w:cs="Arial"/>
          <w:sz w:val="24"/>
          <w:szCs w:val="24"/>
          <w:lang w:val="en-US"/>
        </w:rPr>
        <w:t>acknowledged them, as per the claims of Sir Nigel Rodley</w:t>
      </w:r>
      <w:r w:rsidR="00A4206C">
        <w:rPr>
          <w:rFonts w:ascii="Arial" w:hAnsi="Arial" w:cs="Arial"/>
          <w:sz w:val="24"/>
          <w:szCs w:val="24"/>
          <w:lang w:val="en-US"/>
        </w:rPr>
        <w:t xml:space="preserve"> that we shall examine in greater detail later</w:t>
      </w:r>
      <w:r w:rsidR="00295380" w:rsidRPr="00F14EC1">
        <w:rPr>
          <w:rFonts w:ascii="Arial" w:hAnsi="Arial" w:cs="Arial"/>
          <w:sz w:val="24"/>
          <w:szCs w:val="24"/>
          <w:lang w:val="en-US"/>
        </w:rPr>
        <w:t>.</w:t>
      </w:r>
      <w:r w:rsidR="00591AF4" w:rsidRPr="00F14EC1">
        <w:rPr>
          <w:rFonts w:ascii="Arial" w:hAnsi="Arial" w:cs="Arial"/>
          <w:sz w:val="24"/>
          <w:szCs w:val="24"/>
          <w:lang w:val="en-US"/>
        </w:rPr>
        <w:t xml:space="preserve"> </w:t>
      </w:r>
      <w:r w:rsidR="00B53F14" w:rsidRPr="00F14EC1">
        <w:rPr>
          <w:rFonts w:ascii="Arial" w:hAnsi="Arial" w:cs="Arial"/>
          <w:sz w:val="24"/>
          <w:szCs w:val="24"/>
          <w:lang w:val="en-US"/>
        </w:rPr>
        <w:t xml:space="preserve">What we must now establish is whether the ILC has ascertained whether unacceptable </w:t>
      </w:r>
      <w:r w:rsidR="00207965">
        <w:rPr>
          <w:rFonts w:ascii="Arial" w:hAnsi="Arial" w:cs="Arial"/>
          <w:sz w:val="24"/>
          <w:szCs w:val="24"/>
          <w:lang w:val="en-US"/>
        </w:rPr>
        <w:t xml:space="preserve">reservations </w:t>
      </w:r>
      <w:r w:rsidR="00B53F14" w:rsidRPr="00F14EC1">
        <w:rPr>
          <w:rFonts w:ascii="Arial" w:hAnsi="Arial" w:cs="Arial"/>
          <w:sz w:val="24"/>
          <w:szCs w:val="24"/>
          <w:lang w:val="en-US"/>
        </w:rPr>
        <w:t xml:space="preserve">are severable from </w:t>
      </w:r>
      <w:r w:rsidR="00207965">
        <w:rPr>
          <w:rFonts w:ascii="Arial" w:hAnsi="Arial" w:cs="Arial"/>
          <w:sz w:val="24"/>
          <w:szCs w:val="24"/>
          <w:lang w:val="en-US"/>
        </w:rPr>
        <w:t>a</w:t>
      </w:r>
      <w:r w:rsidR="00B53F14" w:rsidRPr="00F14EC1">
        <w:rPr>
          <w:rFonts w:ascii="Arial" w:hAnsi="Arial" w:cs="Arial"/>
          <w:sz w:val="24"/>
          <w:szCs w:val="24"/>
          <w:lang w:val="en-US"/>
        </w:rPr>
        <w:t xml:space="preserve"> treaty.</w:t>
      </w:r>
    </w:p>
    <w:p w14:paraId="6D000C96" w14:textId="77777777" w:rsidR="008B422D" w:rsidRDefault="008B422D" w:rsidP="00401E4C">
      <w:pPr>
        <w:spacing w:line="480" w:lineRule="auto"/>
        <w:rPr>
          <w:rFonts w:ascii="Arial" w:hAnsi="Arial" w:cs="Arial"/>
          <w:sz w:val="24"/>
          <w:szCs w:val="24"/>
          <w:lang w:val="en-US"/>
        </w:rPr>
      </w:pPr>
    </w:p>
    <w:p w14:paraId="35EFDAD1" w14:textId="77777777" w:rsidR="008B422D" w:rsidRPr="00F14EC1" w:rsidRDefault="008B422D" w:rsidP="00401E4C">
      <w:pPr>
        <w:spacing w:line="480" w:lineRule="auto"/>
        <w:rPr>
          <w:rFonts w:ascii="Arial" w:hAnsi="Arial" w:cs="Arial"/>
          <w:sz w:val="24"/>
          <w:szCs w:val="24"/>
          <w:lang w:val="en-US"/>
        </w:rPr>
      </w:pPr>
    </w:p>
    <w:p w14:paraId="01FDA05F" w14:textId="7CD38F68" w:rsidR="008F7C62" w:rsidRPr="00030A76" w:rsidRDefault="00030A76" w:rsidP="00401E4C">
      <w:pPr>
        <w:pStyle w:val="ListParagraph"/>
        <w:numPr>
          <w:ilvl w:val="1"/>
          <w:numId w:val="25"/>
        </w:numPr>
        <w:tabs>
          <w:tab w:val="left" w:pos="1701"/>
        </w:tabs>
        <w:spacing w:line="480" w:lineRule="auto"/>
        <w:rPr>
          <w:rFonts w:ascii="Arial" w:hAnsi="Arial" w:cs="Arial"/>
          <w:b/>
          <w:sz w:val="24"/>
          <w:szCs w:val="24"/>
        </w:rPr>
      </w:pPr>
      <w:r>
        <w:rPr>
          <w:rFonts w:ascii="Arial" w:hAnsi="Arial" w:cs="Arial"/>
          <w:b/>
          <w:sz w:val="24"/>
          <w:szCs w:val="24"/>
        </w:rPr>
        <w:t xml:space="preserve">    </w:t>
      </w:r>
      <w:r w:rsidR="00881BAF" w:rsidRPr="00030A76">
        <w:rPr>
          <w:rFonts w:ascii="Arial" w:hAnsi="Arial" w:cs="Arial"/>
          <w:b/>
          <w:sz w:val="24"/>
          <w:szCs w:val="24"/>
        </w:rPr>
        <w:t>Are unacceptable reservations severable?</w:t>
      </w:r>
      <w:r w:rsidR="00437375" w:rsidRPr="00030A76">
        <w:rPr>
          <w:rFonts w:ascii="Arial" w:hAnsi="Arial" w:cs="Arial"/>
          <w:b/>
          <w:sz w:val="24"/>
          <w:szCs w:val="24"/>
        </w:rPr>
        <w:t xml:space="preserve"> </w:t>
      </w:r>
    </w:p>
    <w:p w14:paraId="67652FFF" w14:textId="07868A96" w:rsidR="005B0EB5" w:rsidRDefault="00990B09" w:rsidP="00401E4C">
      <w:pPr>
        <w:spacing w:line="480" w:lineRule="auto"/>
        <w:rPr>
          <w:rFonts w:ascii="Arial" w:hAnsi="Arial" w:cs="Arial"/>
          <w:sz w:val="24"/>
          <w:szCs w:val="24"/>
          <w:lang w:val="en-US"/>
        </w:rPr>
      </w:pPr>
      <w:r w:rsidRPr="00A34D67">
        <w:rPr>
          <w:rFonts w:ascii="Arial" w:hAnsi="Arial" w:cs="Arial"/>
          <w:sz w:val="24"/>
          <w:szCs w:val="24"/>
          <w:lang w:val="en-US"/>
        </w:rPr>
        <w:t xml:space="preserve">A reservation is considered to be permissible if it falls within the scope of Article 19 of the Vienna Convention. </w:t>
      </w:r>
      <w:r w:rsidR="00284C61" w:rsidRPr="00A34D67">
        <w:rPr>
          <w:rFonts w:ascii="Arial" w:hAnsi="Arial" w:cs="Arial"/>
          <w:sz w:val="24"/>
          <w:szCs w:val="24"/>
          <w:lang w:val="en-US"/>
        </w:rPr>
        <w:t xml:space="preserve">The term </w:t>
      </w:r>
      <w:r w:rsidR="00960CE5" w:rsidRPr="00A34D67">
        <w:rPr>
          <w:rFonts w:ascii="Arial" w:hAnsi="Arial" w:cs="Arial"/>
          <w:sz w:val="24"/>
          <w:szCs w:val="24"/>
          <w:lang w:val="en-US"/>
        </w:rPr>
        <w:t>‘</w:t>
      </w:r>
      <w:r w:rsidR="00284C61" w:rsidRPr="00A34D67">
        <w:rPr>
          <w:rFonts w:ascii="Arial" w:hAnsi="Arial" w:cs="Arial"/>
          <w:sz w:val="24"/>
          <w:szCs w:val="24"/>
          <w:lang w:val="en-US"/>
        </w:rPr>
        <w:t>s</w:t>
      </w:r>
      <w:r w:rsidR="00960CE5" w:rsidRPr="00A34D67">
        <w:rPr>
          <w:rFonts w:ascii="Arial" w:hAnsi="Arial" w:cs="Arial"/>
          <w:sz w:val="24"/>
          <w:szCs w:val="24"/>
          <w:lang w:val="en-US"/>
        </w:rPr>
        <w:t>everability’</w:t>
      </w:r>
      <w:r w:rsidR="00284C61" w:rsidRPr="00A34D67">
        <w:rPr>
          <w:rFonts w:ascii="Arial" w:hAnsi="Arial" w:cs="Arial"/>
          <w:sz w:val="24"/>
          <w:szCs w:val="24"/>
          <w:lang w:val="en-US"/>
        </w:rPr>
        <w:t xml:space="preserve"> applies to situations where</w:t>
      </w:r>
      <w:r w:rsidR="00960CE5" w:rsidRPr="00A34D67">
        <w:rPr>
          <w:rFonts w:ascii="Arial" w:hAnsi="Arial" w:cs="Arial"/>
          <w:sz w:val="24"/>
          <w:szCs w:val="24"/>
          <w:lang w:val="en-US"/>
        </w:rPr>
        <w:t xml:space="preserve"> </w:t>
      </w:r>
      <w:r w:rsidR="00284C61" w:rsidRPr="00A34D67">
        <w:rPr>
          <w:rFonts w:ascii="Arial" w:hAnsi="Arial" w:cs="Arial"/>
          <w:sz w:val="24"/>
          <w:szCs w:val="24"/>
          <w:lang w:val="en-US"/>
        </w:rPr>
        <w:t>although a</w:t>
      </w:r>
      <w:r w:rsidR="00960CE5" w:rsidRPr="00A34D67">
        <w:rPr>
          <w:rFonts w:ascii="Arial" w:hAnsi="Arial" w:cs="Arial"/>
          <w:sz w:val="24"/>
          <w:szCs w:val="24"/>
          <w:lang w:val="en-US"/>
        </w:rPr>
        <w:t xml:space="preserve"> reservation</w:t>
      </w:r>
      <w:r w:rsidR="00284C61" w:rsidRPr="00A34D67">
        <w:rPr>
          <w:rFonts w:ascii="Arial" w:hAnsi="Arial" w:cs="Arial"/>
          <w:sz w:val="24"/>
          <w:szCs w:val="24"/>
          <w:lang w:val="en-US"/>
        </w:rPr>
        <w:t xml:space="preserve"> has been made</w:t>
      </w:r>
      <w:r w:rsidR="00960CE5" w:rsidRPr="00A34D67">
        <w:rPr>
          <w:rFonts w:ascii="Arial" w:hAnsi="Arial" w:cs="Arial"/>
          <w:sz w:val="24"/>
          <w:szCs w:val="24"/>
          <w:lang w:val="en-US"/>
        </w:rPr>
        <w:t>,</w:t>
      </w:r>
      <w:r w:rsidR="00960CE5" w:rsidRPr="00A34D67">
        <w:rPr>
          <w:rFonts w:ascii="Arial" w:hAnsi="Arial" w:cs="Arial"/>
          <w:color w:val="FF0000"/>
          <w:sz w:val="24"/>
          <w:szCs w:val="24"/>
          <w:lang w:val="en-US"/>
        </w:rPr>
        <w:t xml:space="preserve"> </w:t>
      </w:r>
      <w:r w:rsidR="00960CE5" w:rsidRPr="00A34D67">
        <w:rPr>
          <w:rFonts w:ascii="Arial" w:hAnsi="Arial" w:cs="Arial"/>
          <w:sz w:val="24"/>
          <w:szCs w:val="24"/>
          <w:lang w:val="en-US"/>
        </w:rPr>
        <w:t xml:space="preserve">the </w:t>
      </w:r>
      <w:r w:rsidR="00FD68FB">
        <w:rPr>
          <w:rFonts w:ascii="Arial" w:hAnsi="Arial" w:cs="Arial"/>
          <w:sz w:val="24"/>
          <w:szCs w:val="24"/>
          <w:lang w:val="en-US"/>
        </w:rPr>
        <w:t>s</w:t>
      </w:r>
      <w:r w:rsidR="00960CE5" w:rsidRPr="00A34D67">
        <w:rPr>
          <w:rFonts w:ascii="Arial" w:hAnsi="Arial" w:cs="Arial"/>
          <w:sz w:val="24"/>
          <w:szCs w:val="24"/>
          <w:lang w:val="en-US"/>
        </w:rPr>
        <w:t xml:space="preserve">tate </w:t>
      </w:r>
      <w:r w:rsidR="00334143" w:rsidRPr="00A34D67">
        <w:rPr>
          <w:rFonts w:ascii="Arial" w:hAnsi="Arial" w:cs="Arial"/>
          <w:sz w:val="24"/>
          <w:szCs w:val="24"/>
          <w:lang w:val="en-US"/>
        </w:rPr>
        <w:t>is still</w:t>
      </w:r>
      <w:r w:rsidR="00960CE5" w:rsidRPr="00A34D67">
        <w:rPr>
          <w:rFonts w:ascii="Arial" w:hAnsi="Arial" w:cs="Arial"/>
          <w:sz w:val="24"/>
          <w:szCs w:val="24"/>
          <w:lang w:val="en-US"/>
        </w:rPr>
        <w:t xml:space="preserve"> bound by the</w:t>
      </w:r>
      <w:r w:rsidR="00334143" w:rsidRPr="00A34D67">
        <w:rPr>
          <w:rFonts w:ascii="Arial" w:hAnsi="Arial" w:cs="Arial"/>
          <w:sz w:val="24"/>
          <w:szCs w:val="24"/>
          <w:lang w:val="en-US"/>
        </w:rPr>
        <w:t xml:space="preserve"> particular</w:t>
      </w:r>
      <w:r w:rsidR="00960CE5" w:rsidRPr="00A34D67">
        <w:rPr>
          <w:rFonts w:ascii="Arial" w:hAnsi="Arial" w:cs="Arial"/>
          <w:sz w:val="24"/>
          <w:szCs w:val="24"/>
          <w:lang w:val="en-US"/>
        </w:rPr>
        <w:t xml:space="preserve"> treaty </w:t>
      </w:r>
      <w:r w:rsidR="00334143" w:rsidRPr="00A34D67">
        <w:rPr>
          <w:rFonts w:ascii="Arial" w:hAnsi="Arial" w:cs="Arial"/>
          <w:sz w:val="24"/>
          <w:szCs w:val="24"/>
          <w:lang w:val="en-US"/>
        </w:rPr>
        <w:t>‘</w:t>
      </w:r>
      <w:r w:rsidR="00960CE5" w:rsidRPr="00A34D67">
        <w:rPr>
          <w:rFonts w:ascii="Arial" w:hAnsi="Arial" w:cs="Arial"/>
          <w:sz w:val="24"/>
          <w:szCs w:val="24"/>
          <w:lang w:val="en-US"/>
        </w:rPr>
        <w:t>without benefit of the reservation; the other possibility is that an invalid reservation prevents the State becoming party to the treaty</w:t>
      </w:r>
      <w:r w:rsidR="00334143" w:rsidRPr="00A34D67">
        <w:rPr>
          <w:rFonts w:ascii="Arial" w:hAnsi="Arial" w:cs="Arial"/>
          <w:sz w:val="24"/>
          <w:szCs w:val="24"/>
          <w:lang w:val="en-US"/>
        </w:rPr>
        <w:t>’</w:t>
      </w:r>
      <w:r w:rsidR="00960CE5" w:rsidRPr="00A34D67">
        <w:rPr>
          <w:rFonts w:ascii="Arial" w:hAnsi="Arial" w:cs="Arial"/>
          <w:sz w:val="24"/>
          <w:szCs w:val="24"/>
          <w:lang w:val="en-US"/>
        </w:rPr>
        <w:t>.</w:t>
      </w:r>
      <w:r w:rsidR="00334143" w:rsidRPr="00A34D67">
        <w:rPr>
          <w:rStyle w:val="FootnoteReference"/>
          <w:rFonts w:ascii="Arial" w:hAnsi="Arial" w:cs="Arial"/>
          <w:sz w:val="24"/>
          <w:szCs w:val="24"/>
          <w:lang w:val="en-US"/>
        </w:rPr>
        <w:footnoteReference w:id="132"/>
      </w:r>
      <w:r w:rsidR="00960CE5" w:rsidRPr="00A34D67">
        <w:rPr>
          <w:rFonts w:ascii="Arial" w:hAnsi="Arial" w:cs="Arial"/>
          <w:color w:val="FF0000"/>
          <w:sz w:val="24"/>
          <w:szCs w:val="24"/>
          <w:lang w:val="en-US"/>
        </w:rPr>
        <w:t xml:space="preserve"> </w:t>
      </w:r>
      <w:r w:rsidR="00433660" w:rsidRPr="00A34D67">
        <w:rPr>
          <w:rFonts w:ascii="Arial" w:hAnsi="Arial" w:cs="Arial"/>
          <w:sz w:val="24"/>
          <w:szCs w:val="24"/>
          <w:lang w:val="en-US"/>
        </w:rPr>
        <w:t xml:space="preserve">The ICJ has previously twice considered the issue of severability of invalid reservations: </w:t>
      </w:r>
      <w:r w:rsidR="00433660" w:rsidRPr="00A34D67">
        <w:rPr>
          <w:rFonts w:ascii="Arial" w:hAnsi="Arial" w:cs="Arial"/>
          <w:i/>
          <w:sz w:val="24"/>
          <w:szCs w:val="24"/>
          <w:lang w:val="en-US"/>
        </w:rPr>
        <w:t>Norwegian Loans</w:t>
      </w:r>
      <w:r w:rsidR="00343F44" w:rsidRPr="00A34D67">
        <w:rPr>
          <w:rStyle w:val="FootnoteReference"/>
          <w:rFonts w:ascii="Arial" w:hAnsi="Arial" w:cs="Arial"/>
          <w:sz w:val="24"/>
          <w:szCs w:val="24"/>
          <w:lang w:val="en-US"/>
        </w:rPr>
        <w:footnoteReference w:id="133"/>
      </w:r>
      <w:r w:rsidR="00433660" w:rsidRPr="00A34D67">
        <w:rPr>
          <w:rFonts w:ascii="Arial" w:hAnsi="Arial" w:cs="Arial"/>
          <w:sz w:val="24"/>
          <w:szCs w:val="24"/>
          <w:lang w:val="en-US"/>
        </w:rPr>
        <w:t xml:space="preserve"> and </w:t>
      </w:r>
      <w:r w:rsidR="00433660" w:rsidRPr="00A34D67">
        <w:rPr>
          <w:rFonts w:ascii="Arial" w:hAnsi="Arial" w:cs="Arial"/>
          <w:i/>
          <w:sz w:val="24"/>
          <w:szCs w:val="24"/>
          <w:lang w:val="en-US"/>
        </w:rPr>
        <w:t>Interhandel</w:t>
      </w:r>
      <w:r w:rsidR="00433660" w:rsidRPr="00A34D67">
        <w:rPr>
          <w:rFonts w:ascii="Arial" w:hAnsi="Arial" w:cs="Arial"/>
          <w:sz w:val="24"/>
          <w:szCs w:val="24"/>
          <w:lang w:val="en-US"/>
        </w:rPr>
        <w:t>.</w:t>
      </w:r>
      <w:r w:rsidR="00433660" w:rsidRPr="00A34D67">
        <w:rPr>
          <w:rStyle w:val="FootnoteReference"/>
          <w:rFonts w:ascii="Arial" w:hAnsi="Arial" w:cs="Arial"/>
          <w:sz w:val="24"/>
          <w:szCs w:val="24"/>
          <w:lang w:val="en-US"/>
        </w:rPr>
        <w:footnoteReference w:id="134"/>
      </w:r>
      <w:r w:rsidR="00433660" w:rsidRPr="00A34D67">
        <w:rPr>
          <w:rFonts w:ascii="Arial" w:hAnsi="Arial" w:cs="Arial"/>
          <w:sz w:val="24"/>
          <w:szCs w:val="24"/>
          <w:lang w:val="en-US"/>
        </w:rPr>
        <w:t xml:space="preserve"> </w:t>
      </w:r>
      <w:r w:rsidR="00BC693E" w:rsidRPr="00A34D67">
        <w:rPr>
          <w:rFonts w:ascii="Arial" w:hAnsi="Arial" w:cs="Arial"/>
          <w:sz w:val="24"/>
          <w:szCs w:val="24"/>
          <w:lang w:val="en-US"/>
        </w:rPr>
        <w:t xml:space="preserve">In both of these cases, </w:t>
      </w:r>
      <w:r w:rsidR="00433660" w:rsidRPr="00A34D67">
        <w:rPr>
          <w:rFonts w:ascii="Arial" w:hAnsi="Arial" w:cs="Arial"/>
          <w:sz w:val="24"/>
          <w:szCs w:val="24"/>
          <w:lang w:val="en-US"/>
        </w:rPr>
        <w:t>Judge Hersch Lauterpacht</w:t>
      </w:r>
      <w:r w:rsidR="002E75EA" w:rsidRPr="00A34D67">
        <w:rPr>
          <w:rFonts w:ascii="Arial" w:hAnsi="Arial" w:cs="Arial"/>
          <w:sz w:val="24"/>
          <w:szCs w:val="24"/>
          <w:lang w:val="en-US"/>
        </w:rPr>
        <w:t xml:space="preserve"> provided two </w:t>
      </w:r>
      <w:r w:rsidR="00433660" w:rsidRPr="00A34D67">
        <w:rPr>
          <w:rFonts w:ascii="Arial" w:hAnsi="Arial" w:cs="Arial"/>
          <w:sz w:val="24"/>
          <w:szCs w:val="24"/>
          <w:lang w:val="en-US"/>
        </w:rPr>
        <w:t xml:space="preserve">separate opinions, </w:t>
      </w:r>
      <w:r w:rsidR="002E75EA" w:rsidRPr="00A34D67">
        <w:rPr>
          <w:rFonts w:ascii="Arial" w:hAnsi="Arial" w:cs="Arial"/>
          <w:sz w:val="24"/>
          <w:szCs w:val="24"/>
          <w:lang w:val="en-US"/>
        </w:rPr>
        <w:t>in which he proposed</w:t>
      </w:r>
      <w:r w:rsidR="00433660" w:rsidRPr="00A34D67">
        <w:rPr>
          <w:rFonts w:ascii="Arial" w:hAnsi="Arial" w:cs="Arial"/>
          <w:sz w:val="24"/>
          <w:szCs w:val="24"/>
          <w:lang w:val="en-US"/>
        </w:rPr>
        <w:t xml:space="preserve"> that</w:t>
      </w:r>
      <w:r w:rsidR="005B0EB5">
        <w:rPr>
          <w:rFonts w:ascii="Arial" w:hAnsi="Arial" w:cs="Arial"/>
          <w:sz w:val="24"/>
          <w:szCs w:val="24"/>
          <w:lang w:val="en-US"/>
        </w:rPr>
        <w:t>:</w:t>
      </w:r>
      <w:r w:rsidR="00433660" w:rsidRPr="00A34D67">
        <w:rPr>
          <w:rFonts w:ascii="Arial" w:hAnsi="Arial" w:cs="Arial"/>
          <w:sz w:val="24"/>
          <w:szCs w:val="24"/>
          <w:lang w:val="en-US"/>
        </w:rPr>
        <w:t xml:space="preserve"> </w:t>
      </w:r>
    </w:p>
    <w:p w14:paraId="715D0429" w14:textId="5DFE9AF9" w:rsidR="005B0EB5" w:rsidRPr="005B0EB5" w:rsidRDefault="005B0EB5" w:rsidP="00401E4C">
      <w:pPr>
        <w:spacing w:line="480" w:lineRule="auto"/>
        <w:ind w:left="1134" w:right="1177"/>
        <w:rPr>
          <w:rFonts w:ascii="Arial" w:hAnsi="Arial" w:cs="Arial"/>
          <w:sz w:val="24"/>
          <w:szCs w:val="24"/>
          <w:lang w:val="en-US"/>
        </w:rPr>
      </w:pPr>
      <w:r>
        <w:rPr>
          <w:rFonts w:ascii="Arial" w:hAnsi="Arial" w:cs="Arial"/>
          <w:sz w:val="24"/>
          <w:szCs w:val="24"/>
          <w:lang w:val="en-US"/>
        </w:rPr>
        <w:t>‘…It</w:t>
      </w:r>
      <w:r w:rsidRPr="005B0EB5">
        <w:rPr>
          <w:rFonts w:ascii="Arial" w:hAnsi="Arial" w:cs="Arial"/>
          <w:sz w:val="24"/>
          <w:szCs w:val="24"/>
          <w:lang w:val="en-US"/>
        </w:rPr>
        <w:t xml:space="preserve"> is legitimate — and perhaps obligatory — </w:t>
      </w:r>
      <w:r w:rsidRPr="00046337">
        <w:rPr>
          <w:rFonts w:ascii="Arial" w:hAnsi="Arial" w:cs="Arial"/>
          <w:b/>
          <w:sz w:val="24"/>
          <w:szCs w:val="24"/>
          <w:lang w:val="en-US"/>
        </w:rPr>
        <w:t>to sever an invalid condition from the rest of the instrument</w:t>
      </w:r>
      <w:r w:rsidRPr="005B0EB5">
        <w:rPr>
          <w:rFonts w:ascii="Arial" w:hAnsi="Arial" w:cs="Arial"/>
          <w:sz w:val="24"/>
          <w:szCs w:val="24"/>
          <w:lang w:val="en-US"/>
        </w:rPr>
        <w:t xml:space="preserve"> and to treat the latter as valid provided that having regard to the intention of the parties and the nature of the instrument the condition in question does not constitute an essential part of the instrument.</w:t>
      </w:r>
      <w:r>
        <w:rPr>
          <w:rFonts w:ascii="Arial" w:hAnsi="Arial" w:cs="Arial"/>
          <w:sz w:val="24"/>
          <w:szCs w:val="24"/>
          <w:lang w:val="en-US"/>
        </w:rPr>
        <w:t>’</w:t>
      </w:r>
      <w:r w:rsidR="00444361">
        <w:rPr>
          <w:rStyle w:val="FootnoteReference"/>
          <w:rFonts w:ascii="Arial" w:hAnsi="Arial" w:cs="Arial"/>
          <w:sz w:val="24"/>
          <w:szCs w:val="24"/>
          <w:lang w:val="en-US"/>
        </w:rPr>
        <w:footnoteReference w:id="135"/>
      </w:r>
    </w:p>
    <w:p w14:paraId="45A9816A" w14:textId="2FEF39BB" w:rsidR="00C46D77" w:rsidRDefault="00732B50" w:rsidP="00401E4C">
      <w:pPr>
        <w:spacing w:line="480" w:lineRule="auto"/>
        <w:rPr>
          <w:rFonts w:ascii="Arial" w:hAnsi="Arial" w:cs="Arial"/>
          <w:sz w:val="24"/>
          <w:szCs w:val="24"/>
          <w:lang w:val="en-US"/>
        </w:rPr>
      </w:pPr>
      <w:r w:rsidRPr="00A34D67">
        <w:rPr>
          <w:rFonts w:ascii="Arial" w:hAnsi="Arial" w:cs="Arial"/>
          <w:sz w:val="24"/>
          <w:szCs w:val="24"/>
          <w:lang w:val="en-US"/>
        </w:rPr>
        <w:t xml:space="preserve">Sadly, the ICJ never directly addressed this issue in either of these cases. </w:t>
      </w:r>
    </w:p>
    <w:p w14:paraId="5968F74B" w14:textId="12D687F7" w:rsidR="00433660" w:rsidRPr="00A34D67" w:rsidRDefault="00732B50" w:rsidP="00401E4C">
      <w:pPr>
        <w:spacing w:line="480" w:lineRule="auto"/>
        <w:rPr>
          <w:rFonts w:ascii="Arial" w:hAnsi="Arial" w:cs="Arial"/>
          <w:color w:val="FF0000"/>
          <w:sz w:val="24"/>
          <w:szCs w:val="24"/>
          <w:lang w:val="en-US"/>
        </w:rPr>
      </w:pPr>
      <w:r w:rsidRPr="00A34D67">
        <w:rPr>
          <w:rFonts w:ascii="Arial" w:hAnsi="Arial" w:cs="Arial"/>
          <w:sz w:val="24"/>
          <w:szCs w:val="24"/>
          <w:lang w:val="en-US"/>
        </w:rPr>
        <w:t>Lauterpacht</w:t>
      </w:r>
      <w:r w:rsidR="006C4165" w:rsidRPr="00A34D67">
        <w:rPr>
          <w:rFonts w:ascii="Arial" w:hAnsi="Arial" w:cs="Arial"/>
          <w:sz w:val="24"/>
          <w:szCs w:val="24"/>
          <w:lang w:val="en-US"/>
        </w:rPr>
        <w:t xml:space="preserve"> ruled that ‘automatic reservations are unlawful and invalid’ owing to their incompatibility with Article 36(6) of the ICJ Statute</w:t>
      </w:r>
      <w:r w:rsidR="00F064EE" w:rsidRPr="00A34D67">
        <w:rPr>
          <w:rFonts w:ascii="Arial" w:hAnsi="Arial" w:cs="Arial"/>
          <w:sz w:val="24"/>
          <w:szCs w:val="24"/>
          <w:lang w:val="en-US"/>
        </w:rPr>
        <w:t>, which considers the ICJ to possess the competence to regulate the threshold of its own jurisdiction</w:t>
      </w:r>
      <w:r w:rsidR="006C4165" w:rsidRPr="00A34D67">
        <w:rPr>
          <w:rFonts w:ascii="Arial" w:hAnsi="Arial" w:cs="Arial"/>
          <w:sz w:val="24"/>
          <w:szCs w:val="24"/>
          <w:lang w:val="en-US"/>
        </w:rPr>
        <w:t>.</w:t>
      </w:r>
      <w:r w:rsidR="00E60FE2" w:rsidRPr="00A34D67">
        <w:rPr>
          <w:rStyle w:val="FootnoteReference"/>
          <w:rFonts w:ascii="Arial" w:hAnsi="Arial" w:cs="Arial"/>
          <w:sz w:val="24"/>
          <w:szCs w:val="24"/>
          <w:lang w:val="en-US"/>
        </w:rPr>
        <w:footnoteReference w:id="136"/>
      </w:r>
      <w:r w:rsidR="006C4165" w:rsidRPr="00A34D67">
        <w:rPr>
          <w:rFonts w:ascii="Arial" w:hAnsi="Arial" w:cs="Arial"/>
          <w:sz w:val="24"/>
          <w:szCs w:val="24"/>
          <w:lang w:val="en-US"/>
        </w:rPr>
        <w:t xml:space="preserve"> </w:t>
      </w:r>
      <w:r w:rsidRPr="00A34D67">
        <w:rPr>
          <w:rFonts w:ascii="Arial" w:hAnsi="Arial" w:cs="Arial"/>
          <w:sz w:val="24"/>
          <w:szCs w:val="24"/>
          <w:lang w:val="en-US"/>
        </w:rPr>
        <w:t xml:space="preserve">Owing to the fact that jurisdiction is likely to be </w:t>
      </w:r>
      <w:r w:rsidR="008E4634" w:rsidRPr="00A34D67">
        <w:rPr>
          <w:rFonts w:ascii="Arial" w:hAnsi="Arial" w:cs="Arial"/>
          <w:sz w:val="24"/>
          <w:szCs w:val="24"/>
          <w:lang w:val="en-US"/>
        </w:rPr>
        <w:t>beaten</w:t>
      </w:r>
      <w:r w:rsidRPr="00A34D67">
        <w:rPr>
          <w:rFonts w:ascii="Arial" w:hAnsi="Arial" w:cs="Arial"/>
          <w:sz w:val="24"/>
          <w:szCs w:val="24"/>
          <w:lang w:val="en-US"/>
        </w:rPr>
        <w:t xml:space="preserve"> </w:t>
      </w:r>
      <w:r w:rsidR="008E4634" w:rsidRPr="00A34D67">
        <w:rPr>
          <w:rFonts w:ascii="Arial" w:hAnsi="Arial" w:cs="Arial"/>
          <w:sz w:val="24"/>
          <w:szCs w:val="24"/>
          <w:lang w:val="en-US"/>
        </w:rPr>
        <w:t>according to the state’s expression when a</w:t>
      </w:r>
      <w:r w:rsidRPr="00A34D67">
        <w:rPr>
          <w:rFonts w:ascii="Arial" w:hAnsi="Arial" w:cs="Arial"/>
          <w:sz w:val="24"/>
          <w:szCs w:val="24"/>
          <w:lang w:val="en-US"/>
        </w:rPr>
        <w:t xml:space="preserve"> </w:t>
      </w:r>
      <w:r w:rsidR="008E4634" w:rsidRPr="00A34D67">
        <w:rPr>
          <w:rFonts w:ascii="Arial" w:hAnsi="Arial" w:cs="Arial"/>
          <w:sz w:val="24"/>
          <w:szCs w:val="24"/>
          <w:lang w:val="en-US"/>
        </w:rPr>
        <w:t xml:space="preserve">dispute is submitted </w:t>
      </w:r>
      <w:r w:rsidRPr="00A34D67">
        <w:rPr>
          <w:rFonts w:ascii="Arial" w:hAnsi="Arial" w:cs="Arial"/>
          <w:sz w:val="24"/>
          <w:szCs w:val="24"/>
          <w:lang w:val="en-US"/>
        </w:rPr>
        <w:t xml:space="preserve">to the Court, they </w:t>
      </w:r>
      <w:r w:rsidR="0090052B" w:rsidRPr="00A34D67">
        <w:rPr>
          <w:rFonts w:ascii="Arial" w:hAnsi="Arial" w:cs="Arial"/>
          <w:sz w:val="24"/>
          <w:szCs w:val="24"/>
          <w:lang w:val="en-US"/>
        </w:rPr>
        <w:t>generate</w:t>
      </w:r>
      <w:r w:rsidRPr="00A34D67">
        <w:rPr>
          <w:rFonts w:ascii="Arial" w:hAnsi="Arial" w:cs="Arial"/>
          <w:sz w:val="24"/>
          <w:szCs w:val="24"/>
          <w:lang w:val="en-US"/>
        </w:rPr>
        <w:t xml:space="preserve"> </w:t>
      </w:r>
      <w:r w:rsidR="0090052B" w:rsidRPr="00A34D67">
        <w:rPr>
          <w:rFonts w:ascii="Arial" w:hAnsi="Arial" w:cs="Arial"/>
          <w:sz w:val="24"/>
          <w:szCs w:val="24"/>
          <w:lang w:val="en-US"/>
        </w:rPr>
        <w:t>‘</w:t>
      </w:r>
      <w:r w:rsidRPr="00A34D67">
        <w:rPr>
          <w:rFonts w:ascii="Arial" w:hAnsi="Arial" w:cs="Arial"/>
          <w:sz w:val="24"/>
          <w:szCs w:val="24"/>
          <w:lang w:val="en-US"/>
        </w:rPr>
        <w:t>only a contingent acceptance of jurisdiction and this is contrary to the principle of the binding legal effect of Declarations under the Optional System</w:t>
      </w:r>
      <w:r w:rsidR="0090052B" w:rsidRPr="00A34D67">
        <w:rPr>
          <w:rFonts w:ascii="Arial" w:hAnsi="Arial" w:cs="Arial"/>
          <w:sz w:val="24"/>
          <w:szCs w:val="24"/>
          <w:lang w:val="en-US"/>
        </w:rPr>
        <w:t>’</w:t>
      </w:r>
      <w:r w:rsidRPr="00A34D67">
        <w:rPr>
          <w:rFonts w:ascii="Arial" w:hAnsi="Arial" w:cs="Arial"/>
          <w:sz w:val="24"/>
          <w:szCs w:val="24"/>
          <w:lang w:val="en-US"/>
        </w:rPr>
        <w:t>.</w:t>
      </w:r>
      <w:r w:rsidR="0090052B" w:rsidRPr="00A34D67">
        <w:rPr>
          <w:rStyle w:val="FootnoteReference"/>
          <w:rFonts w:ascii="Arial" w:hAnsi="Arial" w:cs="Arial"/>
          <w:sz w:val="24"/>
          <w:szCs w:val="24"/>
          <w:lang w:val="en-US"/>
        </w:rPr>
        <w:footnoteReference w:id="137"/>
      </w:r>
      <w:r w:rsidRPr="00A34D67">
        <w:rPr>
          <w:rFonts w:ascii="Arial" w:hAnsi="Arial" w:cs="Arial"/>
          <w:sz w:val="24"/>
          <w:szCs w:val="24"/>
          <w:lang w:val="en-US"/>
        </w:rPr>
        <w:t xml:space="preserve"> </w:t>
      </w:r>
    </w:p>
    <w:p w14:paraId="199D6264" w14:textId="4620B21E" w:rsidR="00C31F62" w:rsidRDefault="00E4643D" w:rsidP="00401E4C">
      <w:pPr>
        <w:spacing w:line="480" w:lineRule="auto"/>
        <w:rPr>
          <w:rFonts w:ascii="Arial" w:hAnsi="Arial"/>
          <w:sz w:val="24"/>
          <w:szCs w:val="24"/>
          <w:lang w:val="en-US"/>
        </w:rPr>
      </w:pPr>
      <w:r w:rsidRPr="00A34D67">
        <w:rPr>
          <w:rFonts w:ascii="Arial" w:hAnsi="Arial" w:cs="Arial"/>
          <w:sz w:val="24"/>
          <w:szCs w:val="24"/>
        </w:rPr>
        <w:t>The HRC found that</w:t>
      </w:r>
      <w:r w:rsidR="00D25D2C" w:rsidRPr="00A34D67">
        <w:rPr>
          <w:rFonts w:ascii="Arial" w:hAnsi="Arial" w:cs="Arial"/>
          <w:sz w:val="24"/>
          <w:szCs w:val="24"/>
        </w:rPr>
        <w:t xml:space="preserve"> </w:t>
      </w:r>
      <w:r w:rsidRPr="00A34D67">
        <w:rPr>
          <w:rFonts w:ascii="Arial" w:hAnsi="Arial" w:cs="Arial"/>
          <w:sz w:val="24"/>
          <w:szCs w:val="24"/>
        </w:rPr>
        <w:t>a state is unable to</w:t>
      </w:r>
      <w:r w:rsidR="004D16E4" w:rsidRPr="00A34D67">
        <w:rPr>
          <w:rFonts w:ascii="Arial" w:hAnsi="Arial" w:cs="Arial"/>
          <w:color w:val="FF0000"/>
          <w:sz w:val="24"/>
          <w:szCs w:val="24"/>
        </w:rPr>
        <w:t xml:space="preserve"> </w:t>
      </w:r>
      <w:r w:rsidR="00465B12" w:rsidRPr="00A34D67">
        <w:rPr>
          <w:rFonts w:ascii="Arial" w:hAnsi="Arial" w:cs="Arial"/>
          <w:sz w:val="24"/>
          <w:szCs w:val="24"/>
        </w:rPr>
        <w:t xml:space="preserve">reserve the right to </w:t>
      </w:r>
      <w:r w:rsidR="0049005D" w:rsidRPr="00A34D67">
        <w:rPr>
          <w:rFonts w:ascii="Arial" w:hAnsi="Arial" w:cs="Arial"/>
          <w:sz w:val="24"/>
          <w:szCs w:val="24"/>
        </w:rPr>
        <w:t xml:space="preserve">declare an individual to be </w:t>
      </w:r>
      <w:r w:rsidR="00E65B10" w:rsidRPr="00A34D67">
        <w:rPr>
          <w:rFonts w:ascii="Arial" w:hAnsi="Arial" w:cs="Arial"/>
          <w:sz w:val="24"/>
          <w:szCs w:val="24"/>
        </w:rPr>
        <w:t>guilty unless proven innocent</w:t>
      </w:r>
      <w:r w:rsidR="004D16E4" w:rsidRPr="00A34D67">
        <w:rPr>
          <w:rFonts w:ascii="Arial" w:hAnsi="Arial" w:cs="Arial"/>
          <w:sz w:val="24"/>
          <w:szCs w:val="24"/>
        </w:rPr>
        <w:t>, for example</w:t>
      </w:r>
      <w:r w:rsidR="00E65B10" w:rsidRPr="00A34D67">
        <w:rPr>
          <w:rFonts w:ascii="Arial" w:hAnsi="Arial" w:cs="Arial"/>
          <w:sz w:val="24"/>
          <w:szCs w:val="24"/>
        </w:rPr>
        <w:t>. I</w:t>
      </w:r>
      <w:r w:rsidR="0049005D" w:rsidRPr="00A34D67">
        <w:rPr>
          <w:rFonts w:ascii="Arial" w:hAnsi="Arial" w:cs="Arial"/>
          <w:sz w:val="24"/>
          <w:szCs w:val="24"/>
        </w:rPr>
        <w:t>nstead of re</w:t>
      </w:r>
      <w:r w:rsidR="00F903A7" w:rsidRPr="00A34D67">
        <w:rPr>
          <w:rFonts w:ascii="Arial" w:hAnsi="Arial" w:cs="Arial"/>
          <w:sz w:val="24"/>
          <w:szCs w:val="24"/>
        </w:rPr>
        <w:t>scinding</w:t>
      </w:r>
      <w:r w:rsidR="0049005D" w:rsidRPr="00A34D67">
        <w:rPr>
          <w:rFonts w:ascii="Arial" w:hAnsi="Arial" w:cs="Arial"/>
          <w:sz w:val="24"/>
          <w:szCs w:val="24"/>
        </w:rPr>
        <w:t xml:space="preserve"> the state’s membership of the treaty</w:t>
      </w:r>
      <w:r w:rsidR="00E65B10" w:rsidRPr="00A34D67">
        <w:rPr>
          <w:rFonts w:ascii="Arial" w:hAnsi="Arial" w:cs="Arial"/>
          <w:sz w:val="24"/>
          <w:szCs w:val="24"/>
        </w:rPr>
        <w:t>,</w:t>
      </w:r>
      <w:r w:rsidR="0045006A" w:rsidRPr="00A34D67">
        <w:rPr>
          <w:rStyle w:val="FootnoteReference"/>
          <w:rFonts w:ascii="Arial" w:hAnsi="Arial" w:cs="Arial"/>
          <w:sz w:val="24"/>
          <w:szCs w:val="24"/>
        </w:rPr>
        <w:footnoteReference w:id="138"/>
      </w:r>
      <w:r w:rsidR="00E65B10" w:rsidRPr="00A34D67">
        <w:rPr>
          <w:rFonts w:ascii="Arial" w:hAnsi="Arial" w:cs="Arial"/>
          <w:sz w:val="24"/>
          <w:szCs w:val="24"/>
        </w:rPr>
        <w:t xml:space="preserve"> </w:t>
      </w:r>
      <w:r w:rsidR="00C153AC" w:rsidRPr="00A34D67">
        <w:rPr>
          <w:rFonts w:ascii="Arial" w:hAnsi="Arial" w:cs="Arial"/>
          <w:sz w:val="24"/>
          <w:szCs w:val="24"/>
        </w:rPr>
        <w:t xml:space="preserve">a state is </w:t>
      </w:r>
      <w:r w:rsidR="00211089" w:rsidRPr="00A34D67">
        <w:rPr>
          <w:rFonts w:ascii="Arial" w:hAnsi="Arial" w:cs="Arial"/>
          <w:sz w:val="24"/>
          <w:szCs w:val="24"/>
        </w:rPr>
        <w:t>deemed</w:t>
      </w:r>
      <w:r w:rsidR="00C153AC" w:rsidRPr="00A34D67">
        <w:rPr>
          <w:rFonts w:ascii="Arial" w:hAnsi="Arial" w:cs="Arial"/>
          <w:sz w:val="24"/>
          <w:szCs w:val="24"/>
        </w:rPr>
        <w:t xml:space="preserve"> to be party to a treaty </w:t>
      </w:r>
      <w:r w:rsidR="00211089" w:rsidRPr="00A34D67">
        <w:rPr>
          <w:rFonts w:ascii="Arial" w:hAnsi="Arial" w:cs="Arial"/>
          <w:sz w:val="24"/>
          <w:szCs w:val="24"/>
        </w:rPr>
        <w:t>‘</w:t>
      </w:r>
      <w:r w:rsidR="00C153AC" w:rsidRPr="00A34D67">
        <w:rPr>
          <w:rFonts w:ascii="Arial" w:hAnsi="Arial" w:cs="Arial"/>
          <w:sz w:val="24"/>
          <w:szCs w:val="24"/>
        </w:rPr>
        <w:t>without benefit of its reservation,</w:t>
      </w:r>
      <w:r w:rsidR="00211089" w:rsidRPr="00A34D67">
        <w:rPr>
          <w:rFonts w:ascii="Arial" w:hAnsi="Arial" w:cs="Arial"/>
          <w:sz w:val="24"/>
          <w:szCs w:val="24"/>
        </w:rPr>
        <w:t>’</w:t>
      </w:r>
      <w:r w:rsidR="007826B5" w:rsidRPr="00A34D67">
        <w:rPr>
          <w:rStyle w:val="FootnoteReference"/>
          <w:rFonts w:ascii="Arial" w:hAnsi="Arial" w:cs="Arial"/>
          <w:sz w:val="24"/>
          <w:szCs w:val="24"/>
        </w:rPr>
        <w:t xml:space="preserve"> </w:t>
      </w:r>
      <w:r w:rsidR="007826B5" w:rsidRPr="00A34D67">
        <w:rPr>
          <w:rStyle w:val="FootnoteReference"/>
          <w:rFonts w:ascii="Arial" w:hAnsi="Arial" w:cs="Arial"/>
          <w:sz w:val="24"/>
          <w:szCs w:val="24"/>
        </w:rPr>
        <w:footnoteReference w:id="139"/>
      </w:r>
      <w:r w:rsidR="00C153AC" w:rsidRPr="00A34D67">
        <w:rPr>
          <w:rFonts w:ascii="Arial" w:hAnsi="Arial" w:cs="Arial"/>
          <w:sz w:val="24"/>
          <w:szCs w:val="24"/>
        </w:rPr>
        <w:t xml:space="preserve"> irrespective of its real objectives.</w:t>
      </w:r>
      <w:r w:rsidR="007E1B0B" w:rsidRPr="00A34D67">
        <w:rPr>
          <w:rFonts w:ascii="Arial" w:hAnsi="Arial" w:cs="Arial"/>
          <w:sz w:val="24"/>
          <w:szCs w:val="24"/>
          <w:lang w:val="en-US"/>
        </w:rPr>
        <w:t xml:space="preserve"> </w:t>
      </w:r>
      <w:r w:rsidR="004D4BBB" w:rsidRPr="00A34D67">
        <w:rPr>
          <w:rFonts w:ascii="Arial" w:hAnsi="Arial" w:cs="Arial"/>
          <w:sz w:val="24"/>
          <w:szCs w:val="24"/>
          <w:lang w:val="en-US"/>
        </w:rPr>
        <w:t xml:space="preserve">The HRC later applied this </w:t>
      </w:r>
      <w:r w:rsidR="00A12654" w:rsidRPr="00A34D67">
        <w:rPr>
          <w:rFonts w:ascii="Arial" w:hAnsi="Arial" w:cs="Arial"/>
          <w:sz w:val="24"/>
          <w:szCs w:val="24"/>
          <w:lang w:val="en-US"/>
        </w:rPr>
        <w:t>severance method</w:t>
      </w:r>
      <w:r w:rsidR="004D4BBB" w:rsidRPr="00A34D67">
        <w:rPr>
          <w:rFonts w:ascii="Arial" w:hAnsi="Arial" w:cs="Arial"/>
          <w:sz w:val="24"/>
          <w:szCs w:val="24"/>
          <w:lang w:val="en-US"/>
        </w:rPr>
        <w:t xml:space="preserve"> in the landmark case of </w:t>
      </w:r>
      <w:r w:rsidR="00DA2840" w:rsidRPr="00A34D67">
        <w:rPr>
          <w:rFonts w:ascii="Arial" w:hAnsi="Arial" w:cs="Arial"/>
          <w:i/>
          <w:sz w:val="24"/>
          <w:szCs w:val="24"/>
          <w:lang w:val="en-US"/>
        </w:rPr>
        <w:t xml:space="preserve">Rawle </w:t>
      </w:r>
      <w:r w:rsidR="004D4BBB" w:rsidRPr="00A34D67">
        <w:rPr>
          <w:rFonts w:ascii="Arial" w:hAnsi="Arial" w:cs="Arial"/>
          <w:i/>
          <w:sz w:val="24"/>
          <w:szCs w:val="24"/>
          <w:lang w:val="en-US"/>
        </w:rPr>
        <w:t xml:space="preserve">Kennedy </w:t>
      </w:r>
      <w:r w:rsidR="004D4BBB" w:rsidRPr="00A34D67">
        <w:rPr>
          <w:rFonts w:ascii="Arial" w:hAnsi="Arial" w:cs="Arial"/>
          <w:sz w:val="24"/>
          <w:szCs w:val="24"/>
          <w:lang w:val="en-US"/>
        </w:rPr>
        <w:t xml:space="preserve">v </w:t>
      </w:r>
      <w:r w:rsidR="004D4BBB" w:rsidRPr="00A34D67">
        <w:rPr>
          <w:rFonts w:ascii="Arial" w:hAnsi="Arial" w:cs="Arial"/>
          <w:i/>
          <w:sz w:val="24"/>
          <w:szCs w:val="24"/>
          <w:lang w:val="en-US"/>
        </w:rPr>
        <w:t>Trinidad and Tobago</w:t>
      </w:r>
      <w:r w:rsidR="004D4BBB" w:rsidRPr="00A34D67">
        <w:rPr>
          <w:rFonts w:ascii="Arial" w:hAnsi="Arial" w:cs="Arial"/>
          <w:sz w:val="24"/>
          <w:szCs w:val="24"/>
          <w:lang w:val="en-US"/>
        </w:rPr>
        <w:t>.</w:t>
      </w:r>
      <w:r w:rsidR="00BE7C3E" w:rsidRPr="00A34D67">
        <w:rPr>
          <w:rStyle w:val="FootnoteReference"/>
          <w:rFonts w:ascii="Arial" w:hAnsi="Arial" w:cs="Arial"/>
          <w:sz w:val="24"/>
          <w:szCs w:val="24"/>
          <w:lang w:val="en-US"/>
        </w:rPr>
        <w:footnoteReference w:id="140"/>
      </w:r>
      <w:r w:rsidR="004D4BBB" w:rsidRPr="00A34D67">
        <w:rPr>
          <w:rFonts w:ascii="Arial" w:hAnsi="Arial" w:cs="Arial"/>
          <w:sz w:val="24"/>
          <w:szCs w:val="24"/>
          <w:lang w:val="en-US"/>
        </w:rPr>
        <w:t xml:space="preserve"> </w:t>
      </w:r>
      <w:r w:rsidR="00133A54" w:rsidRPr="00A34D67">
        <w:rPr>
          <w:rFonts w:ascii="Arial" w:hAnsi="Arial" w:cs="Arial"/>
          <w:sz w:val="24"/>
          <w:szCs w:val="24"/>
          <w:lang w:val="en-US"/>
        </w:rPr>
        <w:t xml:space="preserve">It was the opinion of the HRC that Trinidad and Tobago’s reservation, which excluded the HRC’s competence to study </w:t>
      </w:r>
      <w:r w:rsidR="00C31F62" w:rsidRPr="00A34D67">
        <w:rPr>
          <w:rFonts w:ascii="Arial" w:hAnsi="Arial"/>
          <w:sz w:val="24"/>
          <w:szCs w:val="24"/>
          <w:lang w:val="en-US"/>
        </w:rPr>
        <w:t xml:space="preserve">communications </w:t>
      </w:r>
      <w:r w:rsidR="00133A54" w:rsidRPr="00A34D67">
        <w:rPr>
          <w:rFonts w:ascii="Arial" w:hAnsi="Arial"/>
          <w:sz w:val="24"/>
          <w:szCs w:val="24"/>
          <w:lang w:val="en-US"/>
        </w:rPr>
        <w:t>concerning</w:t>
      </w:r>
      <w:r w:rsidR="00C31F62" w:rsidRPr="00A34D67">
        <w:rPr>
          <w:rFonts w:ascii="Arial" w:hAnsi="Arial"/>
          <w:sz w:val="24"/>
          <w:szCs w:val="24"/>
          <w:lang w:val="en-US"/>
        </w:rPr>
        <w:t xml:space="preserve"> a prisoner </w:t>
      </w:r>
      <w:r w:rsidR="00133A54" w:rsidRPr="00A34D67">
        <w:rPr>
          <w:rFonts w:ascii="Arial" w:hAnsi="Arial"/>
          <w:sz w:val="24"/>
          <w:szCs w:val="24"/>
          <w:lang w:val="en-US"/>
        </w:rPr>
        <w:t>who had been given a death sentence, was in</w:t>
      </w:r>
      <w:r w:rsidR="00C31F62" w:rsidRPr="00A34D67">
        <w:rPr>
          <w:rFonts w:ascii="Arial" w:hAnsi="Arial"/>
          <w:sz w:val="24"/>
          <w:szCs w:val="24"/>
          <w:lang w:val="en-US"/>
        </w:rPr>
        <w:t>valid.</w:t>
      </w:r>
    </w:p>
    <w:p w14:paraId="29623583" w14:textId="77777777" w:rsidR="00A02D03" w:rsidRDefault="00FA06BB" w:rsidP="00401E4C">
      <w:pPr>
        <w:spacing w:line="480" w:lineRule="auto"/>
        <w:ind w:right="752"/>
        <w:rPr>
          <w:rFonts w:ascii="Arial" w:hAnsi="Arial" w:cs="Arial"/>
          <w:sz w:val="24"/>
          <w:szCs w:val="24"/>
        </w:rPr>
      </w:pPr>
      <w:r w:rsidRPr="00A34D67">
        <w:rPr>
          <w:rFonts w:ascii="Arial" w:hAnsi="Arial" w:cs="Arial"/>
          <w:sz w:val="24"/>
          <w:szCs w:val="24"/>
          <w:lang w:val="en-US"/>
        </w:rPr>
        <w:t>With regard to reservations, t</w:t>
      </w:r>
      <w:r w:rsidR="00F344FB" w:rsidRPr="00A34D67">
        <w:rPr>
          <w:rFonts w:ascii="Arial" w:hAnsi="Arial" w:cs="Arial"/>
          <w:sz w:val="24"/>
          <w:szCs w:val="24"/>
          <w:lang w:val="en-US"/>
        </w:rPr>
        <w:t>he notion that</w:t>
      </w:r>
      <w:r w:rsidR="001E1CC6" w:rsidRPr="00A34D67">
        <w:rPr>
          <w:rFonts w:ascii="Arial" w:hAnsi="Arial" w:cs="Arial"/>
          <w:color w:val="FF0000"/>
          <w:sz w:val="24"/>
          <w:szCs w:val="24"/>
          <w:lang w:val="en-US"/>
        </w:rPr>
        <w:t xml:space="preserve"> </w:t>
      </w:r>
      <w:r w:rsidR="001E1CC6" w:rsidRPr="00A34D67">
        <w:rPr>
          <w:rFonts w:ascii="Arial" w:hAnsi="Arial" w:cs="Arial"/>
          <w:sz w:val="24"/>
          <w:szCs w:val="24"/>
          <w:lang w:val="en-US"/>
        </w:rPr>
        <w:t>severability</w:t>
      </w:r>
      <w:r w:rsidR="001E1CC6" w:rsidRPr="00A34D67">
        <w:rPr>
          <w:rFonts w:ascii="Arial" w:hAnsi="Arial" w:cs="Arial"/>
          <w:color w:val="FF0000"/>
          <w:sz w:val="24"/>
          <w:szCs w:val="24"/>
          <w:lang w:val="en-US"/>
        </w:rPr>
        <w:t xml:space="preserve"> </w:t>
      </w:r>
      <w:r w:rsidR="00FB38EC" w:rsidRPr="00A34D67">
        <w:rPr>
          <w:rFonts w:ascii="Arial" w:hAnsi="Arial" w:cs="Arial"/>
          <w:sz w:val="24"/>
          <w:szCs w:val="24"/>
          <w:lang w:val="en-US"/>
        </w:rPr>
        <w:t>‘</w:t>
      </w:r>
      <w:r w:rsidR="001E1CC6" w:rsidRPr="00A34D67">
        <w:rPr>
          <w:rFonts w:ascii="Arial" w:hAnsi="Arial" w:cs="Arial"/>
          <w:sz w:val="24"/>
          <w:szCs w:val="24"/>
          <w:lang w:val="en-US"/>
        </w:rPr>
        <w:t xml:space="preserve">is </w:t>
      </w:r>
      <w:r w:rsidR="001C584E" w:rsidRPr="00A34D67">
        <w:rPr>
          <w:rFonts w:ascii="Arial" w:hAnsi="Arial" w:cs="Arial"/>
          <w:sz w:val="24"/>
          <w:szCs w:val="24"/>
          <w:lang w:val="en-US"/>
        </w:rPr>
        <w:t>only</w:t>
      </w:r>
      <w:r w:rsidR="001E1CC6" w:rsidRPr="00A34D67">
        <w:rPr>
          <w:rFonts w:ascii="Arial" w:hAnsi="Arial" w:cs="Arial"/>
          <w:sz w:val="24"/>
          <w:szCs w:val="24"/>
          <w:lang w:val="en-US"/>
        </w:rPr>
        <w:t xml:space="preserve"> exclude</w:t>
      </w:r>
      <w:r w:rsidR="00DB6030" w:rsidRPr="00A34D67">
        <w:rPr>
          <w:rFonts w:ascii="Arial" w:hAnsi="Arial" w:cs="Arial"/>
          <w:sz w:val="24"/>
          <w:szCs w:val="24"/>
          <w:lang w:val="en-US"/>
        </w:rPr>
        <w:t>d when essential parts are con</w:t>
      </w:r>
      <w:r w:rsidRPr="00A34D67">
        <w:rPr>
          <w:rFonts w:ascii="Arial" w:hAnsi="Arial" w:cs="Arial"/>
          <w:sz w:val="24"/>
          <w:szCs w:val="24"/>
          <w:lang w:val="en-US"/>
        </w:rPr>
        <w:t>cerned</w:t>
      </w:r>
      <w:r w:rsidR="00FB38EC" w:rsidRPr="00A34D67">
        <w:rPr>
          <w:rFonts w:ascii="Arial" w:hAnsi="Arial" w:cs="Arial"/>
          <w:sz w:val="24"/>
          <w:szCs w:val="24"/>
          <w:lang w:val="en-US"/>
        </w:rPr>
        <w:t>’</w:t>
      </w:r>
      <w:r w:rsidRPr="00A34D67">
        <w:rPr>
          <w:rFonts w:ascii="Arial" w:hAnsi="Arial" w:cs="Arial"/>
          <w:sz w:val="24"/>
          <w:szCs w:val="24"/>
          <w:lang w:val="en-US"/>
        </w:rPr>
        <w:t xml:space="preserve"> </w:t>
      </w:r>
      <w:r w:rsidR="00DE1DCB" w:rsidRPr="00A34D67">
        <w:rPr>
          <w:rFonts w:ascii="Arial" w:hAnsi="Arial" w:cs="Arial"/>
          <w:sz w:val="24"/>
          <w:szCs w:val="24"/>
          <w:lang w:val="en-US"/>
        </w:rPr>
        <w:t>has</w:t>
      </w:r>
      <w:r w:rsidR="00F9016E" w:rsidRPr="00A34D67">
        <w:rPr>
          <w:rFonts w:ascii="Arial" w:hAnsi="Arial" w:cs="Arial"/>
          <w:sz w:val="24"/>
          <w:szCs w:val="24"/>
          <w:lang w:val="en-US"/>
        </w:rPr>
        <w:t xml:space="preserve"> no foundation</w:t>
      </w:r>
      <w:r w:rsidR="00DE1DCB" w:rsidRPr="00A34D67">
        <w:rPr>
          <w:rFonts w:ascii="Arial" w:hAnsi="Arial" w:cs="Arial"/>
          <w:sz w:val="24"/>
          <w:szCs w:val="24"/>
          <w:lang w:val="en-US"/>
        </w:rPr>
        <w:t>.</w:t>
      </w:r>
      <w:r w:rsidR="00FB38EC" w:rsidRPr="00A34D67">
        <w:rPr>
          <w:rStyle w:val="FootnoteReference"/>
          <w:rFonts w:ascii="Arial" w:hAnsi="Arial" w:cs="Arial"/>
          <w:sz w:val="24"/>
          <w:szCs w:val="24"/>
          <w:lang w:val="en-US"/>
        </w:rPr>
        <w:footnoteReference w:id="141"/>
      </w:r>
      <w:r w:rsidR="001E1CC6" w:rsidRPr="00A34D67">
        <w:rPr>
          <w:rFonts w:ascii="Arial" w:hAnsi="Arial" w:cs="Arial"/>
          <w:color w:val="FF0000"/>
          <w:sz w:val="24"/>
          <w:szCs w:val="24"/>
          <w:lang w:val="en-US"/>
        </w:rPr>
        <w:t xml:space="preserve"> </w:t>
      </w:r>
      <w:r w:rsidR="00DE1DCB" w:rsidRPr="00A34D67">
        <w:rPr>
          <w:rFonts w:ascii="Arial" w:hAnsi="Arial" w:cs="Arial"/>
          <w:sz w:val="24"/>
          <w:szCs w:val="24"/>
          <w:lang w:val="en-US"/>
        </w:rPr>
        <w:t xml:space="preserve">A reservation that is contrary to </w:t>
      </w:r>
      <w:r w:rsidR="001E1CC6" w:rsidRPr="00A34D67">
        <w:rPr>
          <w:rFonts w:ascii="Arial" w:hAnsi="Arial" w:cs="Arial"/>
          <w:sz w:val="24"/>
          <w:szCs w:val="24"/>
          <w:lang w:val="en-US"/>
        </w:rPr>
        <w:t xml:space="preserve">a treaty’s object and purpose </w:t>
      </w:r>
      <w:r w:rsidR="00455356" w:rsidRPr="00A34D67">
        <w:rPr>
          <w:rFonts w:ascii="Arial" w:hAnsi="Arial" w:cs="Arial"/>
          <w:sz w:val="24"/>
          <w:szCs w:val="24"/>
          <w:lang w:val="en-US"/>
        </w:rPr>
        <w:t xml:space="preserve">(when such compatibility is correctly </w:t>
      </w:r>
      <w:r w:rsidR="006858E1" w:rsidRPr="00A34D67">
        <w:rPr>
          <w:rFonts w:ascii="Arial" w:hAnsi="Arial" w:cs="Arial"/>
          <w:sz w:val="24"/>
          <w:szCs w:val="24"/>
          <w:lang w:val="en-US"/>
        </w:rPr>
        <w:t>considered</w:t>
      </w:r>
      <w:r w:rsidR="00455356" w:rsidRPr="00A34D67">
        <w:rPr>
          <w:rFonts w:ascii="Arial" w:hAnsi="Arial" w:cs="Arial"/>
          <w:sz w:val="24"/>
          <w:szCs w:val="24"/>
          <w:lang w:val="en-US"/>
        </w:rPr>
        <w:t xml:space="preserve">) </w:t>
      </w:r>
      <w:r w:rsidR="00DE1DCB" w:rsidRPr="00A34D67">
        <w:rPr>
          <w:rFonts w:ascii="Arial" w:hAnsi="Arial" w:cs="Arial"/>
          <w:sz w:val="24"/>
          <w:szCs w:val="24"/>
          <w:lang w:val="en-US"/>
        </w:rPr>
        <w:t>ought to be</w:t>
      </w:r>
      <w:r w:rsidR="00DE1DCB" w:rsidRPr="00A34D67">
        <w:rPr>
          <w:rFonts w:ascii="Arial" w:hAnsi="Arial" w:cs="Arial"/>
          <w:color w:val="FF0000"/>
          <w:sz w:val="24"/>
          <w:szCs w:val="24"/>
          <w:lang w:val="en-US"/>
        </w:rPr>
        <w:t xml:space="preserve"> </w:t>
      </w:r>
      <w:r w:rsidR="00F35F59" w:rsidRPr="00A34D67">
        <w:rPr>
          <w:rFonts w:ascii="Arial" w:hAnsi="Arial" w:cs="Arial"/>
          <w:sz w:val="24"/>
          <w:szCs w:val="24"/>
          <w:lang w:val="en-US"/>
        </w:rPr>
        <w:t>deemed</w:t>
      </w:r>
      <w:r w:rsidR="001E1CC6" w:rsidRPr="00A34D67">
        <w:rPr>
          <w:rFonts w:ascii="Arial" w:hAnsi="Arial" w:cs="Arial"/>
          <w:color w:val="FF0000"/>
          <w:sz w:val="24"/>
          <w:szCs w:val="24"/>
          <w:lang w:val="en-US"/>
        </w:rPr>
        <w:t xml:space="preserve"> </w:t>
      </w:r>
      <w:r w:rsidR="007D0E86" w:rsidRPr="00A34D67">
        <w:rPr>
          <w:rFonts w:ascii="Arial" w:hAnsi="Arial" w:cs="Arial"/>
          <w:sz w:val="24"/>
          <w:szCs w:val="24"/>
          <w:lang w:val="en-US"/>
        </w:rPr>
        <w:t>indispensible</w:t>
      </w:r>
      <w:r w:rsidR="001E1CC6" w:rsidRPr="00A34D67">
        <w:rPr>
          <w:rFonts w:ascii="Arial" w:hAnsi="Arial" w:cs="Arial"/>
          <w:color w:val="FF0000"/>
          <w:sz w:val="24"/>
          <w:szCs w:val="24"/>
          <w:lang w:val="en-US"/>
        </w:rPr>
        <w:t xml:space="preserve"> </w:t>
      </w:r>
      <w:r w:rsidR="001E1CC6" w:rsidRPr="00A34D67">
        <w:rPr>
          <w:rFonts w:ascii="Arial" w:hAnsi="Arial" w:cs="Arial"/>
          <w:sz w:val="24"/>
          <w:szCs w:val="24"/>
          <w:lang w:val="en-US"/>
        </w:rPr>
        <w:t>enough</w:t>
      </w:r>
      <w:r w:rsidR="00455356" w:rsidRPr="00A34D67">
        <w:rPr>
          <w:rFonts w:ascii="Arial" w:hAnsi="Arial" w:cs="Arial"/>
          <w:sz w:val="24"/>
          <w:szCs w:val="24"/>
          <w:lang w:val="en-US"/>
        </w:rPr>
        <w:t xml:space="preserve"> to stop it from being severed from the relevant instrument</w:t>
      </w:r>
      <w:r w:rsidR="001E1CC6" w:rsidRPr="00A34D67">
        <w:rPr>
          <w:rFonts w:ascii="Arial" w:hAnsi="Arial" w:cs="Arial"/>
          <w:sz w:val="24"/>
          <w:szCs w:val="24"/>
          <w:lang w:val="en-US"/>
        </w:rPr>
        <w:t xml:space="preserve">, </w:t>
      </w:r>
      <w:r w:rsidR="001C1B45" w:rsidRPr="00A34D67">
        <w:rPr>
          <w:rFonts w:ascii="Arial" w:hAnsi="Arial" w:cs="Arial"/>
          <w:sz w:val="24"/>
          <w:szCs w:val="24"/>
          <w:lang w:val="en-US"/>
        </w:rPr>
        <w:t xml:space="preserve">if it takes into account the line adopted by the </w:t>
      </w:r>
      <w:r w:rsidR="001E1CC6" w:rsidRPr="00A34D67">
        <w:rPr>
          <w:rFonts w:ascii="Arial" w:hAnsi="Arial" w:cs="Arial"/>
          <w:sz w:val="24"/>
          <w:szCs w:val="24"/>
          <w:lang w:val="en-US"/>
        </w:rPr>
        <w:t>ICJ</w:t>
      </w:r>
      <w:r w:rsidR="001C1B45" w:rsidRPr="00A34D67">
        <w:rPr>
          <w:rFonts w:ascii="Arial" w:hAnsi="Arial" w:cs="Arial"/>
          <w:sz w:val="24"/>
          <w:szCs w:val="24"/>
          <w:lang w:val="en-US"/>
        </w:rPr>
        <w:t xml:space="preserve"> in its </w:t>
      </w:r>
      <w:r w:rsidR="001E1CC6" w:rsidRPr="00A34D67">
        <w:rPr>
          <w:rFonts w:ascii="Arial" w:hAnsi="Arial" w:cs="Arial"/>
          <w:i/>
          <w:iCs/>
          <w:sz w:val="24"/>
          <w:szCs w:val="24"/>
          <w:lang w:val="en-US"/>
        </w:rPr>
        <w:t xml:space="preserve">Reservations </w:t>
      </w:r>
      <w:r w:rsidR="001E1CC6" w:rsidRPr="00A34D67">
        <w:rPr>
          <w:rFonts w:ascii="Arial" w:hAnsi="Arial" w:cs="Arial"/>
          <w:sz w:val="24"/>
          <w:szCs w:val="24"/>
          <w:lang w:val="en-US"/>
        </w:rPr>
        <w:t>opinion.</w:t>
      </w:r>
      <w:r w:rsidR="00D133FF" w:rsidRPr="00A34D67">
        <w:rPr>
          <w:rStyle w:val="FootnoteReference"/>
          <w:rFonts w:ascii="Arial" w:hAnsi="Arial" w:cs="Arial"/>
          <w:sz w:val="24"/>
          <w:szCs w:val="24"/>
          <w:lang w:val="en-US"/>
        </w:rPr>
        <w:footnoteReference w:id="142"/>
      </w:r>
      <w:r w:rsidR="000F71A4" w:rsidRPr="00A34D67">
        <w:rPr>
          <w:rFonts w:ascii="Arial" w:hAnsi="Arial" w:cs="Arial"/>
          <w:sz w:val="24"/>
          <w:szCs w:val="24"/>
        </w:rPr>
        <w:t xml:space="preserve"> </w:t>
      </w:r>
    </w:p>
    <w:p w14:paraId="240C940D" w14:textId="66864FA6" w:rsidR="000F3EEF" w:rsidRPr="00A1140F" w:rsidRDefault="00A1140F" w:rsidP="00401E4C">
      <w:pPr>
        <w:spacing w:line="480" w:lineRule="auto"/>
        <w:rPr>
          <w:rFonts w:ascii="Arial" w:hAnsi="Arial" w:cs="Arial"/>
          <w:sz w:val="24"/>
          <w:szCs w:val="24"/>
          <w:lang w:val="en-US"/>
        </w:rPr>
      </w:pPr>
      <w:r w:rsidRPr="00A34D67">
        <w:rPr>
          <w:rFonts w:ascii="Arial" w:hAnsi="Arial" w:cs="Arial"/>
          <w:sz w:val="24"/>
          <w:szCs w:val="24"/>
          <w:lang w:val="en-US"/>
        </w:rPr>
        <w:t>Severability is still not widely supported by the vast body of present international case law,</w:t>
      </w:r>
      <w:r w:rsidRPr="00A34D67">
        <w:rPr>
          <w:rStyle w:val="FootnoteReference"/>
          <w:rFonts w:ascii="Arial" w:hAnsi="Arial" w:cs="Arial"/>
          <w:sz w:val="24"/>
          <w:szCs w:val="24"/>
          <w:lang w:val="en-US"/>
        </w:rPr>
        <w:footnoteReference w:id="143"/>
      </w:r>
      <w:r w:rsidRPr="00A34D67">
        <w:rPr>
          <w:rFonts w:ascii="Arial" w:hAnsi="Arial" w:cs="Arial"/>
          <w:sz w:val="24"/>
          <w:szCs w:val="24"/>
          <w:lang w:val="en-US"/>
        </w:rPr>
        <w:t xml:space="preserve"> or ‘at least not outside a heavily institutionalised setting’.</w:t>
      </w:r>
      <w:r w:rsidRPr="00A34D67">
        <w:rPr>
          <w:rStyle w:val="FootnoteReference"/>
          <w:rFonts w:ascii="Arial" w:hAnsi="Arial" w:cs="Arial"/>
          <w:sz w:val="24"/>
          <w:szCs w:val="24"/>
          <w:lang w:val="en-US"/>
        </w:rPr>
        <w:footnoteReference w:id="144"/>
      </w:r>
      <w:r w:rsidRPr="00A34D67">
        <w:rPr>
          <w:rFonts w:ascii="Arial" w:hAnsi="Arial" w:cs="Arial"/>
          <w:color w:val="008000"/>
          <w:sz w:val="24"/>
          <w:szCs w:val="24"/>
          <w:lang w:val="en-US"/>
        </w:rPr>
        <w:t xml:space="preserve"> </w:t>
      </w:r>
      <w:r w:rsidRPr="00A34D67">
        <w:rPr>
          <w:rFonts w:ascii="Arial" w:hAnsi="Arial" w:cs="Arial"/>
          <w:sz w:val="24"/>
          <w:szCs w:val="24"/>
          <w:lang w:val="en-US"/>
        </w:rPr>
        <w:t xml:space="preserve">Outside of this, Judge Lauterpacht’s judgment of the </w:t>
      </w:r>
      <w:r w:rsidRPr="00A34D67">
        <w:rPr>
          <w:rFonts w:ascii="Arial" w:hAnsi="Arial" w:cs="Arial"/>
          <w:i/>
          <w:sz w:val="24"/>
          <w:szCs w:val="24"/>
          <w:lang w:val="en-US"/>
        </w:rPr>
        <w:t xml:space="preserve">Norwegian Loans </w:t>
      </w:r>
      <w:r w:rsidRPr="00A34D67">
        <w:rPr>
          <w:rFonts w:ascii="Arial" w:hAnsi="Arial" w:cs="Arial"/>
          <w:sz w:val="24"/>
          <w:szCs w:val="24"/>
          <w:lang w:val="en-US"/>
        </w:rPr>
        <w:t>case,</w:t>
      </w:r>
      <w:r w:rsidRPr="00A34D67">
        <w:rPr>
          <w:rStyle w:val="FootnoteReference"/>
          <w:rFonts w:ascii="Arial" w:hAnsi="Arial" w:cs="Arial"/>
          <w:sz w:val="24"/>
          <w:szCs w:val="24"/>
          <w:lang w:val="en-US"/>
        </w:rPr>
        <w:footnoteReference w:id="145"/>
      </w:r>
      <w:r w:rsidRPr="00A34D67">
        <w:rPr>
          <w:rFonts w:ascii="Arial" w:hAnsi="Arial" w:cs="Arial"/>
          <w:sz w:val="24"/>
          <w:szCs w:val="24"/>
          <w:lang w:val="en-US"/>
        </w:rPr>
        <w:t xml:space="preserve"> in which he rejected the notion of an invalid but indispensable provision being severable from a declaration, remains perhaps the leading opinion.</w:t>
      </w:r>
      <w:r w:rsidRPr="00A34D67">
        <w:rPr>
          <w:rStyle w:val="FootnoteReference"/>
          <w:rFonts w:ascii="Arial" w:hAnsi="Arial" w:cs="Arial"/>
          <w:sz w:val="24"/>
          <w:szCs w:val="24"/>
          <w:lang w:val="en-US"/>
        </w:rPr>
        <w:footnoteReference w:id="146"/>
      </w:r>
      <w:r>
        <w:rPr>
          <w:rFonts w:ascii="Arial" w:hAnsi="Arial" w:cs="Arial"/>
          <w:sz w:val="24"/>
          <w:szCs w:val="24"/>
          <w:lang w:val="en-US"/>
        </w:rPr>
        <w:t xml:space="preserve"> </w:t>
      </w:r>
      <w:r w:rsidR="000F71A4" w:rsidRPr="00A34D67">
        <w:rPr>
          <w:rFonts w:ascii="Arial" w:hAnsi="Arial" w:cs="Arial"/>
          <w:sz w:val="24"/>
          <w:szCs w:val="24"/>
        </w:rPr>
        <w:t>Although there is still no consensus yet on the issue of the severability of i</w:t>
      </w:r>
      <w:r w:rsidR="00C7124E">
        <w:rPr>
          <w:rFonts w:ascii="Arial" w:hAnsi="Arial" w:cs="Arial"/>
          <w:sz w:val="24"/>
          <w:szCs w:val="24"/>
        </w:rPr>
        <w:t>nvalid reservations from state d</w:t>
      </w:r>
      <w:r w:rsidR="000F71A4" w:rsidRPr="00A34D67">
        <w:rPr>
          <w:rFonts w:ascii="Arial" w:hAnsi="Arial" w:cs="Arial"/>
          <w:sz w:val="24"/>
          <w:szCs w:val="24"/>
        </w:rPr>
        <w:t>eclarations, the most preferable view is that invalid reserv</w:t>
      </w:r>
      <w:r w:rsidR="00C7124E">
        <w:rPr>
          <w:rFonts w:ascii="Arial" w:hAnsi="Arial" w:cs="Arial"/>
          <w:sz w:val="24"/>
          <w:szCs w:val="24"/>
        </w:rPr>
        <w:t>ations can be severed from the d</w:t>
      </w:r>
      <w:r w:rsidR="000F71A4" w:rsidRPr="00A34D67">
        <w:rPr>
          <w:rFonts w:ascii="Arial" w:hAnsi="Arial" w:cs="Arial"/>
          <w:sz w:val="24"/>
          <w:szCs w:val="24"/>
        </w:rPr>
        <w:t>eclaration, but ‘without compromising’ its legal effect ‘as a whole’.</w:t>
      </w:r>
      <w:r w:rsidR="000F71A4" w:rsidRPr="00A34D67">
        <w:rPr>
          <w:rStyle w:val="FootnoteReference"/>
          <w:rFonts w:ascii="Arial" w:hAnsi="Arial" w:cs="Arial"/>
          <w:sz w:val="24"/>
          <w:szCs w:val="24"/>
        </w:rPr>
        <w:footnoteReference w:id="147"/>
      </w:r>
      <w:r w:rsidR="000F71A4" w:rsidRPr="00A34D67">
        <w:rPr>
          <w:rFonts w:ascii="Arial" w:hAnsi="Arial" w:cs="Arial"/>
          <w:sz w:val="24"/>
          <w:szCs w:val="24"/>
        </w:rPr>
        <w:t xml:space="preserve"> </w:t>
      </w:r>
      <w:r w:rsidR="00A02D03" w:rsidRPr="00A34D67">
        <w:rPr>
          <w:rFonts w:ascii="Arial" w:hAnsi="Arial" w:cs="Arial"/>
          <w:sz w:val="24"/>
          <w:szCs w:val="24"/>
        </w:rPr>
        <w:t xml:space="preserve">The ICJ took the view in the </w:t>
      </w:r>
      <w:r w:rsidR="00A02D03" w:rsidRPr="00A34D67">
        <w:rPr>
          <w:rFonts w:ascii="Arial" w:hAnsi="Arial" w:cs="Arial"/>
          <w:i/>
          <w:sz w:val="24"/>
          <w:szCs w:val="24"/>
        </w:rPr>
        <w:t xml:space="preserve">Fisheries Jurisdiction Case (Spain </w:t>
      </w:r>
      <w:r w:rsidR="00A02D03" w:rsidRPr="00A34D67">
        <w:rPr>
          <w:rFonts w:ascii="Arial" w:hAnsi="Arial" w:cs="Arial"/>
          <w:sz w:val="24"/>
          <w:szCs w:val="24"/>
        </w:rPr>
        <w:t xml:space="preserve">v </w:t>
      </w:r>
      <w:r w:rsidR="00A02D03" w:rsidRPr="00A34D67">
        <w:rPr>
          <w:rFonts w:ascii="Arial" w:hAnsi="Arial" w:cs="Arial"/>
          <w:i/>
          <w:sz w:val="24"/>
          <w:szCs w:val="24"/>
        </w:rPr>
        <w:t>Canada)</w:t>
      </w:r>
      <w:r w:rsidR="00A02D03" w:rsidRPr="00A34D67">
        <w:rPr>
          <w:rStyle w:val="FootnoteReference"/>
          <w:rFonts w:ascii="Arial" w:hAnsi="Arial" w:cs="Arial"/>
          <w:sz w:val="24"/>
          <w:szCs w:val="24"/>
        </w:rPr>
        <w:footnoteReference w:id="148"/>
      </w:r>
      <w:r w:rsidR="00A02D03" w:rsidRPr="00A34D67">
        <w:rPr>
          <w:rFonts w:ascii="Arial" w:hAnsi="Arial" w:cs="Arial"/>
          <w:sz w:val="24"/>
          <w:szCs w:val="24"/>
        </w:rPr>
        <w:t xml:space="preserve"> that a Canadian reservation could not be considered ‘automatic’ </w:t>
      </w:r>
      <w:r w:rsidR="00F9045B" w:rsidRPr="00A34D67">
        <w:rPr>
          <w:rFonts w:ascii="Arial" w:hAnsi="Arial" w:cs="Arial"/>
          <w:sz w:val="24"/>
          <w:szCs w:val="24"/>
        </w:rPr>
        <w:t xml:space="preserve">in terms of denying power to the ICJ to establish if it possessed jurisdiction, which meant that no concerns surfaced. </w:t>
      </w:r>
    </w:p>
    <w:p w14:paraId="2C3132E0" w14:textId="3DF97627" w:rsidR="001E1CC6" w:rsidRDefault="00F9045B" w:rsidP="00401E4C">
      <w:pPr>
        <w:spacing w:line="480" w:lineRule="auto"/>
        <w:ind w:right="43"/>
        <w:rPr>
          <w:rFonts w:ascii="Arial" w:hAnsi="Arial" w:cs="Arial"/>
          <w:sz w:val="24"/>
          <w:szCs w:val="24"/>
        </w:rPr>
      </w:pPr>
      <w:r w:rsidRPr="00A34D67">
        <w:rPr>
          <w:rFonts w:ascii="Arial" w:hAnsi="Arial" w:cs="Arial"/>
          <w:sz w:val="24"/>
          <w:szCs w:val="24"/>
        </w:rPr>
        <w:t xml:space="preserve">However, this does not mean that the reservation intended to limit the jurisdictional power of the ICJ </w:t>
      </w:r>
      <w:r w:rsidR="00331662" w:rsidRPr="00A34D67">
        <w:rPr>
          <w:rFonts w:ascii="Arial" w:hAnsi="Arial" w:cs="Arial"/>
          <w:sz w:val="24"/>
          <w:szCs w:val="24"/>
        </w:rPr>
        <w:t xml:space="preserve">could be considered unlawful, merely inconclusive. It is important to remember here that there was no concerted effort from the USA to depend on its automatic reservation </w:t>
      </w:r>
      <w:r w:rsidR="00B56615" w:rsidRPr="00A34D67">
        <w:rPr>
          <w:rFonts w:ascii="Arial" w:hAnsi="Arial" w:cs="Arial"/>
          <w:sz w:val="24"/>
          <w:szCs w:val="24"/>
        </w:rPr>
        <w:t xml:space="preserve">in its opposition to </w:t>
      </w:r>
      <w:r w:rsidR="00757F7E" w:rsidRPr="00A34D67">
        <w:rPr>
          <w:rFonts w:ascii="Arial" w:hAnsi="Arial" w:cs="Arial"/>
          <w:sz w:val="24"/>
          <w:szCs w:val="24"/>
        </w:rPr>
        <w:t xml:space="preserve">the ICJ in </w:t>
      </w:r>
      <w:r w:rsidR="00757F7E" w:rsidRPr="00A34D67">
        <w:rPr>
          <w:rFonts w:ascii="Arial" w:hAnsi="Arial" w:cs="Arial"/>
          <w:i/>
          <w:sz w:val="24"/>
          <w:szCs w:val="24"/>
        </w:rPr>
        <w:t xml:space="preserve">Nicaragua </w:t>
      </w:r>
      <w:r w:rsidR="00757F7E" w:rsidRPr="00A34D67">
        <w:rPr>
          <w:rFonts w:ascii="Arial" w:hAnsi="Arial" w:cs="Arial"/>
          <w:sz w:val="24"/>
          <w:szCs w:val="24"/>
        </w:rPr>
        <w:t xml:space="preserve">v </w:t>
      </w:r>
      <w:r w:rsidR="00757F7E" w:rsidRPr="00A34D67">
        <w:rPr>
          <w:rFonts w:ascii="Arial" w:hAnsi="Arial" w:cs="Arial"/>
          <w:i/>
          <w:sz w:val="24"/>
          <w:szCs w:val="24"/>
        </w:rPr>
        <w:t>USA</w:t>
      </w:r>
      <w:r w:rsidR="00757F7E" w:rsidRPr="00A34D67">
        <w:rPr>
          <w:rFonts w:ascii="Arial" w:hAnsi="Arial" w:cs="Arial"/>
          <w:sz w:val="24"/>
          <w:szCs w:val="24"/>
        </w:rPr>
        <w:t>.</w:t>
      </w:r>
      <w:r w:rsidR="00211319" w:rsidRPr="00A34D67">
        <w:rPr>
          <w:rStyle w:val="FootnoteReference"/>
          <w:rFonts w:ascii="Arial" w:hAnsi="Arial" w:cs="Arial"/>
          <w:sz w:val="24"/>
          <w:szCs w:val="24"/>
        </w:rPr>
        <w:footnoteReference w:id="149"/>
      </w:r>
      <w:r w:rsidR="00214D26" w:rsidRPr="00A34D67">
        <w:rPr>
          <w:rFonts w:ascii="Arial" w:hAnsi="Arial" w:cs="Arial"/>
          <w:sz w:val="24"/>
          <w:szCs w:val="24"/>
        </w:rPr>
        <w:t xml:space="preserve"> If the disagreement was not based within the domestic jurisdiction of the USA</w:t>
      </w:r>
      <w:r w:rsidR="00691257" w:rsidRPr="00A34D67">
        <w:rPr>
          <w:rFonts w:ascii="Arial" w:hAnsi="Arial" w:cs="Arial"/>
          <w:sz w:val="24"/>
          <w:szCs w:val="24"/>
        </w:rPr>
        <w:t xml:space="preserve"> then it could be argued that </w:t>
      </w:r>
      <w:r w:rsidR="0074441C" w:rsidRPr="00A34D67">
        <w:rPr>
          <w:rFonts w:ascii="Arial" w:hAnsi="Arial" w:cs="Arial"/>
          <w:sz w:val="24"/>
          <w:szCs w:val="24"/>
        </w:rPr>
        <w:t>America</w:t>
      </w:r>
      <w:r w:rsidR="00691257" w:rsidRPr="00A34D67">
        <w:rPr>
          <w:rFonts w:ascii="Arial" w:hAnsi="Arial" w:cs="Arial"/>
          <w:sz w:val="24"/>
          <w:szCs w:val="24"/>
        </w:rPr>
        <w:t xml:space="preserve"> </w:t>
      </w:r>
      <w:r w:rsidR="0074441C" w:rsidRPr="00A34D67">
        <w:rPr>
          <w:rFonts w:ascii="Arial" w:hAnsi="Arial" w:cs="Arial"/>
          <w:sz w:val="24"/>
          <w:szCs w:val="24"/>
        </w:rPr>
        <w:t xml:space="preserve">had never intended to plead </w:t>
      </w:r>
      <w:r w:rsidR="00691257" w:rsidRPr="00A34D67">
        <w:rPr>
          <w:rFonts w:ascii="Arial" w:hAnsi="Arial" w:cs="Arial"/>
          <w:sz w:val="24"/>
          <w:szCs w:val="24"/>
        </w:rPr>
        <w:t xml:space="preserve">the reservation. </w:t>
      </w:r>
      <w:r w:rsidR="00B8245F" w:rsidRPr="00A34D67">
        <w:rPr>
          <w:rFonts w:ascii="Arial" w:hAnsi="Arial" w:cs="Arial"/>
          <w:sz w:val="24"/>
          <w:szCs w:val="24"/>
        </w:rPr>
        <w:t xml:space="preserve">One could also argue that the USA </w:t>
      </w:r>
      <w:r w:rsidR="00691257" w:rsidRPr="00A34D67">
        <w:rPr>
          <w:rFonts w:ascii="Arial" w:hAnsi="Arial" w:cs="Arial"/>
          <w:sz w:val="24"/>
          <w:szCs w:val="24"/>
        </w:rPr>
        <w:t xml:space="preserve">did not </w:t>
      </w:r>
      <w:r w:rsidR="000F3EEF" w:rsidRPr="00A34D67">
        <w:rPr>
          <w:rFonts w:ascii="Arial" w:hAnsi="Arial" w:cs="Arial"/>
          <w:sz w:val="24"/>
          <w:szCs w:val="24"/>
        </w:rPr>
        <w:t>appeal</w:t>
      </w:r>
      <w:r w:rsidR="00691257" w:rsidRPr="00A34D67">
        <w:rPr>
          <w:rFonts w:ascii="Arial" w:hAnsi="Arial" w:cs="Arial"/>
          <w:sz w:val="24"/>
          <w:szCs w:val="24"/>
        </w:rPr>
        <w:t xml:space="preserve"> the reservation in such an </w:t>
      </w:r>
      <w:r w:rsidR="000F3EEF" w:rsidRPr="00A34D67">
        <w:rPr>
          <w:rFonts w:ascii="Arial" w:hAnsi="Arial" w:cs="Arial"/>
          <w:sz w:val="24"/>
          <w:szCs w:val="24"/>
        </w:rPr>
        <w:t>unworthy</w:t>
      </w:r>
      <w:r w:rsidR="00691257" w:rsidRPr="00A34D67">
        <w:rPr>
          <w:rFonts w:ascii="Arial" w:hAnsi="Arial" w:cs="Arial"/>
          <w:sz w:val="24"/>
          <w:szCs w:val="24"/>
        </w:rPr>
        <w:t xml:space="preserve"> case </w:t>
      </w:r>
      <w:r w:rsidR="000F3EEF" w:rsidRPr="00A34D67">
        <w:rPr>
          <w:rFonts w:ascii="Arial" w:hAnsi="Arial" w:cs="Arial"/>
          <w:sz w:val="24"/>
          <w:szCs w:val="24"/>
        </w:rPr>
        <w:t xml:space="preserve">due to concerns that </w:t>
      </w:r>
      <w:r w:rsidR="00691257" w:rsidRPr="00A34D67">
        <w:rPr>
          <w:rFonts w:ascii="Arial" w:hAnsi="Arial" w:cs="Arial"/>
          <w:sz w:val="24"/>
          <w:szCs w:val="24"/>
        </w:rPr>
        <w:t>the Court</w:t>
      </w:r>
      <w:r w:rsidR="00691257" w:rsidRPr="00A34D67">
        <w:rPr>
          <w:rFonts w:ascii="Arial" w:hAnsi="Arial" w:cs="Arial"/>
          <w:color w:val="FF0000"/>
          <w:sz w:val="24"/>
          <w:szCs w:val="24"/>
        </w:rPr>
        <w:t xml:space="preserve"> </w:t>
      </w:r>
      <w:r w:rsidR="00691257" w:rsidRPr="00A34D67">
        <w:rPr>
          <w:rFonts w:ascii="Arial" w:hAnsi="Arial" w:cs="Arial"/>
          <w:sz w:val="24"/>
          <w:szCs w:val="24"/>
        </w:rPr>
        <w:t xml:space="preserve">would indeed </w:t>
      </w:r>
      <w:r w:rsidR="008B7422" w:rsidRPr="00A34D67">
        <w:rPr>
          <w:rFonts w:ascii="Arial" w:hAnsi="Arial" w:cs="Arial"/>
          <w:sz w:val="24"/>
          <w:szCs w:val="24"/>
        </w:rPr>
        <w:t>pronounce</w:t>
      </w:r>
      <w:r w:rsidR="00691257" w:rsidRPr="00A34D67">
        <w:rPr>
          <w:rFonts w:ascii="Arial" w:hAnsi="Arial" w:cs="Arial"/>
          <w:sz w:val="24"/>
          <w:szCs w:val="24"/>
        </w:rPr>
        <w:t xml:space="preserve"> </w:t>
      </w:r>
      <w:r w:rsidR="008B7422" w:rsidRPr="00A34D67">
        <w:rPr>
          <w:rFonts w:ascii="Arial" w:hAnsi="Arial" w:cs="Arial"/>
          <w:sz w:val="24"/>
          <w:szCs w:val="24"/>
        </w:rPr>
        <w:t>these</w:t>
      </w:r>
      <w:r w:rsidR="00691257" w:rsidRPr="00A34D67">
        <w:rPr>
          <w:rFonts w:ascii="Arial" w:hAnsi="Arial" w:cs="Arial"/>
          <w:sz w:val="24"/>
          <w:szCs w:val="24"/>
        </w:rPr>
        <w:t xml:space="preserve"> reservations</w:t>
      </w:r>
      <w:r w:rsidR="008B7422" w:rsidRPr="00A34D67">
        <w:rPr>
          <w:rFonts w:ascii="Arial" w:hAnsi="Arial" w:cs="Arial"/>
          <w:sz w:val="24"/>
          <w:szCs w:val="24"/>
        </w:rPr>
        <w:t xml:space="preserve"> to be, in principle, illegal. The effect of reservations would resultantly be diminished in future cases in which</w:t>
      </w:r>
      <w:r w:rsidR="00691257" w:rsidRPr="00A34D67">
        <w:rPr>
          <w:rFonts w:ascii="Arial" w:hAnsi="Arial" w:cs="Arial"/>
          <w:color w:val="FF0000"/>
          <w:sz w:val="24"/>
          <w:szCs w:val="24"/>
        </w:rPr>
        <w:t xml:space="preserve"> </w:t>
      </w:r>
      <w:r w:rsidR="00691257" w:rsidRPr="00A34D67">
        <w:rPr>
          <w:rFonts w:ascii="Arial" w:hAnsi="Arial" w:cs="Arial"/>
          <w:sz w:val="24"/>
          <w:szCs w:val="24"/>
        </w:rPr>
        <w:t xml:space="preserve">the </w:t>
      </w:r>
      <w:r w:rsidR="008B7422" w:rsidRPr="00A34D67">
        <w:rPr>
          <w:rFonts w:ascii="Arial" w:hAnsi="Arial" w:cs="Arial"/>
          <w:sz w:val="24"/>
          <w:szCs w:val="24"/>
        </w:rPr>
        <w:t>elements</w:t>
      </w:r>
      <w:r w:rsidR="00691257" w:rsidRPr="00A34D67">
        <w:rPr>
          <w:rFonts w:ascii="Arial" w:hAnsi="Arial" w:cs="Arial"/>
          <w:sz w:val="24"/>
          <w:szCs w:val="24"/>
        </w:rPr>
        <w:t xml:space="preserve"> of the dispute w</w:t>
      </w:r>
      <w:r w:rsidR="008B7422" w:rsidRPr="00A34D67">
        <w:rPr>
          <w:rFonts w:ascii="Arial" w:hAnsi="Arial" w:cs="Arial"/>
          <w:sz w:val="24"/>
          <w:szCs w:val="24"/>
        </w:rPr>
        <w:t xml:space="preserve">ere perhaps </w:t>
      </w:r>
      <w:r w:rsidR="00691257" w:rsidRPr="00A34D67">
        <w:rPr>
          <w:rFonts w:ascii="Arial" w:hAnsi="Arial" w:cs="Arial"/>
          <w:sz w:val="24"/>
          <w:szCs w:val="24"/>
        </w:rPr>
        <w:t>a domestic jurisdiction</w:t>
      </w:r>
      <w:r w:rsidR="008B7422" w:rsidRPr="00A34D67">
        <w:rPr>
          <w:rFonts w:ascii="Arial" w:hAnsi="Arial" w:cs="Arial"/>
          <w:sz w:val="24"/>
          <w:szCs w:val="24"/>
        </w:rPr>
        <w:t xml:space="preserve"> issue</w:t>
      </w:r>
      <w:r w:rsidR="00691257" w:rsidRPr="00A34D67">
        <w:rPr>
          <w:rFonts w:ascii="Arial" w:hAnsi="Arial" w:cs="Arial"/>
          <w:sz w:val="24"/>
          <w:szCs w:val="24"/>
        </w:rPr>
        <w:t>.</w:t>
      </w:r>
      <w:r w:rsidR="00214D26" w:rsidRPr="00A34D67">
        <w:rPr>
          <w:rFonts w:ascii="Arial" w:hAnsi="Arial" w:cs="Arial"/>
          <w:sz w:val="24"/>
          <w:szCs w:val="24"/>
        </w:rPr>
        <w:t xml:space="preserve"> </w:t>
      </w:r>
    </w:p>
    <w:p w14:paraId="3BB3E42B" w14:textId="73912F19" w:rsidR="00C50195" w:rsidRPr="00C50195" w:rsidRDefault="001D0F6B" w:rsidP="00401E4C">
      <w:pPr>
        <w:spacing w:line="480" w:lineRule="auto"/>
        <w:ind w:right="752" w:firstLine="709"/>
        <w:rPr>
          <w:rFonts w:ascii="Arial" w:hAnsi="Arial" w:cs="Arial"/>
          <w:b/>
          <w:sz w:val="24"/>
          <w:szCs w:val="24"/>
          <w:lang w:val="en-US"/>
        </w:rPr>
      </w:pPr>
      <w:r>
        <w:rPr>
          <w:rFonts w:ascii="Arial" w:hAnsi="Arial" w:cs="Arial"/>
          <w:b/>
          <w:sz w:val="24"/>
          <w:szCs w:val="24"/>
          <w:lang w:val="en-US"/>
        </w:rPr>
        <w:t xml:space="preserve">3.2.1    </w:t>
      </w:r>
      <w:r w:rsidR="00C50195" w:rsidRPr="00C50195">
        <w:rPr>
          <w:rFonts w:ascii="Arial" w:hAnsi="Arial" w:cs="Arial"/>
          <w:b/>
          <w:sz w:val="24"/>
          <w:szCs w:val="24"/>
          <w:lang w:val="en-US"/>
        </w:rPr>
        <w:t xml:space="preserve">Severability in the European Court of Human Rights </w:t>
      </w:r>
    </w:p>
    <w:p w14:paraId="255E5330" w14:textId="77777777" w:rsidR="00C50195" w:rsidRPr="00A34D67" w:rsidRDefault="00C50195" w:rsidP="00401E4C">
      <w:pPr>
        <w:spacing w:line="480" w:lineRule="auto"/>
        <w:rPr>
          <w:rFonts w:ascii="Arial" w:hAnsi="Arial" w:cs="Arial"/>
          <w:color w:val="FF0000"/>
          <w:sz w:val="24"/>
          <w:szCs w:val="24"/>
          <w:lang w:val="en-US"/>
        </w:rPr>
      </w:pPr>
      <w:r w:rsidRPr="00A34D67">
        <w:rPr>
          <w:rFonts w:ascii="Arial" w:hAnsi="Arial" w:cs="Arial"/>
          <w:sz w:val="24"/>
          <w:szCs w:val="24"/>
        </w:rPr>
        <w:t xml:space="preserve">Since the </w:t>
      </w:r>
      <w:r w:rsidRPr="00A34D67">
        <w:rPr>
          <w:rFonts w:ascii="Arial" w:hAnsi="Arial" w:cs="Arial"/>
          <w:i/>
          <w:sz w:val="24"/>
          <w:szCs w:val="24"/>
        </w:rPr>
        <w:t>Belilos</w:t>
      </w:r>
      <w:r w:rsidRPr="00A34D67">
        <w:rPr>
          <w:rStyle w:val="FootnoteReference"/>
          <w:rFonts w:ascii="Arial" w:hAnsi="Arial" w:cs="Arial"/>
          <w:sz w:val="24"/>
          <w:szCs w:val="24"/>
        </w:rPr>
        <w:footnoteReference w:id="150"/>
      </w:r>
      <w:r w:rsidRPr="00A34D67">
        <w:rPr>
          <w:rFonts w:ascii="Arial" w:hAnsi="Arial" w:cs="Arial"/>
          <w:i/>
          <w:sz w:val="24"/>
          <w:szCs w:val="24"/>
        </w:rPr>
        <w:t xml:space="preserve"> </w:t>
      </w:r>
      <w:r w:rsidRPr="00A34D67">
        <w:rPr>
          <w:rFonts w:ascii="Arial" w:hAnsi="Arial" w:cs="Arial"/>
          <w:sz w:val="24"/>
          <w:szCs w:val="24"/>
        </w:rPr>
        <w:t xml:space="preserve">and </w:t>
      </w:r>
      <w:r w:rsidRPr="00A34D67">
        <w:rPr>
          <w:rFonts w:ascii="Arial" w:hAnsi="Arial" w:cs="Arial"/>
          <w:i/>
          <w:sz w:val="24"/>
          <w:szCs w:val="24"/>
        </w:rPr>
        <w:t>Weber</w:t>
      </w:r>
      <w:r w:rsidRPr="00A34D67">
        <w:rPr>
          <w:rStyle w:val="FootnoteReference"/>
          <w:rFonts w:ascii="Arial" w:hAnsi="Arial" w:cs="Arial"/>
          <w:i/>
          <w:sz w:val="24"/>
          <w:szCs w:val="24"/>
        </w:rPr>
        <w:footnoteReference w:id="151"/>
      </w:r>
      <w:r w:rsidRPr="00A34D67">
        <w:rPr>
          <w:rFonts w:ascii="Arial" w:hAnsi="Arial" w:cs="Arial"/>
          <w:i/>
          <w:sz w:val="24"/>
          <w:szCs w:val="24"/>
        </w:rPr>
        <w:t xml:space="preserve"> </w:t>
      </w:r>
      <w:r w:rsidRPr="00A34D67">
        <w:rPr>
          <w:rFonts w:ascii="Arial" w:hAnsi="Arial" w:cs="Arial"/>
          <w:sz w:val="24"/>
          <w:szCs w:val="24"/>
        </w:rPr>
        <w:t>cases, calls have been made for the state that makes invalid reservations to treaties to be bound by the obligations of the agreement beyond the limits foreseen in those reservations. But does this also mean that such impermissible reservations can be considered severable from the treaty in question?</w:t>
      </w:r>
      <w:r w:rsidRPr="00A34D67">
        <w:rPr>
          <w:rStyle w:val="FootnoteReference"/>
          <w:rFonts w:ascii="Arial" w:hAnsi="Arial" w:cs="Arial"/>
          <w:sz w:val="24"/>
          <w:szCs w:val="24"/>
        </w:rPr>
        <w:footnoteReference w:id="152"/>
      </w:r>
      <w:r w:rsidRPr="00A34D67">
        <w:rPr>
          <w:rFonts w:ascii="Arial" w:hAnsi="Arial" w:cs="Arial"/>
          <w:sz w:val="24"/>
          <w:szCs w:val="24"/>
        </w:rPr>
        <w:t xml:space="preserve"> </w:t>
      </w:r>
    </w:p>
    <w:p w14:paraId="27516D59" w14:textId="0689E66C" w:rsidR="00E44A75" w:rsidRDefault="00C50195" w:rsidP="00401E4C">
      <w:pPr>
        <w:spacing w:line="480" w:lineRule="auto"/>
        <w:rPr>
          <w:rFonts w:ascii="Arial" w:hAnsi="Arial" w:cs="Arial"/>
          <w:sz w:val="24"/>
          <w:szCs w:val="24"/>
        </w:rPr>
      </w:pPr>
      <w:r w:rsidRPr="00A34D67">
        <w:rPr>
          <w:rFonts w:ascii="Arial" w:hAnsi="Arial" w:cs="Arial"/>
          <w:sz w:val="24"/>
          <w:szCs w:val="24"/>
        </w:rPr>
        <w:t xml:space="preserve">In the landmark </w:t>
      </w:r>
      <w:r w:rsidRPr="00A34D67">
        <w:rPr>
          <w:rFonts w:ascii="Arial" w:hAnsi="Arial" w:cs="Arial"/>
          <w:i/>
          <w:sz w:val="24"/>
          <w:szCs w:val="24"/>
        </w:rPr>
        <w:t xml:space="preserve">Belilos </w:t>
      </w:r>
      <w:r w:rsidRPr="00A34D67">
        <w:rPr>
          <w:rFonts w:ascii="Arial" w:hAnsi="Arial" w:cs="Arial"/>
          <w:sz w:val="24"/>
          <w:szCs w:val="24"/>
        </w:rPr>
        <w:t xml:space="preserve">and </w:t>
      </w:r>
      <w:r w:rsidRPr="00A34D67">
        <w:rPr>
          <w:rFonts w:ascii="Arial" w:hAnsi="Arial" w:cs="Arial"/>
          <w:i/>
          <w:sz w:val="24"/>
          <w:szCs w:val="24"/>
        </w:rPr>
        <w:t>Loizidou</w:t>
      </w:r>
      <w:r w:rsidRPr="00A34D67">
        <w:rPr>
          <w:rStyle w:val="FootnoteReference"/>
          <w:rFonts w:ascii="Arial" w:hAnsi="Arial" w:cs="Arial"/>
          <w:sz w:val="24"/>
          <w:szCs w:val="24"/>
        </w:rPr>
        <w:footnoteReference w:id="153"/>
      </w:r>
      <w:r w:rsidRPr="00A34D67">
        <w:rPr>
          <w:rFonts w:ascii="Arial" w:hAnsi="Arial" w:cs="Arial"/>
          <w:sz w:val="24"/>
          <w:szCs w:val="24"/>
        </w:rPr>
        <w:t xml:space="preserve"> cases, the Grand Chamber of the European Court of Human Rights concluded that unacceptable reservations should be severable,</w:t>
      </w:r>
      <w:r w:rsidRPr="00A34D67">
        <w:rPr>
          <w:rStyle w:val="FootnoteReference"/>
          <w:rFonts w:ascii="Arial" w:hAnsi="Arial" w:cs="Arial"/>
          <w:sz w:val="24"/>
          <w:szCs w:val="24"/>
        </w:rPr>
        <w:footnoteReference w:id="154"/>
      </w:r>
      <w:r w:rsidRPr="00A34D67">
        <w:rPr>
          <w:rFonts w:ascii="Arial" w:hAnsi="Arial" w:cs="Arial"/>
          <w:sz w:val="24"/>
          <w:szCs w:val="24"/>
        </w:rPr>
        <w:t xml:space="preserve"> thereby challenging the established position of international law that they </w:t>
      </w:r>
      <w:r w:rsidR="007B1D5D" w:rsidRPr="007B1D5D">
        <w:rPr>
          <w:rFonts w:ascii="Arial" w:hAnsi="Arial" w:cs="Arial"/>
          <w:sz w:val="24"/>
          <w:szCs w:val="24"/>
        </w:rPr>
        <w:t>were</w:t>
      </w:r>
      <w:r w:rsidRPr="00A34D67">
        <w:rPr>
          <w:rFonts w:ascii="Arial" w:hAnsi="Arial" w:cs="Arial"/>
          <w:sz w:val="24"/>
          <w:szCs w:val="24"/>
        </w:rPr>
        <w:t xml:space="preserve"> not.</w:t>
      </w:r>
      <w:r w:rsidRPr="00A34D67">
        <w:rPr>
          <w:rStyle w:val="FootnoteReference"/>
          <w:rFonts w:ascii="Arial" w:hAnsi="Arial" w:cs="Arial"/>
          <w:sz w:val="24"/>
          <w:szCs w:val="24"/>
        </w:rPr>
        <w:footnoteReference w:id="155"/>
      </w:r>
      <w:r w:rsidRPr="00A34D67">
        <w:rPr>
          <w:rFonts w:ascii="Arial" w:hAnsi="Arial" w:cs="Arial"/>
          <w:sz w:val="24"/>
          <w:szCs w:val="24"/>
        </w:rPr>
        <w:t xml:space="preserve"> However, it must be noted that the actual extent of the position provided by the International Court in </w:t>
      </w:r>
      <w:r w:rsidRPr="00A34D67">
        <w:rPr>
          <w:rFonts w:ascii="Arial" w:hAnsi="Arial" w:cs="Arial"/>
          <w:i/>
          <w:sz w:val="24"/>
          <w:szCs w:val="24"/>
        </w:rPr>
        <w:t xml:space="preserve">Reservations to the Genocide Convention </w:t>
      </w:r>
      <w:r w:rsidRPr="00A34D67">
        <w:rPr>
          <w:rFonts w:ascii="Arial" w:hAnsi="Arial" w:cs="Arial"/>
          <w:sz w:val="24"/>
          <w:szCs w:val="24"/>
        </w:rPr>
        <w:t>remains contentious</w:t>
      </w:r>
      <w:r w:rsidR="004A4478">
        <w:rPr>
          <w:rFonts w:ascii="Arial" w:hAnsi="Arial" w:cs="Arial"/>
          <w:sz w:val="24"/>
          <w:szCs w:val="24"/>
        </w:rPr>
        <w:t>.</w:t>
      </w:r>
      <w:r w:rsidRPr="00A34D67">
        <w:rPr>
          <w:rStyle w:val="FootnoteReference"/>
          <w:rFonts w:ascii="Arial" w:hAnsi="Arial" w:cs="Arial"/>
          <w:sz w:val="24"/>
          <w:szCs w:val="24"/>
        </w:rPr>
        <w:footnoteReference w:id="156"/>
      </w:r>
      <w:r w:rsidRPr="00A34D67">
        <w:rPr>
          <w:rFonts w:ascii="Arial" w:hAnsi="Arial" w:cs="Arial"/>
          <w:sz w:val="24"/>
          <w:szCs w:val="24"/>
        </w:rPr>
        <w:t xml:space="preserve"> </w:t>
      </w:r>
      <w:r w:rsidR="004A4478">
        <w:rPr>
          <w:rFonts w:ascii="Arial" w:hAnsi="Arial" w:cs="Arial"/>
          <w:sz w:val="24"/>
          <w:szCs w:val="24"/>
        </w:rPr>
        <w:t>This</w:t>
      </w:r>
      <w:r w:rsidRPr="00A34D67">
        <w:rPr>
          <w:rFonts w:ascii="Arial" w:hAnsi="Arial" w:cs="Arial"/>
          <w:sz w:val="24"/>
          <w:szCs w:val="24"/>
        </w:rPr>
        <w:t xml:space="preserve"> therefore leaves enough ambiguity for there to potentially be ‘no bifurcation between human rights law and the orthodox position’.</w:t>
      </w:r>
      <w:r w:rsidRPr="00A34D67">
        <w:rPr>
          <w:rStyle w:val="FootnoteReference"/>
          <w:rFonts w:ascii="Arial" w:hAnsi="Arial" w:cs="Arial"/>
          <w:sz w:val="24"/>
          <w:szCs w:val="24"/>
        </w:rPr>
        <w:footnoteReference w:id="157"/>
      </w:r>
      <w:r w:rsidRPr="00A34D67">
        <w:rPr>
          <w:rFonts w:ascii="Arial" w:hAnsi="Arial" w:cs="Arial"/>
          <w:sz w:val="24"/>
          <w:szCs w:val="24"/>
        </w:rPr>
        <w:t xml:space="preserve"> </w:t>
      </w:r>
    </w:p>
    <w:p w14:paraId="2B16A5AA" w14:textId="1EAA7B18" w:rsidR="00F04F1F" w:rsidRPr="00E44A75" w:rsidRDefault="007B1D5D" w:rsidP="00401E4C">
      <w:pPr>
        <w:spacing w:line="480" w:lineRule="auto"/>
        <w:rPr>
          <w:rFonts w:ascii="Arial" w:hAnsi="Arial" w:cs="Arial"/>
          <w:sz w:val="24"/>
          <w:szCs w:val="24"/>
        </w:rPr>
      </w:pPr>
      <w:r>
        <w:rPr>
          <w:rFonts w:ascii="Arial" w:hAnsi="Arial" w:cs="Arial"/>
          <w:sz w:val="24"/>
          <w:szCs w:val="24"/>
        </w:rPr>
        <w:t xml:space="preserve">In neither </w:t>
      </w:r>
      <w:r>
        <w:rPr>
          <w:rFonts w:ascii="Arial" w:hAnsi="Arial" w:cs="Arial"/>
          <w:i/>
          <w:sz w:val="24"/>
          <w:szCs w:val="24"/>
        </w:rPr>
        <w:t xml:space="preserve">Belilos </w:t>
      </w:r>
      <w:r>
        <w:rPr>
          <w:rFonts w:ascii="Arial" w:hAnsi="Arial" w:cs="Arial"/>
          <w:sz w:val="24"/>
          <w:szCs w:val="24"/>
        </w:rPr>
        <w:t xml:space="preserve">nor </w:t>
      </w:r>
      <w:r>
        <w:rPr>
          <w:rFonts w:ascii="Arial" w:hAnsi="Arial" w:cs="Arial"/>
          <w:i/>
          <w:sz w:val="24"/>
          <w:szCs w:val="24"/>
        </w:rPr>
        <w:t xml:space="preserve">Loizidou </w:t>
      </w:r>
      <w:r>
        <w:rPr>
          <w:rFonts w:ascii="Arial" w:hAnsi="Arial" w:cs="Arial"/>
          <w:sz w:val="24"/>
          <w:szCs w:val="24"/>
        </w:rPr>
        <w:t>did the ECtHR provide</w:t>
      </w:r>
      <w:r w:rsidR="00E44A75">
        <w:rPr>
          <w:rFonts w:ascii="Arial" w:hAnsi="Arial" w:cs="Arial"/>
          <w:sz w:val="24"/>
          <w:szCs w:val="24"/>
        </w:rPr>
        <w:t xml:space="preserve"> the reason</w:t>
      </w:r>
      <w:r>
        <w:rPr>
          <w:rFonts w:ascii="Arial" w:hAnsi="Arial" w:cs="Arial"/>
          <w:sz w:val="24"/>
          <w:szCs w:val="24"/>
        </w:rPr>
        <w:t xml:space="preserve"> </w:t>
      </w:r>
      <w:r w:rsidRPr="00E44A75">
        <w:rPr>
          <w:rFonts w:ascii="Arial" w:hAnsi="Arial" w:cs="Arial"/>
          <w:sz w:val="24"/>
          <w:szCs w:val="24"/>
          <w:lang w:val="en-US"/>
        </w:rPr>
        <w:t xml:space="preserve">why it </w:t>
      </w:r>
      <w:r w:rsidR="00E44A75" w:rsidRPr="00E44A75">
        <w:rPr>
          <w:rFonts w:ascii="Arial" w:hAnsi="Arial" w:cs="Arial"/>
          <w:sz w:val="24"/>
          <w:szCs w:val="24"/>
          <w:lang w:val="en-US"/>
        </w:rPr>
        <w:t>had decided</w:t>
      </w:r>
      <w:r w:rsidR="00A6389E">
        <w:rPr>
          <w:rFonts w:ascii="Arial" w:hAnsi="Arial" w:cs="Arial"/>
          <w:sz w:val="24"/>
          <w:szCs w:val="24"/>
          <w:lang w:val="en-US"/>
        </w:rPr>
        <w:t xml:space="preserve"> that severability of the</w:t>
      </w:r>
      <w:r w:rsidRPr="009824EB">
        <w:rPr>
          <w:rFonts w:ascii="Arial" w:hAnsi="Arial" w:cs="Arial"/>
          <w:color w:val="FF0000"/>
          <w:sz w:val="24"/>
          <w:szCs w:val="24"/>
          <w:lang w:val="en-US"/>
        </w:rPr>
        <w:t xml:space="preserve"> </w:t>
      </w:r>
      <w:r w:rsidR="00E44A75" w:rsidRPr="00A6389E">
        <w:rPr>
          <w:rFonts w:ascii="Arial" w:hAnsi="Arial" w:cs="Arial"/>
          <w:sz w:val="24"/>
          <w:szCs w:val="24"/>
          <w:lang w:val="en-US"/>
        </w:rPr>
        <w:t>invalid reservations from the Convention for the Protection of Human Rights and Fundamental Freedoms</w:t>
      </w:r>
      <w:r w:rsidR="00A6389E" w:rsidRPr="00A6389E">
        <w:rPr>
          <w:rFonts w:ascii="Arial" w:hAnsi="Arial" w:cs="Arial"/>
          <w:sz w:val="24"/>
          <w:szCs w:val="24"/>
          <w:lang w:val="en-US"/>
        </w:rPr>
        <w:t xml:space="preserve"> was the appropriate solution</w:t>
      </w:r>
      <w:r w:rsidR="00E44A75" w:rsidRPr="00A6389E">
        <w:rPr>
          <w:rFonts w:ascii="Arial" w:hAnsi="Arial" w:cs="Arial"/>
          <w:sz w:val="24"/>
          <w:szCs w:val="24"/>
          <w:lang w:val="en-US"/>
        </w:rPr>
        <w:t>,</w:t>
      </w:r>
      <w:r w:rsidR="00D6709E">
        <w:rPr>
          <w:rStyle w:val="FootnoteReference"/>
          <w:rFonts w:ascii="Arial" w:hAnsi="Arial" w:cs="Arial"/>
          <w:sz w:val="24"/>
          <w:szCs w:val="24"/>
          <w:lang w:val="en-US"/>
        </w:rPr>
        <w:footnoteReference w:id="158"/>
      </w:r>
      <w:r w:rsidR="00E44A75">
        <w:rPr>
          <w:rFonts w:ascii="Arial" w:hAnsi="Arial" w:cs="Arial"/>
          <w:color w:val="FF0000"/>
          <w:sz w:val="24"/>
          <w:szCs w:val="24"/>
          <w:lang w:val="en-US"/>
        </w:rPr>
        <w:t xml:space="preserve"> </w:t>
      </w:r>
      <w:r w:rsidR="00E44A75" w:rsidRPr="00A6389E">
        <w:rPr>
          <w:rFonts w:ascii="Arial" w:hAnsi="Arial" w:cs="Arial"/>
          <w:sz w:val="24"/>
          <w:szCs w:val="24"/>
          <w:lang w:val="en-US"/>
        </w:rPr>
        <w:t>and has since provided ‘only limited insight into its rationale for so doing’.</w:t>
      </w:r>
      <w:r w:rsidR="00D6709E">
        <w:rPr>
          <w:rStyle w:val="FootnoteReference"/>
          <w:rFonts w:ascii="Arial" w:hAnsi="Arial" w:cs="Arial"/>
          <w:sz w:val="24"/>
          <w:szCs w:val="24"/>
          <w:lang w:val="en-US"/>
        </w:rPr>
        <w:footnoteReference w:id="159"/>
      </w:r>
      <w:r w:rsidR="00E44A75">
        <w:rPr>
          <w:rFonts w:ascii="Arial" w:hAnsi="Arial" w:cs="Arial"/>
          <w:sz w:val="24"/>
          <w:szCs w:val="24"/>
        </w:rPr>
        <w:t xml:space="preserve"> </w:t>
      </w:r>
      <w:r w:rsidR="00E44A75" w:rsidRPr="00E44A75">
        <w:rPr>
          <w:rFonts w:ascii="Arial" w:hAnsi="Arial" w:cs="Arial"/>
          <w:sz w:val="24"/>
          <w:szCs w:val="24"/>
          <w:lang w:val="en-US"/>
        </w:rPr>
        <w:t>But</w:t>
      </w:r>
      <w:r w:rsidR="00316F10" w:rsidRPr="00E44A75">
        <w:rPr>
          <w:rFonts w:ascii="Arial" w:hAnsi="Arial" w:cs="Arial"/>
          <w:sz w:val="24"/>
          <w:szCs w:val="24"/>
          <w:lang w:val="en-US"/>
        </w:rPr>
        <w:t>,</w:t>
      </w:r>
      <w:r w:rsidR="00316F10" w:rsidRPr="009824EB">
        <w:rPr>
          <w:rFonts w:ascii="Arial" w:hAnsi="Arial" w:cs="Arial"/>
          <w:color w:val="FF0000"/>
          <w:sz w:val="24"/>
          <w:szCs w:val="24"/>
          <w:lang w:val="en-US"/>
        </w:rPr>
        <w:t xml:space="preserve"> </w:t>
      </w:r>
      <w:r w:rsidR="00E44A75" w:rsidRPr="00E44A75">
        <w:rPr>
          <w:rFonts w:ascii="Arial" w:hAnsi="Arial" w:cs="Arial"/>
          <w:sz w:val="24"/>
          <w:szCs w:val="24"/>
          <w:lang w:val="en-US"/>
        </w:rPr>
        <w:t>considering its</w:t>
      </w:r>
      <w:r w:rsidR="00316F10" w:rsidRPr="00E44A75">
        <w:rPr>
          <w:rFonts w:ascii="Arial" w:hAnsi="Arial" w:cs="Arial"/>
          <w:sz w:val="24"/>
          <w:szCs w:val="24"/>
          <w:lang w:val="en-US"/>
        </w:rPr>
        <w:t xml:space="preserve"> </w:t>
      </w:r>
      <w:r w:rsidR="00E44A75" w:rsidRPr="00E44A75">
        <w:rPr>
          <w:rFonts w:ascii="Arial" w:hAnsi="Arial" w:cs="Arial"/>
          <w:sz w:val="24"/>
          <w:szCs w:val="24"/>
          <w:lang w:val="en-US"/>
        </w:rPr>
        <w:t>stress on</w:t>
      </w:r>
      <w:r w:rsidR="00316F10" w:rsidRPr="009824EB">
        <w:rPr>
          <w:rFonts w:ascii="Arial" w:hAnsi="Arial" w:cs="Arial"/>
          <w:color w:val="FF0000"/>
          <w:sz w:val="24"/>
          <w:szCs w:val="24"/>
          <w:lang w:val="en-US"/>
        </w:rPr>
        <w:t xml:space="preserve"> </w:t>
      </w:r>
      <w:r w:rsidR="00316F10" w:rsidRPr="00E44A75">
        <w:rPr>
          <w:rFonts w:ascii="Arial" w:hAnsi="Arial" w:cs="Arial"/>
          <w:sz w:val="24"/>
          <w:szCs w:val="24"/>
          <w:lang w:val="en-US"/>
        </w:rPr>
        <w:t>‘the special character of the European Convention as an instr</w:t>
      </w:r>
      <w:r w:rsidR="00E44A75" w:rsidRPr="00E44A75">
        <w:rPr>
          <w:rFonts w:ascii="Arial" w:hAnsi="Arial" w:cs="Arial"/>
          <w:sz w:val="24"/>
          <w:szCs w:val="24"/>
          <w:lang w:val="en-US"/>
        </w:rPr>
        <w:t>ument of European public or</w:t>
      </w:r>
      <w:r w:rsidR="00E44A75" w:rsidRPr="00A47C4A">
        <w:rPr>
          <w:rFonts w:ascii="Arial" w:hAnsi="Arial" w:cs="Arial"/>
          <w:sz w:val="24"/>
          <w:szCs w:val="24"/>
          <w:lang w:val="en-US"/>
        </w:rPr>
        <w:t>der,’</w:t>
      </w:r>
      <w:r w:rsidR="00E44A75" w:rsidRPr="00A47C4A">
        <w:rPr>
          <w:rStyle w:val="FootnoteReference"/>
          <w:rFonts w:ascii="Arial" w:hAnsi="Arial" w:cs="Arial"/>
          <w:sz w:val="24"/>
          <w:szCs w:val="24"/>
          <w:lang w:val="en-US"/>
        </w:rPr>
        <w:footnoteReference w:id="160"/>
      </w:r>
      <w:r w:rsidR="00316F10" w:rsidRPr="00A47C4A">
        <w:rPr>
          <w:rFonts w:ascii="Arial" w:hAnsi="Arial" w:cs="Arial"/>
          <w:sz w:val="24"/>
          <w:szCs w:val="24"/>
          <w:lang w:val="en-US"/>
        </w:rPr>
        <w:t xml:space="preserve"> </w:t>
      </w:r>
      <w:r w:rsidR="005A66D4">
        <w:rPr>
          <w:rFonts w:ascii="Arial" w:hAnsi="Arial" w:cs="Arial"/>
          <w:sz w:val="24"/>
          <w:szCs w:val="24"/>
          <w:lang w:val="en-US"/>
        </w:rPr>
        <w:t xml:space="preserve">one </w:t>
      </w:r>
      <w:r w:rsidR="00F56C7C" w:rsidRPr="00A47C4A">
        <w:rPr>
          <w:rFonts w:ascii="Arial" w:hAnsi="Arial" w:cs="Arial"/>
          <w:sz w:val="24"/>
          <w:szCs w:val="24"/>
          <w:lang w:val="en-US"/>
        </w:rPr>
        <w:t xml:space="preserve">could speculate </w:t>
      </w:r>
      <w:r w:rsidR="00316F10" w:rsidRPr="00A47C4A">
        <w:rPr>
          <w:rFonts w:ascii="Arial" w:hAnsi="Arial" w:cs="Arial"/>
          <w:sz w:val="24"/>
          <w:szCs w:val="24"/>
          <w:lang w:val="en-US"/>
        </w:rPr>
        <w:t xml:space="preserve">that the political </w:t>
      </w:r>
      <w:r w:rsidR="00F56C7C" w:rsidRPr="00A47C4A">
        <w:rPr>
          <w:rFonts w:ascii="Arial" w:hAnsi="Arial" w:cs="Arial"/>
          <w:sz w:val="24"/>
          <w:szCs w:val="24"/>
          <w:lang w:val="en-US"/>
        </w:rPr>
        <w:t>consequences</w:t>
      </w:r>
      <w:r w:rsidR="00316F10" w:rsidRPr="00A47C4A">
        <w:rPr>
          <w:rFonts w:ascii="Arial" w:hAnsi="Arial" w:cs="Arial"/>
          <w:sz w:val="24"/>
          <w:szCs w:val="24"/>
          <w:lang w:val="en-US"/>
        </w:rPr>
        <w:t xml:space="preserve"> of </w:t>
      </w:r>
      <w:r w:rsidR="00F56C7C" w:rsidRPr="00A47C4A">
        <w:rPr>
          <w:rFonts w:ascii="Arial" w:hAnsi="Arial" w:cs="Arial"/>
          <w:sz w:val="24"/>
          <w:szCs w:val="24"/>
          <w:lang w:val="en-US"/>
        </w:rPr>
        <w:t xml:space="preserve">severance </w:t>
      </w:r>
      <w:r w:rsidR="00316F10" w:rsidRPr="00A47C4A">
        <w:rPr>
          <w:rFonts w:ascii="Arial" w:hAnsi="Arial" w:cs="Arial"/>
          <w:sz w:val="24"/>
          <w:szCs w:val="24"/>
          <w:lang w:val="en-US"/>
        </w:rPr>
        <w:t xml:space="preserve">from the European Convention </w:t>
      </w:r>
      <w:r w:rsidR="00F56C7C" w:rsidRPr="00A47C4A">
        <w:rPr>
          <w:rFonts w:ascii="Arial" w:hAnsi="Arial" w:cs="Arial"/>
          <w:sz w:val="24"/>
          <w:szCs w:val="24"/>
          <w:lang w:val="en-US"/>
        </w:rPr>
        <w:t>were deemed to be ‘</w:t>
      </w:r>
      <w:r w:rsidR="00316F10" w:rsidRPr="00A47C4A">
        <w:rPr>
          <w:rFonts w:ascii="Arial" w:hAnsi="Arial" w:cs="Arial"/>
          <w:sz w:val="24"/>
          <w:szCs w:val="24"/>
          <w:lang w:val="en-US"/>
        </w:rPr>
        <w:t>too serious</w:t>
      </w:r>
      <w:r w:rsidR="00F56C7C" w:rsidRPr="00A47C4A">
        <w:rPr>
          <w:rFonts w:ascii="Arial" w:hAnsi="Arial" w:cs="Arial"/>
          <w:sz w:val="24"/>
          <w:szCs w:val="24"/>
          <w:lang w:val="en-US"/>
        </w:rPr>
        <w:t>’</w:t>
      </w:r>
      <w:r w:rsidR="00316F10" w:rsidRPr="00A47C4A">
        <w:rPr>
          <w:rFonts w:ascii="Arial" w:hAnsi="Arial" w:cs="Arial"/>
          <w:sz w:val="24"/>
          <w:szCs w:val="24"/>
          <w:lang w:val="en-US"/>
        </w:rPr>
        <w:t>.</w:t>
      </w:r>
      <w:r w:rsidR="00A47C4A" w:rsidRPr="00A47C4A">
        <w:rPr>
          <w:rStyle w:val="FootnoteReference"/>
          <w:rFonts w:ascii="Arial" w:hAnsi="Arial" w:cs="Arial"/>
          <w:sz w:val="24"/>
          <w:szCs w:val="24"/>
          <w:lang w:val="en-US"/>
        </w:rPr>
        <w:footnoteReference w:id="161"/>
      </w:r>
      <w:r w:rsidR="00316F10" w:rsidRPr="009824EB">
        <w:rPr>
          <w:rFonts w:ascii="Arial" w:hAnsi="Arial" w:cs="Arial"/>
          <w:color w:val="FF0000"/>
          <w:sz w:val="24"/>
          <w:szCs w:val="24"/>
          <w:lang w:val="en-US"/>
        </w:rPr>
        <w:t xml:space="preserve"> </w:t>
      </w:r>
    </w:p>
    <w:p w14:paraId="48A895B2" w14:textId="3BCF0A31" w:rsidR="00BA600F" w:rsidRPr="00563988" w:rsidRDefault="003F6076" w:rsidP="00401E4C">
      <w:pPr>
        <w:spacing w:line="480" w:lineRule="auto"/>
        <w:rPr>
          <w:rFonts w:ascii="Arial" w:hAnsi="Arial" w:cs="Arial"/>
          <w:b/>
          <w:i/>
          <w:sz w:val="24"/>
          <w:szCs w:val="24"/>
          <w:lang w:val="en-US"/>
        </w:rPr>
      </w:pPr>
      <w:r w:rsidRPr="00A34D67">
        <w:rPr>
          <w:rFonts w:ascii="Arial" w:hAnsi="Arial" w:cs="Arial"/>
          <w:b/>
          <w:sz w:val="24"/>
          <w:szCs w:val="24"/>
          <w:lang w:val="en-US"/>
        </w:rPr>
        <w:t xml:space="preserve">          3.2.1</w:t>
      </w:r>
      <w:r w:rsidR="001D0F6B">
        <w:rPr>
          <w:rFonts w:ascii="Arial" w:hAnsi="Arial" w:cs="Arial"/>
          <w:b/>
          <w:sz w:val="24"/>
          <w:szCs w:val="24"/>
          <w:lang w:val="en-US"/>
        </w:rPr>
        <w:t>.1</w:t>
      </w:r>
      <w:r w:rsidRPr="00A34D67">
        <w:rPr>
          <w:rFonts w:ascii="Arial" w:hAnsi="Arial" w:cs="Arial"/>
          <w:b/>
          <w:sz w:val="24"/>
          <w:szCs w:val="24"/>
          <w:lang w:val="en-US"/>
        </w:rPr>
        <w:t xml:space="preserve">     </w:t>
      </w:r>
      <w:r w:rsidR="00BA600F" w:rsidRPr="00A34D67">
        <w:rPr>
          <w:rFonts w:ascii="Arial" w:hAnsi="Arial" w:cs="Arial"/>
          <w:b/>
          <w:i/>
          <w:sz w:val="24"/>
          <w:szCs w:val="24"/>
          <w:lang w:val="en-US"/>
        </w:rPr>
        <w:t>Belilos</w:t>
      </w:r>
      <w:r w:rsidR="00563988">
        <w:rPr>
          <w:rFonts w:ascii="Arial" w:hAnsi="Arial" w:cs="Arial"/>
          <w:b/>
          <w:i/>
          <w:sz w:val="24"/>
          <w:szCs w:val="24"/>
          <w:lang w:val="en-US"/>
        </w:rPr>
        <w:t xml:space="preserve"> </w:t>
      </w:r>
      <w:r w:rsidR="00563988">
        <w:rPr>
          <w:rFonts w:ascii="Arial" w:hAnsi="Arial" w:cs="Arial"/>
          <w:b/>
          <w:sz w:val="24"/>
          <w:szCs w:val="24"/>
          <w:lang w:val="en-US"/>
        </w:rPr>
        <w:t xml:space="preserve">v </w:t>
      </w:r>
      <w:r w:rsidR="00563988">
        <w:rPr>
          <w:rFonts w:ascii="Arial" w:hAnsi="Arial" w:cs="Arial"/>
          <w:b/>
          <w:i/>
          <w:sz w:val="24"/>
          <w:szCs w:val="24"/>
          <w:lang w:val="en-US"/>
        </w:rPr>
        <w:t>Switzerland</w:t>
      </w:r>
    </w:p>
    <w:p w14:paraId="5C90F4CE" w14:textId="3712E005" w:rsidR="008E677F" w:rsidRPr="00A34D67" w:rsidRDefault="005A1C89" w:rsidP="00401E4C">
      <w:pPr>
        <w:spacing w:line="480" w:lineRule="auto"/>
        <w:rPr>
          <w:rFonts w:ascii="Arial" w:hAnsi="Arial" w:cs="Arial"/>
          <w:sz w:val="24"/>
          <w:szCs w:val="24"/>
          <w:lang w:val="en-US"/>
        </w:rPr>
      </w:pPr>
      <w:r w:rsidRPr="00A34D67">
        <w:rPr>
          <w:rFonts w:ascii="Arial" w:hAnsi="Arial" w:cs="Arial"/>
          <w:sz w:val="24"/>
          <w:szCs w:val="24"/>
          <w:lang w:val="en-US"/>
        </w:rPr>
        <w:t xml:space="preserve">For decades, </w:t>
      </w:r>
      <w:r w:rsidR="00512E62" w:rsidRPr="00A34D67">
        <w:rPr>
          <w:rFonts w:ascii="Arial" w:hAnsi="Arial" w:cs="Arial"/>
          <w:sz w:val="24"/>
          <w:szCs w:val="24"/>
          <w:lang w:val="en-US"/>
        </w:rPr>
        <w:t>international tribunals have been reluctant to treat reservations as anything other than a special case</w:t>
      </w:r>
      <w:r w:rsidR="008E677F" w:rsidRPr="00A34D67">
        <w:rPr>
          <w:rFonts w:ascii="Arial" w:hAnsi="Arial" w:cs="Arial"/>
          <w:sz w:val="24"/>
          <w:szCs w:val="24"/>
          <w:lang w:val="en-US"/>
        </w:rPr>
        <w:t>. Such bodies have ‘been quite willing to apply reservations, to interpret them, to limit their scope, even to find ways of circumventing them or at least minimising their impact’.</w:t>
      </w:r>
      <w:r w:rsidR="008A2D06" w:rsidRPr="00A34D67">
        <w:rPr>
          <w:rStyle w:val="FootnoteReference"/>
          <w:rFonts w:ascii="Arial" w:hAnsi="Arial" w:cs="Arial"/>
          <w:sz w:val="24"/>
          <w:szCs w:val="24"/>
          <w:lang w:val="en-US"/>
        </w:rPr>
        <w:footnoteReference w:id="162"/>
      </w:r>
      <w:r w:rsidR="008E677F" w:rsidRPr="00A34D67">
        <w:rPr>
          <w:rFonts w:ascii="Arial" w:hAnsi="Arial" w:cs="Arial"/>
          <w:sz w:val="24"/>
          <w:szCs w:val="24"/>
          <w:lang w:val="en-US"/>
        </w:rPr>
        <w:t xml:space="preserve"> </w:t>
      </w:r>
      <w:r w:rsidR="009B291E" w:rsidRPr="00A34D67">
        <w:rPr>
          <w:rFonts w:ascii="Arial" w:hAnsi="Arial" w:cs="Arial"/>
          <w:sz w:val="24"/>
          <w:szCs w:val="24"/>
          <w:lang w:val="en-US"/>
        </w:rPr>
        <w:t>Nevertheless,</w:t>
      </w:r>
      <w:r w:rsidR="008E677F" w:rsidRPr="00A34D67">
        <w:rPr>
          <w:rFonts w:ascii="Arial" w:hAnsi="Arial" w:cs="Arial"/>
          <w:sz w:val="24"/>
          <w:szCs w:val="24"/>
          <w:lang w:val="en-US"/>
        </w:rPr>
        <w:t xml:space="preserve"> they have consistently</w:t>
      </w:r>
      <w:r w:rsidR="00A23181" w:rsidRPr="00A34D67">
        <w:rPr>
          <w:rFonts w:ascii="Arial" w:hAnsi="Arial" w:cs="Arial"/>
          <w:sz w:val="24"/>
          <w:szCs w:val="24"/>
          <w:lang w:val="en-US"/>
        </w:rPr>
        <w:t xml:space="preserve"> never gone as far as to declare the </w:t>
      </w:r>
      <w:r w:rsidR="00CB698D" w:rsidRPr="00A34D67">
        <w:rPr>
          <w:rFonts w:ascii="Arial" w:hAnsi="Arial" w:cs="Arial"/>
          <w:sz w:val="24"/>
          <w:szCs w:val="24"/>
          <w:lang w:val="en-US"/>
        </w:rPr>
        <w:t xml:space="preserve">total </w:t>
      </w:r>
      <w:r w:rsidR="008E677F" w:rsidRPr="00A34D67">
        <w:rPr>
          <w:rFonts w:ascii="Arial" w:hAnsi="Arial" w:cs="Arial"/>
          <w:sz w:val="24"/>
          <w:szCs w:val="24"/>
          <w:lang w:val="en-US"/>
        </w:rPr>
        <w:t xml:space="preserve">disapplication and invalidity of any </w:t>
      </w:r>
      <w:r w:rsidR="00A826C0" w:rsidRPr="00A34D67">
        <w:rPr>
          <w:rFonts w:ascii="Arial" w:hAnsi="Arial" w:cs="Arial"/>
          <w:sz w:val="24"/>
          <w:szCs w:val="24"/>
          <w:lang w:val="en-US"/>
        </w:rPr>
        <w:t>offending</w:t>
      </w:r>
      <w:r w:rsidR="002A152A" w:rsidRPr="00A34D67">
        <w:rPr>
          <w:rFonts w:ascii="Arial" w:hAnsi="Arial" w:cs="Arial"/>
          <w:sz w:val="24"/>
          <w:szCs w:val="24"/>
          <w:lang w:val="en-US"/>
        </w:rPr>
        <w:t xml:space="preserve"> </w:t>
      </w:r>
      <w:r w:rsidR="008E677F" w:rsidRPr="00A34D67">
        <w:rPr>
          <w:rFonts w:ascii="Arial" w:hAnsi="Arial" w:cs="Arial"/>
          <w:sz w:val="24"/>
          <w:szCs w:val="24"/>
          <w:lang w:val="en-US"/>
        </w:rPr>
        <w:t>reservations.</w:t>
      </w:r>
      <w:r w:rsidR="009B291E" w:rsidRPr="00A34D67">
        <w:rPr>
          <w:rStyle w:val="FootnoteReference"/>
          <w:rFonts w:ascii="Arial" w:hAnsi="Arial" w:cs="Arial"/>
          <w:sz w:val="24"/>
          <w:szCs w:val="24"/>
          <w:lang w:val="en-US"/>
        </w:rPr>
        <w:footnoteReference w:id="163"/>
      </w:r>
      <w:r w:rsidR="008E677F" w:rsidRPr="00A34D67">
        <w:rPr>
          <w:rFonts w:ascii="Arial" w:hAnsi="Arial" w:cs="Arial"/>
          <w:sz w:val="24"/>
          <w:szCs w:val="24"/>
          <w:lang w:val="en-US"/>
        </w:rPr>
        <w:t xml:space="preserve"> </w:t>
      </w:r>
    </w:p>
    <w:p w14:paraId="1DDF8DE3" w14:textId="51A3B9B1" w:rsidR="00331F1A" w:rsidRPr="00A34D67" w:rsidRDefault="005A1C89" w:rsidP="00401E4C">
      <w:pPr>
        <w:spacing w:line="480" w:lineRule="auto"/>
        <w:rPr>
          <w:rFonts w:ascii="Arial" w:hAnsi="Arial" w:cs="Arial"/>
          <w:sz w:val="24"/>
          <w:szCs w:val="24"/>
          <w:lang w:val="en-US"/>
        </w:rPr>
      </w:pPr>
      <w:r w:rsidRPr="00A34D67">
        <w:rPr>
          <w:rFonts w:ascii="Arial" w:hAnsi="Arial" w:cs="Arial"/>
          <w:sz w:val="24"/>
          <w:szCs w:val="24"/>
          <w:lang w:val="en-US"/>
        </w:rPr>
        <w:t xml:space="preserve">However, in 1988, the </w:t>
      </w:r>
      <w:r w:rsidR="00512E62" w:rsidRPr="00A34D67">
        <w:rPr>
          <w:rFonts w:ascii="Arial" w:hAnsi="Arial" w:cs="Arial"/>
          <w:sz w:val="24"/>
          <w:szCs w:val="24"/>
          <w:lang w:val="en-US"/>
        </w:rPr>
        <w:t>European Court of Human Rights</w:t>
      </w:r>
      <w:r w:rsidR="00331F1A" w:rsidRPr="00A34D67">
        <w:rPr>
          <w:rFonts w:ascii="Arial" w:hAnsi="Arial" w:cs="Arial"/>
          <w:sz w:val="24"/>
          <w:szCs w:val="24"/>
          <w:lang w:val="en-US"/>
        </w:rPr>
        <w:t xml:space="preserve"> </w:t>
      </w:r>
      <w:r w:rsidR="008E677F" w:rsidRPr="00A34D67">
        <w:rPr>
          <w:rFonts w:ascii="Arial" w:hAnsi="Arial" w:cs="Arial"/>
          <w:sz w:val="24"/>
          <w:szCs w:val="24"/>
          <w:lang w:val="en-US"/>
        </w:rPr>
        <w:t>showed no such restraint</w:t>
      </w:r>
      <w:r w:rsidR="00AC06DA" w:rsidRPr="00A34D67">
        <w:rPr>
          <w:rFonts w:ascii="Arial" w:hAnsi="Arial" w:cs="Arial"/>
          <w:sz w:val="24"/>
          <w:szCs w:val="24"/>
          <w:lang w:val="en-US"/>
        </w:rPr>
        <w:t>. The Court</w:t>
      </w:r>
      <w:r w:rsidR="008E677F" w:rsidRPr="00A34D67">
        <w:rPr>
          <w:rFonts w:ascii="Arial" w:hAnsi="Arial" w:cs="Arial"/>
          <w:sz w:val="24"/>
          <w:szCs w:val="24"/>
          <w:lang w:val="en-US"/>
        </w:rPr>
        <w:t xml:space="preserve"> </w:t>
      </w:r>
      <w:r w:rsidR="00331F1A" w:rsidRPr="00A34D67">
        <w:rPr>
          <w:rFonts w:ascii="Arial" w:hAnsi="Arial" w:cs="Arial"/>
          <w:sz w:val="24"/>
          <w:szCs w:val="24"/>
          <w:lang w:val="en-US"/>
        </w:rPr>
        <w:t xml:space="preserve">ruled in the </w:t>
      </w:r>
      <w:r w:rsidR="00331F1A" w:rsidRPr="00A34D67">
        <w:rPr>
          <w:rFonts w:ascii="Arial" w:hAnsi="Arial" w:cs="Arial"/>
          <w:i/>
          <w:sz w:val="24"/>
          <w:szCs w:val="24"/>
          <w:lang w:val="en-US"/>
        </w:rPr>
        <w:t xml:space="preserve">Belilos </w:t>
      </w:r>
      <w:r w:rsidR="00331F1A" w:rsidRPr="00A34D67">
        <w:rPr>
          <w:rFonts w:ascii="Arial" w:hAnsi="Arial" w:cs="Arial"/>
          <w:sz w:val="24"/>
          <w:szCs w:val="24"/>
          <w:lang w:val="en-US"/>
        </w:rPr>
        <w:t>case</w:t>
      </w:r>
      <w:r w:rsidR="00541AE4" w:rsidRPr="00A34D67">
        <w:rPr>
          <w:rStyle w:val="FootnoteReference"/>
          <w:rFonts w:ascii="Arial" w:hAnsi="Arial" w:cs="Arial"/>
          <w:sz w:val="24"/>
          <w:szCs w:val="24"/>
        </w:rPr>
        <w:footnoteReference w:id="164"/>
      </w:r>
      <w:r w:rsidR="00331F1A" w:rsidRPr="00A34D67">
        <w:rPr>
          <w:rFonts w:ascii="Arial" w:hAnsi="Arial" w:cs="Arial"/>
          <w:sz w:val="24"/>
          <w:szCs w:val="24"/>
          <w:lang w:val="en-US"/>
        </w:rPr>
        <w:t xml:space="preserve"> that a Swiss declaration, drafted wh</w:t>
      </w:r>
      <w:r w:rsidR="00C11984" w:rsidRPr="00A34D67">
        <w:rPr>
          <w:rFonts w:ascii="Arial" w:hAnsi="Arial" w:cs="Arial"/>
          <w:sz w:val="24"/>
          <w:szCs w:val="24"/>
          <w:lang w:val="en-US"/>
        </w:rPr>
        <w:t>ilst</w:t>
      </w:r>
      <w:r w:rsidR="00331F1A" w:rsidRPr="00A34D67">
        <w:rPr>
          <w:rFonts w:ascii="Arial" w:hAnsi="Arial" w:cs="Arial"/>
          <w:sz w:val="24"/>
          <w:szCs w:val="24"/>
          <w:lang w:val="en-US"/>
        </w:rPr>
        <w:t xml:space="preserve"> </w:t>
      </w:r>
      <w:r w:rsidR="00C60331" w:rsidRPr="00A34D67">
        <w:rPr>
          <w:rFonts w:ascii="Arial" w:hAnsi="Arial" w:cs="Arial"/>
          <w:sz w:val="24"/>
          <w:szCs w:val="24"/>
          <w:lang w:val="en-US"/>
        </w:rPr>
        <w:t>engaging</w:t>
      </w:r>
      <w:r w:rsidR="00331F1A" w:rsidRPr="00A34D67">
        <w:rPr>
          <w:rFonts w:ascii="Arial" w:hAnsi="Arial" w:cs="Arial"/>
          <w:sz w:val="24"/>
          <w:szCs w:val="24"/>
          <w:lang w:val="en-US"/>
        </w:rPr>
        <w:t xml:space="preserve"> the European Convention o</w:t>
      </w:r>
      <w:r w:rsidR="001E0EB8" w:rsidRPr="00A34D67">
        <w:rPr>
          <w:rFonts w:ascii="Arial" w:hAnsi="Arial" w:cs="Arial"/>
          <w:sz w:val="24"/>
          <w:szCs w:val="24"/>
          <w:lang w:val="en-US"/>
        </w:rPr>
        <w:t>n</w:t>
      </w:r>
      <w:r w:rsidR="00331F1A" w:rsidRPr="00A34D67">
        <w:rPr>
          <w:rFonts w:ascii="Arial" w:hAnsi="Arial" w:cs="Arial"/>
          <w:sz w:val="24"/>
          <w:szCs w:val="24"/>
          <w:lang w:val="en-US"/>
        </w:rPr>
        <w:t xml:space="preserve"> Human Rights, was of ‘a general character’</w:t>
      </w:r>
      <w:r w:rsidR="00331F1A" w:rsidRPr="00A34D67">
        <w:rPr>
          <w:rStyle w:val="FootnoteReference"/>
          <w:rFonts w:ascii="Arial" w:hAnsi="Arial" w:cs="Arial"/>
          <w:sz w:val="24"/>
          <w:szCs w:val="24"/>
          <w:lang w:val="en-US"/>
        </w:rPr>
        <w:footnoteReference w:id="165"/>
      </w:r>
      <w:r w:rsidR="00331F1A" w:rsidRPr="00A34D67">
        <w:rPr>
          <w:rFonts w:ascii="Arial" w:hAnsi="Arial" w:cs="Arial"/>
          <w:sz w:val="24"/>
          <w:szCs w:val="24"/>
          <w:lang w:val="en-US"/>
        </w:rPr>
        <w:t xml:space="preserve"> </w:t>
      </w:r>
      <w:r w:rsidR="003611A9" w:rsidRPr="00A34D67">
        <w:rPr>
          <w:rFonts w:ascii="Arial" w:hAnsi="Arial" w:cs="Arial"/>
          <w:sz w:val="24"/>
          <w:szCs w:val="24"/>
          <w:lang w:val="en-US"/>
        </w:rPr>
        <w:t xml:space="preserve">that was incompatible with the </w:t>
      </w:r>
      <w:r w:rsidR="00FE76EF" w:rsidRPr="00A34D67">
        <w:rPr>
          <w:rFonts w:ascii="Arial" w:hAnsi="Arial" w:cs="Arial"/>
          <w:sz w:val="24"/>
          <w:szCs w:val="24"/>
          <w:lang w:val="en-US"/>
        </w:rPr>
        <w:t xml:space="preserve">treaty’s object and purpose </w:t>
      </w:r>
      <w:r w:rsidR="00331F1A" w:rsidRPr="00A34D67">
        <w:rPr>
          <w:rFonts w:ascii="Arial" w:hAnsi="Arial" w:cs="Arial"/>
          <w:sz w:val="24"/>
          <w:szCs w:val="24"/>
          <w:lang w:val="en-US"/>
        </w:rPr>
        <w:t xml:space="preserve">and </w:t>
      </w:r>
      <w:r w:rsidR="00512E62" w:rsidRPr="00A34D67">
        <w:rPr>
          <w:rFonts w:ascii="Arial" w:hAnsi="Arial" w:cs="Arial"/>
          <w:sz w:val="24"/>
          <w:szCs w:val="24"/>
          <w:lang w:val="en-US"/>
        </w:rPr>
        <w:t xml:space="preserve">was </w:t>
      </w:r>
      <w:r w:rsidR="00331F1A" w:rsidRPr="00A34D67">
        <w:rPr>
          <w:rFonts w:ascii="Arial" w:hAnsi="Arial" w:cs="Arial"/>
          <w:sz w:val="24"/>
          <w:szCs w:val="24"/>
          <w:lang w:val="en-US"/>
        </w:rPr>
        <w:t xml:space="preserve">consequently invalid under </w:t>
      </w:r>
      <w:r w:rsidR="00837F1D">
        <w:rPr>
          <w:rFonts w:ascii="Arial" w:hAnsi="Arial" w:cs="Arial"/>
          <w:sz w:val="24"/>
          <w:szCs w:val="24"/>
          <w:lang w:val="en-US"/>
        </w:rPr>
        <w:t xml:space="preserve">the </w:t>
      </w:r>
      <w:r w:rsidR="00331F1A" w:rsidRPr="00A34D67">
        <w:rPr>
          <w:rFonts w:ascii="Arial" w:hAnsi="Arial" w:cs="Arial"/>
          <w:sz w:val="24"/>
          <w:szCs w:val="24"/>
          <w:lang w:val="en-US"/>
        </w:rPr>
        <w:t>ECHR, Article 64.</w:t>
      </w:r>
      <w:r w:rsidR="00331F1A" w:rsidRPr="00A34D67">
        <w:rPr>
          <w:rStyle w:val="FootnoteReference"/>
          <w:rFonts w:ascii="Arial" w:hAnsi="Arial" w:cs="Arial"/>
          <w:sz w:val="24"/>
          <w:szCs w:val="24"/>
          <w:lang w:val="en-US"/>
        </w:rPr>
        <w:footnoteReference w:id="166"/>
      </w:r>
      <w:r w:rsidR="00195C46" w:rsidRPr="00A34D67">
        <w:rPr>
          <w:rFonts w:ascii="Arial" w:hAnsi="Arial" w:cs="Arial"/>
          <w:sz w:val="24"/>
          <w:szCs w:val="24"/>
          <w:lang w:val="en-US"/>
        </w:rPr>
        <w:t xml:space="preserve"> </w:t>
      </w:r>
      <w:r w:rsidR="003A349E" w:rsidRPr="00A34D67">
        <w:rPr>
          <w:rFonts w:ascii="Arial" w:hAnsi="Arial" w:cs="Arial"/>
          <w:sz w:val="24"/>
          <w:szCs w:val="24"/>
          <w:lang w:val="en-US"/>
        </w:rPr>
        <w:t xml:space="preserve">The Court came to the conclusion that Switzerland was bound to the </w:t>
      </w:r>
      <w:r w:rsidR="00DD0491" w:rsidRPr="00A34D67">
        <w:rPr>
          <w:rFonts w:ascii="Arial" w:hAnsi="Arial" w:cs="Arial"/>
          <w:sz w:val="24"/>
          <w:szCs w:val="24"/>
          <w:lang w:val="en-US"/>
        </w:rPr>
        <w:t>entire</w:t>
      </w:r>
      <w:r w:rsidR="003A349E" w:rsidRPr="00A34D67">
        <w:rPr>
          <w:rFonts w:ascii="Arial" w:hAnsi="Arial" w:cs="Arial"/>
          <w:sz w:val="24"/>
          <w:szCs w:val="24"/>
          <w:lang w:val="en-US"/>
        </w:rPr>
        <w:t xml:space="preserve"> Convention and resultantly severed the impermissible reservation.</w:t>
      </w:r>
      <w:r w:rsidR="00BB7420" w:rsidRPr="00A34D67">
        <w:rPr>
          <w:rFonts w:ascii="Arial" w:hAnsi="Arial" w:cs="Arial"/>
          <w:sz w:val="24"/>
          <w:szCs w:val="24"/>
          <w:lang w:val="en-US"/>
        </w:rPr>
        <w:t xml:space="preserve"> But, what was the significance of th</w:t>
      </w:r>
      <w:r w:rsidR="007804A7" w:rsidRPr="00A34D67">
        <w:rPr>
          <w:rFonts w:ascii="Arial" w:hAnsi="Arial" w:cs="Arial"/>
          <w:sz w:val="24"/>
          <w:szCs w:val="24"/>
          <w:lang w:val="en-US"/>
        </w:rPr>
        <w:t>is</w:t>
      </w:r>
      <w:r w:rsidR="00BB7420" w:rsidRPr="00A34D67">
        <w:rPr>
          <w:rFonts w:ascii="Arial" w:hAnsi="Arial" w:cs="Arial"/>
          <w:sz w:val="24"/>
          <w:szCs w:val="24"/>
          <w:lang w:val="en-US"/>
        </w:rPr>
        <w:t xml:space="preserve"> reservation’s invalidity?</w:t>
      </w:r>
    </w:p>
    <w:p w14:paraId="071B8F40" w14:textId="781BA887" w:rsidR="00BB7420" w:rsidRPr="00A34D67" w:rsidRDefault="009A7229" w:rsidP="00401E4C">
      <w:pPr>
        <w:spacing w:line="480" w:lineRule="auto"/>
        <w:rPr>
          <w:rFonts w:ascii="Arial" w:hAnsi="Arial" w:cs="Arial"/>
          <w:color w:val="FF0000"/>
          <w:sz w:val="24"/>
          <w:szCs w:val="24"/>
          <w:lang w:val="en-US"/>
        </w:rPr>
      </w:pPr>
      <w:r w:rsidRPr="00A34D67">
        <w:rPr>
          <w:rFonts w:ascii="Arial" w:hAnsi="Arial" w:cs="Arial"/>
          <w:sz w:val="24"/>
          <w:szCs w:val="24"/>
          <w:lang w:val="en-US"/>
        </w:rPr>
        <w:t>The concerns surrounding the incompatibility of the reservation with the object and purpose of the treaty were never</w:t>
      </w:r>
      <w:r w:rsidRPr="00A34D67">
        <w:rPr>
          <w:rFonts w:ascii="Arial" w:hAnsi="Arial" w:cs="Arial"/>
          <w:color w:val="FF0000"/>
          <w:sz w:val="24"/>
          <w:szCs w:val="24"/>
          <w:lang w:val="en-US"/>
        </w:rPr>
        <w:t xml:space="preserve"> </w:t>
      </w:r>
      <w:r w:rsidR="00171728" w:rsidRPr="00A34D67">
        <w:rPr>
          <w:rFonts w:ascii="Arial" w:hAnsi="Arial" w:cs="Arial"/>
          <w:sz w:val="24"/>
          <w:szCs w:val="24"/>
          <w:lang w:val="en-US"/>
        </w:rPr>
        <w:t>clearly</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discussed by the </w:t>
      </w:r>
      <w:r w:rsidR="00AC33CC" w:rsidRPr="00A34D67">
        <w:rPr>
          <w:rFonts w:ascii="Arial" w:hAnsi="Arial" w:cs="Arial"/>
          <w:sz w:val="24"/>
          <w:szCs w:val="24"/>
          <w:lang w:val="en-US"/>
        </w:rPr>
        <w:t xml:space="preserve">European </w:t>
      </w:r>
      <w:r w:rsidRPr="00A34D67">
        <w:rPr>
          <w:rFonts w:ascii="Arial" w:hAnsi="Arial" w:cs="Arial"/>
          <w:sz w:val="24"/>
          <w:szCs w:val="24"/>
          <w:lang w:val="en-US"/>
        </w:rPr>
        <w:t>Court</w:t>
      </w:r>
      <w:r w:rsidR="00AC33CC" w:rsidRPr="00A34D67">
        <w:rPr>
          <w:rFonts w:ascii="Arial" w:hAnsi="Arial" w:cs="Arial"/>
          <w:sz w:val="24"/>
          <w:szCs w:val="24"/>
          <w:lang w:val="en-US"/>
        </w:rPr>
        <w:t xml:space="preserve"> of Human Rights</w:t>
      </w:r>
      <w:r w:rsidRPr="00A34D67">
        <w:rPr>
          <w:rFonts w:ascii="Arial" w:hAnsi="Arial" w:cs="Arial"/>
          <w:sz w:val="24"/>
          <w:szCs w:val="24"/>
          <w:lang w:val="en-US"/>
        </w:rPr>
        <w:t>.</w:t>
      </w:r>
      <w:r w:rsidRPr="00A34D67">
        <w:rPr>
          <w:rFonts w:ascii="Arial" w:hAnsi="Arial" w:cs="Arial"/>
          <w:color w:val="FF0000"/>
          <w:sz w:val="24"/>
          <w:szCs w:val="24"/>
          <w:lang w:val="en-US"/>
        </w:rPr>
        <w:t xml:space="preserve"> </w:t>
      </w:r>
      <w:r w:rsidR="00AC33CC" w:rsidRPr="00A34D67">
        <w:rPr>
          <w:rFonts w:ascii="Arial" w:hAnsi="Arial" w:cs="Arial"/>
          <w:sz w:val="24"/>
          <w:szCs w:val="24"/>
          <w:lang w:val="en-US"/>
        </w:rPr>
        <w:t>The ICJ previously</w:t>
      </w:r>
      <w:r w:rsidR="00746A78" w:rsidRPr="00A34D67">
        <w:rPr>
          <w:rFonts w:ascii="Arial" w:hAnsi="Arial" w:cs="Arial"/>
          <w:sz w:val="24"/>
          <w:szCs w:val="24"/>
          <w:lang w:val="en-US"/>
        </w:rPr>
        <w:t xml:space="preserve"> concluded in its Advisory Opinion</w:t>
      </w:r>
      <w:r w:rsidR="00744665" w:rsidRPr="00A34D67">
        <w:rPr>
          <w:rStyle w:val="FootnoteReference"/>
          <w:rFonts w:ascii="Arial" w:hAnsi="Arial" w:cs="Arial"/>
          <w:sz w:val="24"/>
          <w:szCs w:val="24"/>
          <w:lang w:val="en-US"/>
        </w:rPr>
        <w:footnoteReference w:id="167"/>
      </w:r>
      <w:r w:rsidR="00746A78" w:rsidRPr="00A34D67">
        <w:rPr>
          <w:rFonts w:ascii="Arial" w:hAnsi="Arial" w:cs="Arial"/>
          <w:sz w:val="24"/>
          <w:szCs w:val="24"/>
          <w:lang w:val="en-US"/>
        </w:rPr>
        <w:t xml:space="preserve"> t</w:t>
      </w:r>
      <w:r w:rsidR="00AC33CC" w:rsidRPr="00A34D67">
        <w:rPr>
          <w:rFonts w:ascii="Arial" w:hAnsi="Arial" w:cs="Arial"/>
          <w:sz w:val="24"/>
          <w:szCs w:val="24"/>
          <w:lang w:val="en-US"/>
        </w:rPr>
        <w:t>hat a reserving state could be party to</w:t>
      </w:r>
      <w:r w:rsidR="00746A78" w:rsidRPr="00A34D67">
        <w:rPr>
          <w:rFonts w:ascii="Arial" w:hAnsi="Arial" w:cs="Arial"/>
          <w:sz w:val="24"/>
          <w:szCs w:val="24"/>
          <w:lang w:val="en-US"/>
        </w:rPr>
        <w:t xml:space="preserve"> the Genocide Convention</w:t>
      </w:r>
      <w:r w:rsidR="00B758AA" w:rsidRPr="00A34D67">
        <w:rPr>
          <w:rFonts w:ascii="Arial" w:hAnsi="Arial" w:cs="Arial"/>
          <w:sz w:val="24"/>
          <w:szCs w:val="24"/>
          <w:lang w:val="en-US"/>
        </w:rPr>
        <w:t>, provided that its reservation was</w:t>
      </w:r>
      <w:r w:rsidR="00B758AA" w:rsidRPr="00A34D67">
        <w:rPr>
          <w:rFonts w:ascii="Arial" w:hAnsi="Arial" w:cs="Arial"/>
          <w:color w:val="FF0000"/>
          <w:sz w:val="24"/>
          <w:szCs w:val="24"/>
          <w:lang w:val="en-US"/>
        </w:rPr>
        <w:t xml:space="preserve"> </w:t>
      </w:r>
      <w:r w:rsidR="00B758AA" w:rsidRPr="00A34D67">
        <w:rPr>
          <w:rFonts w:ascii="Arial" w:hAnsi="Arial" w:cs="Arial"/>
          <w:sz w:val="24"/>
          <w:szCs w:val="24"/>
          <w:lang w:val="en-US"/>
        </w:rPr>
        <w:t>compatible with the Convention’s object and purpose.</w:t>
      </w:r>
      <w:r w:rsidR="00FC128F" w:rsidRPr="00A34D67">
        <w:rPr>
          <w:rFonts w:ascii="Arial" w:hAnsi="Arial" w:cs="Arial"/>
          <w:sz w:val="24"/>
          <w:szCs w:val="24"/>
          <w:lang w:val="en-US"/>
        </w:rPr>
        <w:t xml:space="preserve"> Consequently, </w:t>
      </w:r>
      <w:r w:rsidR="0099106B" w:rsidRPr="00A34D67">
        <w:rPr>
          <w:rFonts w:ascii="Arial" w:hAnsi="Arial" w:cs="Arial"/>
          <w:sz w:val="24"/>
          <w:szCs w:val="24"/>
          <w:lang w:val="en-US"/>
        </w:rPr>
        <w:t>a reserving state’s intention to be bound</w:t>
      </w:r>
      <w:r w:rsidR="002C7B97" w:rsidRPr="00A34D67">
        <w:rPr>
          <w:rFonts w:ascii="Arial" w:hAnsi="Arial" w:cs="Arial"/>
          <w:sz w:val="24"/>
          <w:szCs w:val="24"/>
          <w:lang w:val="en-US"/>
        </w:rPr>
        <w:t xml:space="preserve"> will ‘</w:t>
      </w:r>
      <w:r w:rsidR="00BB7420" w:rsidRPr="00A34D67">
        <w:rPr>
          <w:rFonts w:ascii="Arial" w:hAnsi="Arial" w:cs="Arial"/>
          <w:sz w:val="24"/>
          <w:szCs w:val="24"/>
          <w:lang w:val="en-US"/>
        </w:rPr>
        <w:t>prevail over its will to</w:t>
      </w:r>
      <w:r w:rsidR="00FC128F" w:rsidRPr="00A34D67">
        <w:rPr>
          <w:rFonts w:ascii="Arial" w:hAnsi="Arial" w:cs="Arial"/>
          <w:sz w:val="24"/>
          <w:szCs w:val="24"/>
          <w:lang w:val="en-US"/>
        </w:rPr>
        <w:t xml:space="preserve"> impose an </w:t>
      </w:r>
      <w:r w:rsidR="00BB7420" w:rsidRPr="00A34D67">
        <w:rPr>
          <w:rFonts w:ascii="Arial" w:hAnsi="Arial" w:cs="Arial"/>
          <w:sz w:val="24"/>
          <w:szCs w:val="24"/>
          <w:lang w:val="en-US"/>
        </w:rPr>
        <w:t>impermissible condition,</w:t>
      </w:r>
      <w:r w:rsidR="002C7B97" w:rsidRPr="00A34D67">
        <w:rPr>
          <w:rFonts w:ascii="Arial" w:hAnsi="Arial" w:cs="Arial"/>
          <w:sz w:val="24"/>
          <w:szCs w:val="24"/>
          <w:lang w:val="en-US"/>
        </w:rPr>
        <w:t>’</w:t>
      </w:r>
      <w:r w:rsidR="00BB7420" w:rsidRPr="00A34D67">
        <w:rPr>
          <w:rFonts w:ascii="Arial" w:hAnsi="Arial" w:cs="Arial"/>
          <w:sz w:val="24"/>
          <w:szCs w:val="24"/>
          <w:lang w:val="en-US"/>
        </w:rPr>
        <w:t xml:space="preserve"> </w:t>
      </w:r>
      <w:r w:rsidR="002C7B97" w:rsidRPr="00A34D67">
        <w:rPr>
          <w:rFonts w:ascii="Arial" w:hAnsi="Arial" w:cs="Arial"/>
          <w:sz w:val="24"/>
          <w:szCs w:val="24"/>
          <w:lang w:val="en-US"/>
        </w:rPr>
        <w:t xml:space="preserve">in scenarios involving </w:t>
      </w:r>
      <w:r w:rsidR="00BB7420" w:rsidRPr="00A34D67">
        <w:rPr>
          <w:rFonts w:ascii="Arial" w:hAnsi="Arial" w:cs="Arial"/>
          <w:sz w:val="24"/>
          <w:szCs w:val="24"/>
          <w:lang w:val="en-US"/>
        </w:rPr>
        <w:t xml:space="preserve">a reservation </w:t>
      </w:r>
      <w:r w:rsidR="002C7B97" w:rsidRPr="00A34D67">
        <w:rPr>
          <w:rFonts w:ascii="Arial" w:hAnsi="Arial" w:cs="Arial"/>
          <w:sz w:val="24"/>
          <w:szCs w:val="24"/>
          <w:lang w:val="en-US"/>
        </w:rPr>
        <w:t>that</w:t>
      </w:r>
      <w:r w:rsidR="00BB7420" w:rsidRPr="00A34D67">
        <w:rPr>
          <w:rFonts w:ascii="Arial" w:hAnsi="Arial" w:cs="Arial"/>
          <w:sz w:val="24"/>
          <w:szCs w:val="24"/>
          <w:lang w:val="en-US"/>
        </w:rPr>
        <w:t xml:space="preserve"> is </w:t>
      </w:r>
      <w:r w:rsidR="002C7B97" w:rsidRPr="00A34D67">
        <w:rPr>
          <w:rFonts w:ascii="Arial" w:hAnsi="Arial" w:cs="Arial"/>
          <w:sz w:val="24"/>
          <w:szCs w:val="24"/>
          <w:lang w:val="en-US"/>
        </w:rPr>
        <w:t>‘</w:t>
      </w:r>
      <w:r w:rsidR="00BB7420" w:rsidRPr="00A34D67">
        <w:rPr>
          <w:rFonts w:ascii="Arial" w:hAnsi="Arial" w:cs="Arial"/>
          <w:sz w:val="24"/>
          <w:szCs w:val="24"/>
          <w:lang w:val="en-US"/>
        </w:rPr>
        <w:t>intrinsically an</w:t>
      </w:r>
      <w:r w:rsidR="00FC128F" w:rsidRPr="00A34D67">
        <w:rPr>
          <w:rFonts w:ascii="Arial" w:hAnsi="Arial" w:cs="Arial"/>
          <w:sz w:val="24"/>
          <w:szCs w:val="24"/>
          <w:lang w:val="en-US"/>
        </w:rPr>
        <w:t xml:space="preserve">d fundamentally </w:t>
      </w:r>
      <w:r w:rsidR="00DB0AE8">
        <w:rPr>
          <w:rFonts w:ascii="Arial" w:hAnsi="Arial" w:cs="Arial"/>
          <w:sz w:val="24"/>
          <w:szCs w:val="24"/>
          <w:lang w:val="en-US"/>
        </w:rPr>
        <w:t>inconsistent with the object and purpose</w:t>
      </w:r>
      <w:r w:rsidR="00BB7420" w:rsidRPr="00A34D67">
        <w:rPr>
          <w:rFonts w:ascii="Arial" w:hAnsi="Arial" w:cs="Arial"/>
          <w:sz w:val="24"/>
          <w:szCs w:val="24"/>
          <w:lang w:val="en-US"/>
        </w:rPr>
        <w:t xml:space="preserve"> of t</w:t>
      </w:r>
      <w:r w:rsidR="00FC128F" w:rsidRPr="00A34D67">
        <w:rPr>
          <w:rFonts w:ascii="Arial" w:hAnsi="Arial" w:cs="Arial"/>
          <w:sz w:val="24"/>
          <w:szCs w:val="24"/>
          <w:lang w:val="en-US"/>
        </w:rPr>
        <w:t>he treaty</w:t>
      </w:r>
      <w:r w:rsidR="002C7B97" w:rsidRPr="00A34D67">
        <w:rPr>
          <w:rFonts w:ascii="Arial" w:hAnsi="Arial" w:cs="Arial"/>
          <w:sz w:val="24"/>
          <w:szCs w:val="24"/>
          <w:lang w:val="en-US"/>
        </w:rPr>
        <w:t>’</w:t>
      </w:r>
      <w:r w:rsidR="00FC128F" w:rsidRPr="00A34D67">
        <w:rPr>
          <w:rFonts w:ascii="Arial" w:hAnsi="Arial" w:cs="Arial"/>
          <w:sz w:val="24"/>
          <w:szCs w:val="24"/>
          <w:lang w:val="en-US"/>
        </w:rPr>
        <w:t>.</w:t>
      </w:r>
      <w:r w:rsidR="002C7B97" w:rsidRPr="00A34D67">
        <w:rPr>
          <w:rStyle w:val="FootnoteReference"/>
          <w:rFonts w:ascii="Arial" w:hAnsi="Arial" w:cs="Arial"/>
          <w:sz w:val="24"/>
          <w:szCs w:val="24"/>
          <w:lang w:val="en-US"/>
        </w:rPr>
        <w:footnoteReference w:id="168"/>
      </w:r>
      <w:r w:rsidR="00BB7420" w:rsidRPr="00A34D67">
        <w:rPr>
          <w:rFonts w:ascii="Arial" w:hAnsi="Arial" w:cs="Arial"/>
          <w:color w:val="FF0000"/>
          <w:sz w:val="24"/>
          <w:szCs w:val="24"/>
          <w:lang w:val="en-US"/>
        </w:rPr>
        <w:t xml:space="preserve"> </w:t>
      </w:r>
      <w:r w:rsidR="00533A54" w:rsidRPr="00A34D67">
        <w:rPr>
          <w:rFonts w:ascii="Arial" w:hAnsi="Arial" w:cs="Arial"/>
          <w:sz w:val="24"/>
          <w:szCs w:val="24"/>
          <w:lang w:val="en-US"/>
        </w:rPr>
        <w:t xml:space="preserve">However, </w:t>
      </w:r>
      <w:r w:rsidR="000B1992" w:rsidRPr="00A34D67">
        <w:rPr>
          <w:rFonts w:ascii="Arial" w:hAnsi="Arial" w:cs="Arial"/>
          <w:sz w:val="24"/>
          <w:szCs w:val="24"/>
          <w:lang w:val="en-US"/>
        </w:rPr>
        <w:t xml:space="preserve">the Court has refused to be drawn on this debate. This thereby provides further evidence towards the notion that </w:t>
      </w:r>
      <w:r w:rsidR="00BB7420" w:rsidRPr="00A34D67">
        <w:rPr>
          <w:rFonts w:ascii="Arial" w:hAnsi="Arial" w:cs="Arial"/>
          <w:sz w:val="24"/>
          <w:szCs w:val="24"/>
          <w:lang w:val="en-US"/>
        </w:rPr>
        <w:t xml:space="preserve">a State </w:t>
      </w:r>
      <w:r w:rsidR="000D1B9D" w:rsidRPr="00A34D67">
        <w:rPr>
          <w:rFonts w:ascii="Arial" w:hAnsi="Arial" w:cs="Arial"/>
          <w:sz w:val="24"/>
          <w:szCs w:val="24"/>
          <w:lang w:val="en-US"/>
        </w:rPr>
        <w:t xml:space="preserve">that </w:t>
      </w:r>
      <w:r w:rsidR="000B1992" w:rsidRPr="00A34D67">
        <w:rPr>
          <w:rFonts w:ascii="Arial" w:hAnsi="Arial" w:cs="Arial"/>
          <w:sz w:val="24"/>
          <w:szCs w:val="24"/>
          <w:lang w:val="en-US"/>
        </w:rPr>
        <w:t xml:space="preserve">has </w:t>
      </w:r>
      <w:r w:rsidR="000D1B9D" w:rsidRPr="00A34D67">
        <w:rPr>
          <w:rFonts w:ascii="Arial" w:hAnsi="Arial" w:cs="Arial"/>
          <w:sz w:val="24"/>
          <w:szCs w:val="24"/>
          <w:lang w:val="en-US"/>
        </w:rPr>
        <w:t>plainly indicated it</w:t>
      </w:r>
      <w:r w:rsidR="000B1992" w:rsidRPr="00A34D67">
        <w:rPr>
          <w:rFonts w:ascii="Arial" w:hAnsi="Arial" w:cs="Arial"/>
          <w:sz w:val="24"/>
          <w:szCs w:val="24"/>
          <w:lang w:val="en-US"/>
        </w:rPr>
        <w:t>s acceptance of a treaty with respect to a reservation that is incompatible with the object and purpose of that treaty</w:t>
      </w:r>
      <w:r w:rsidR="00BB7420" w:rsidRPr="00A34D67">
        <w:rPr>
          <w:rFonts w:ascii="Arial" w:hAnsi="Arial" w:cs="Arial"/>
          <w:sz w:val="24"/>
          <w:szCs w:val="24"/>
          <w:lang w:val="en-US"/>
        </w:rPr>
        <w:t xml:space="preserve"> </w:t>
      </w:r>
      <w:r w:rsidR="000B1992" w:rsidRPr="00A34D67">
        <w:rPr>
          <w:rFonts w:ascii="Arial" w:hAnsi="Arial" w:cs="Arial"/>
          <w:sz w:val="24"/>
          <w:szCs w:val="24"/>
          <w:lang w:val="en-US"/>
        </w:rPr>
        <w:t xml:space="preserve">will not be considered as deliberately having its will bound </w:t>
      </w:r>
      <w:r w:rsidR="00BB7420" w:rsidRPr="00A34D67">
        <w:rPr>
          <w:rFonts w:ascii="Arial" w:hAnsi="Arial" w:cs="Arial"/>
          <w:sz w:val="24"/>
          <w:szCs w:val="24"/>
          <w:lang w:val="en-US"/>
        </w:rPr>
        <w:t xml:space="preserve">to </w:t>
      </w:r>
      <w:r w:rsidR="000B1992" w:rsidRPr="00A34D67">
        <w:rPr>
          <w:rFonts w:ascii="Arial" w:hAnsi="Arial" w:cs="Arial"/>
          <w:sz w:val="24"/>
          <w:szCs w:val="24"/>
          <w:lang w:val="en-US"/>
        </w:rPr>
        <w:t>enact</w:t>
      </w:r>
      <w:r w:rsidR="00BB7420" w:rsidRPr="00A34D67">
        <w:rPr>
          <w:rFonts w:ascii="Arial" w:hAnsi="Arial" w:cs="Arial"/>
          <w:sz w:val="24"/>
          <w:szCs w:val="24"/>
          <w:lang w:val="en-US"/>
        </w:rPr>
        <w:t xml:space="preserve"> the </w:t>
      </w:r>
      <w:r w:rsidR="000B1992" w:rsidRPr="00A34D67">
        <w:rPr>
          <w:rFonts w:ascii="Arial" w:hAnsi="Arial" w:cs="Arial"/>
          <w:sz w:val="24"/>
          <w:szCs w:val="24"/>
          <w:lang w:val="en-US"/>
        </w:rPr>
        <w:t>undesirable</w:t>
      </w:r>
      <w:r w:rsidR="00BB7420" w:rsidRPr="00A34D67">
        <w:rPr>
          <w:rFonts w:ascii="Arial" w:hAnsi="Arial" w:cs="Arial"/>
          <w:sz w:val="24"/>
          <w:szCs w:val="24"/>
          <w:lang w:val="en-US"/>
        </w:rPr>
        <w:t xml:space="preserve"> </w:t>
      </w:r>
      <w:r w:rsidR="000B1992" w:rsidRPr="00A34D67">
        <w:rPr>
          <w:rFonts w:ascii="Arial" w:hAnsi="Arial" w:cs="Arial"/>
          <w:sz w:val="24"/>
          <w:szCs w:val="24"/>
          <w:lang w:val="en-US"/>
        </w:rPr>
        <w:t>provision</w:t>
      </w:r>
      <w:r w:rsidR="00BB7420" w:rsidRPr="00A34D67">
        <w:rPr>
          <w:rFonts w:ascii="Arial" w:hAnsi="Arial" w:cs="Arial"/>
          <w:sz w:val="24"/>
          <w:szCs w:val="24"/>
          <w:lang w:val="en-US"/>
        </w:rPr>
        <w:t xml:space="preserve">. </w:t>
      </w:r>
    </w:p>
    <w:p w14:paraId="51680061" w14:textId="798C499B" w:rsidR="001B48D8" w:rsidRPr="00A34D67" w:rsidRDefault="00513022" w:rsidP="00401E4C">
      <w:pPr>
        <w:spacing w:line="480" w:lineRule="auto"/>
        <w:rPr>
          <w:rFonts w:ascii="Arial" w:hAnsi="Arial" w:cs="Arial"/>
          <w:sz w:val="24"/>
          <w:szCs w:val="24"/>
          <w:lang w:val="en-US"/>
        </w:rPr>
      </w:pPr>
      <w:r w:rsidRPr="00A34D67">
        <w:rPr>
          <w:rFonts w:ascii="Arial" w:hAnsi="Arial" w:cs="Arial"/>
          <w:sz w:val="24"/>
          <w:szCs w:val="24"/>
          <w:lang w:val="en-US"/>
        </w:rPr>
        <w:t xml:space="preserve">The </w:t>
      </w:r>
      <w:r w:rsidR="008D0626" w:rsidRPr="00A34D67">
        <w:rPr>
          <w:rFonts w:ascii="Arial" w:hAnsi="Arial" w:cs="Arial"/>
          <w:sz w:val="24"/>
          <w:szCs w:val="24"/>
          <w:lang w:val="en-US"/>
        </w:rPr>
        <w:t xml:space="preserve">European </w:t>
      </w:r>
      <w:r w:rsidRPr="00A34D67">
        <w:rPr>
          <w:rFonts w:ascii="Arial" w:hAnsi="Arial" w:cs="Arial"/>
          <w:sz w:val="24"/>
          <w:szCs w:val="24"/>
          <w:lang w:val="en-US"/>
        </w:rPr>
        <w:t>Court</w:t>
      </w:r>
      <w:r w:rsidR="008D0626" w:rsidRPr="00A34D67">
        <w:rPr>
          <w:rFonts w:ascii="Arial" w:hAnsi="Arial" w:cs="Arial"/>
          <w:sz w:val="24"/>
          <w:szCs w:val="24"/>
          <w:lang w:val="en-US"/>
        </w:rPr>
        <w:t xml:space="preserve"> of Human Rights</w:t>
      </w:r>
      <w:r w:rsidRPr="00A34D67">
        <w:rPr>
          <w:rFonts w:ascii="Arial" w:hAnsi="Arial" w:cs="Arial"/>
          <w:sz w:val="24"/>
          <w:szCs w:val="24"/>
          <w:lang w:val="en-US"/>
        </w:rPr>
        <w:t xml:space="preserve"> </w:t>
      </w:r>
      <w:r w:rsidR="00BB7420" w:rsidRPr="00A34D67">
        <w:rPr>
          <w:rFonts w:ascii="Arial" w:hAnsi="Arial" w:cs="Arial"/>
          <w:sz w:val="24"/>
          <w:szCs w:val="24"/>
          <w:lang w:val="en-US"/>
        </w:rPr>
        <w:t xml:space="preserve">also </w:t>
      </w:r>
      <w:r w:rsidRPr="00A34D67">
        <w:rPr>
          <w:rFonts w:ascii="Arial" w:hAnsi="Arial" w:cs="Arial"/>
          <w:sz w:val="24"/>
          <w:szCs w:val="24"/>
          <w:lang w:val="en-US"/>
        </w:rPr>
        <w:t xml:space="preserve">did not elaborate </w:t>
      </w:r>
      <w:r w:rsidR="00030E20" w:rsidRPr="00A34D67">
        <w:rPr>
          <w:rFonts w:ascii="Arial" w:hAnsi="Arial" w:cs="Arial"/>
          <w:sz w:val="24"/>
          <w:szCs w:val="24"/>
          <w:lang w:val="en-US"/>
        </w:rPr>
        <w:t>as to</w:t>
      </w:r>
      <w:r w:rsidRPr="00A34D67">
        <w:rPr>
          <w:rFonts w:ascii="Arial" w:hAnsi="Arial" w:cs="Arial"/>
          <w:sz w:val="24"/>
          <w:szCs w:val="24"/>
          <w:lang w:val="en-US"/>
        </w:rPr>
        <w:t xml:space="preserve"> why it had decided not to apply Article 6, paragraph 1 of the ECHR to Switzerland, instead of declaring the impermissible reservation to the Convention to be </w:t>
      </w:r>
      <w:r w:rsidR="00874D5C" w:rsidRPr="00A34D67">
        <w:rPr>
          <w:rFonts w:ascii="Arial" w:hAnsi="Arial" w:cs="Arial"/>
          <w:sz w:val="24"/>
          <w:szCs w:val="24"/>
          <w:lang w:val="en-US"/>
        </w:rPr>
        <w:t xml:space="preserve">inapplicable to Switzerland. </w:t>
      </w:r>
      <w:r w:rsidR="000E77B8" w:rsidRPr="00A34D67">
        <w:rPr>
          <w:rFonts w:ascii="Arial" w:hAnsi="Arial" w:cs="Arial"/>
          <w:sz w:val="24"/>
          <w:szCs w:val="24"/>
          <w:lang w:val="en-US"/>
        </w:rPr>
        <w:t>The Vienna Convention states that</w:t>
      </w:r>
      <w:r w:rsidR="00107F72" w:rsidRPr="00A34D67">
        <w:rPr>
          <w:rFonts w:ascii="Arial" w:hAnsi="Arial" w:cs="Arial"/>
          <w:sz w:val="24"/>
          <w:szCs w:val="24"/>
          <w:lang w:val="en-US"/>
        </w:rPr>
        <w:t xml:space="preserve"> when a reservation meets opposition, the provisions that the reservation </w:t>
      </w:r>
      <w:r w:rsidR="002E1F2D" w:rsidRPr="00A34D67">
        <w:rPr>
          <w:rFonts w:ascii="Arial" w:hAnsi="Arial" w:cs="Arial"/>
          <w:sz w:val="24"/>
          <w:szCs w:val="24"/>
          <w:lang w:val="en-US"/>
        </w:rPr>
        <w:t>relates</w:t>
      </w:r>
      <w:r w:rsidR="00107F72" w:rsidRPr="00A34D67">
        <w:rPr>
          <w:rFonts w:ascii="Arial" w:hAnsi="Arial" w:cs="Arial"/>
          <w:sz w:val="24"/>
          <w:szCs w:val="24"/>
          <w:lang w:val="en-US"/>
        </w:rPr>
        <w:t xml:space="preserve"> to</w:t>
      </w:r>
      <w:r w:rsidR="000E77B8" w:rsidRPr="00A34D67">
        <w:rPr>
          <w:rFonts w:ascii="Arial" w:hAnsi="Arial" w:cs="Arial"/>
          <w:sz w:val="24"/>
          <w:szCs w:val="24"/>
          <w:lang w:val="en-US"/>
        </w:rPr>
        <w:t xml:space="preserve"> </w:t>
      </w:r>
      <w:r w:rsidR="002E1F2D" w:rsidRPr="00A34D67">
        <w:rPr>
          <w:rFonts w:ascii="Arial" w:hAnsi="Arial" w:cs="Arial"/>
          <w:sz w:val="24"/>
          <w:szCs w:val="24"/>
          <w:lang w:val="en-US"/>
        </w:rPr>
        <w:t>are not applicable</w:t>
      </w:r>
      <w:r w:rsidR="000E77B8" w:rsidRPr="00A34D67">
        <w:rPr>
          <w:rFonts w:ascii="Arial" w:hAnsi="Arial" w:cs="Arial"/>
          <w:color w:val="FF0000"/>
          <w:sz w:val="24"/>
          <w:szCs w:val="24"/>
          <w:lang w:val="en-US"/>
        </w:rPr>
        <w:t xml:space="preserve"> </w:t>
      </w:r>
      <w:r w:rsidR="000E77B8" w:rsidRPr="00A34D67">
        <w:rPr>
          <w:rFonts w:ascii="Arial" w:hAnsi="Arial" w:cs="Arial"/>
          <w:sz w:val="24"/>
          <w:szCs w:val="24"/>
          <w:lang w:val="en-US"/>
        </w:rPr>
        <w:t xml:space="preserve">to the reservation. </w:t>
      </w:r>
      <w:r w:rsidR="002E1F2D" w:rsidRPr="00A34D67">
        <w:rPr>
          <w:rFonts w:ascii="Arial" w:hAnsi="Arial" w:cs="Arial"/>
          <w:sz w:val="24"/>
          <w:szCs w:val="24"/>
          <w:lang w:val="en-US"/>
        </w:rPr>
        <w:t xml:space="preserve">The consequences of an impermissible reservation are not described by the Convention. </w:t>
      </w:r>
      <w:r w:rsidR="00ED4BC5" w:rsidRPr="00A34D67">
        <w:rPr>
          <w:rFonts w:ascii="Arial" w:hAnsi="Arial" w:cs="Arial"/>
          <w:sz w:val="24"/>
          <w:szCs w:val="24"/>
          <w:lang w:val="en-US"/>
        </w:rPr>
        <w:t xml:space="preserve">But, it has </w:t>
      </w:r>
      <w:r w:rsidR="006D0095">
        <w:rPr>
          <w:rFonts w:ascii="Arial" w:hAnsi="Arial" w:cs="Arial"/>
          <w:sz w:val="24"/>
          <w:szCs w:val="24"/>
          <w:lang w:val="en-US"/>
        </w:rPr>
        <w:t xml:space="preserve">also </w:t>
      </w:r>
      <w:r w:rsidR="00ED4BC5" w:rsidRPr="00A34D67">
        <w:rPr>
          <w:rFonts w:ascii="Arial" w:hAnsi="Arial" w:cs="Arial"/>
          <w:sz w:val="24"/>
          <w:szCs w:val="24"/>
          <w:lang w:val="en-US"/>
        </w:rPr>
        <w:t xml:space="preserve">been suggested that an invalid reservation </w:t>
      </w:r>
      <w:r w:rsidR="00F329A2" w:rsidRPr="00A34D67">
        <w:rPr>
          <w:rFonts w:ascii="Arial" w:hAnsi="Arial" w:cs="Arial"/>
          <w:sz w:val="24"/>
          <w:szCs w:val="24"/>
          <w:lang w:val="en-US"/>
        </w:rPr>
        <w:t xml:space="preserve">that is </w:t>
      </w:r>
      <w:r w:rsidR="002C52EC" w:rsidRPr="00A34D67">
        <w:rPr>
          <w:rFonts w:ascii="Arial" w:hAnsi="Arial" w:cs="Arial"/>
          <w:sz w:val="24"/>
          <w:szCs w:val="24"/>
          <w:lang w:val="en-US"/>
        </w:rPr>
        <w:t xml:space="preserve">not </w:t>
      </w:r>
      <w:r w:rsidR="00F329A2" w:rsidRPr="00A34D67">
        <w:rPr>
          <w:rFonts w:ascii="Arial" w:hAnsi="Arial" w:cs="Arial"/>
          <w:sz w:val="24"/>
          <w:szCs w:val="24"/>
          <w:lang w:val="en-US"/>
        </w:rPr>
        <w:t xml:space="preserve">incompatible with the object and purpose of the </w:t>
      </w:r>
      <w:r w:rsidR="00ED7F4E" w:rsidRPr="00A34D67">
        <w:rPr>
          <w:rFonts w:ascii="Arial" w:hAnsi="Arial" w:cs="Arial"/>
          <w:sz w:val="24"/>
          <w:szCs w:val="24"/>
          <w:lang w:val="en-US"/>
        </w:rPr>
        <w:t xml:space="preserve">treaty </w:t>
      </w:r>
      <w:r w:rsidR="002C52EC" w:rsidRPr="00A34D67">
        <w:rPr>
          <w:rFonts w:ascii="Arial" w:hAnsi="Arial" w:cs="Arial"/>
          <w:sz w:val="24"/>
          <w:szCs w:val="24"/>
          <w:lang w:val="en-US"/>
        </w:rPr>
        <w:t xml:space="preserve">can </w:t>
      </w:r>
      <w:r w:rsidR="00686997" w:rsidRPr="00A34D67">
        <w:rPr>
          <w:rFonts w:ascii="Arial" w:hAnsi="Arial" w:cs="Arial"/>
          <w:sz w:val="24"/>
          <w:szCs w:val="24"/>
          <w:lang w:val="en-US"/>
        </w:rPr>
        <w:t xml:space="preserve">also </w:t>
      </w:r>
      <w:r w:rsidR="002C52EC" w:rsidRPr="00A34D67">
        <w:rPr>
          <w:rFonts w:ascii="Arial" w:hAnsi="Arial" w:cs="Arial"/>
          <w:sz w:val="24"/>
          <w:szCs w:val="24"/>
          <w:lang w:val="en-US"/>
        </w:rPr>
        <w:t xml:space="preserve">be severed and </w:t>
      </w:r>
      <w:r w:rsidR="00A33D9B" w:rsidRPr="00A34D67">
        <w:rPr>
          <w:rFonts w:ascii="Arial" w:hAnsi="Arial" w:cs="Arial"/>
          <w:sz w:val="24"/>
          <w:szCs w:val="24"/>
          <w:lang w:val="en-US"/>
        </w:rPr>
        <w:t>viewed</w:t>
      </w:r>
      <w:r w:rsidR="002C52EC" w:rsidRPr="00A34D67">
        <w:rPr>
          <w:rFonts w:ascii="Arial" w:hAnsi="Arial" w:cs="Arial"/>
          <w:sz w:val="24"/>
          <w:szCs w:val="24"/>
          <w:lang w:val="en-US"/>
        </w:rPr>
        <w:t xml:space="preserve"> as a nullity.</w:t>
      </w:r>
      <w:r w:rsidR="00A33D9B" w:rsidRPr="00A34D67">
        <w:rPr>
          <w:rStyle w:val="FootnoteReference"/>
          <w:rFonts w:ascii="Arial" w:hAnsi="Arial" w:cs="Arial"/>
          <w:sz w:val="24"/>
          <w:szCs w:val="24"/>
          <w:lang w:val="en-US"/>
        </w:rPr>
        <w:footnoteReference w:id="169"/>
      </w:r>
      <w:r w:rsidR="00A33D9B" w:rsidRPr="00A34D67">
        <w:rPr>
          <w:rFonts w:ascii="Arial" w:hAnsi="Arial" w:cs="Arial"/>
          <w:sz w:val="24"/>
          <w:szCs w:val="24"/>
          <w:lang w:val="en-US"/>
        </w:rPr>
        <w:t xml:space="preserve"> </w:t>
      </w:r>
      <w:r w:rsidR="001C749F" w:rsidRPr="00A34D67">
        <w:rPr>
          <w:rFonts w:ascii="Arial" w:hAnsi="Arial" w:cs="Arial"/>
          <w:sz w:val="24"/>
          <w:szCs w:val="24"/>
          <w:lang w:val="en-US"/>
        </w:rPr>
        <w:t xml:space="preserve">The Court has since ‘adopted this approach’ in order to avoid giving indirect effect to an invalid reservation, which would have occurred had the Court refused to apply the ECHR </w:t>
      </w:r>
      <w:r w:rsidR="008D0626" w:rsidRPr="00A34D67">
        <w:rPr>
          <w:rFonts w:ascii="Arial" w:hAnsi="Arial" w:cs="Arial"/>
          <w:sz w:val="24"/>
          <w:szCs w:val="24"/>
          <w:lang w:val="en-US"/>
        </w:rPr>
        <w:t>‘</w:t>
      </w:r>
      <w:r w:rsidR="001C749F" w:rsidRPr="00A34D67">
        <w:rPr>
          <w:rFonts w:ascii="Arial" w:hAnsi="Arial" w:cs="Arial"/>
          <w:sz w:val="24"/>
          <w:szCs w:val="24"/>
          <w:lang w:val="en-US"/>
        </w:rPr>
        <w:t xml:space="preserve">to Switzerland </w:t>
      </w:r>
      <w:r w:rsidR="008D0626" w:rsidRPr="00A34D67">
        <w:rPr>
          <w:rFonts w:ascii="Arial" w:hAnsi="Arial" w:cs="Arial"/>
          <w:sz w:val="24"/>
          <w:szCs w:val="24"/>
          <w:lang w:val="en-US"/>
        </w:rPr>
        <w:t>to the extent of the Swiss reservation’.</w:t>
      </w:r>
      <w:r w:rsidR="008D0626" w:rsidRPr="00A34D67">
        <w:rPr>
          <w:rStyle w:val="FootnoteReference"/>
          <w:rFonts w:ascii="Arial" w:hAnsi="Arial" w:cs="Arial"/>
          <w:sz w:val="24"/>
          <w:szCs w:val="24"/>
          <w:lang w:val="en-US"/>
        </w:rPr>
        <w:footnoteReference w:id="170"/>
      </w:r>
      <w:r w:rsidR="0025414C" w:rsidRPr="00A34D67">
        <w:rPr>
          <w:rFonts w:ascii="Arial" w:hAnsi="Arial" w:cs="Arial"/>
          <w:sz w:val="24"/>
          <w:szCs w:val="24"/>
          <w:lang w:val="en-US"/>
        </w:rPr>
        <w:t xml:space="preserve"> </w:t>
      </w:r>
      <w:r w:rsidR="007E1B0B" w:rsidRPr="00A34D67">
        <w:rPr>
          <w:rFonts w:ascii="Arial" w:hAnsi="Arial" w:cs="Arial"/>
          <w:sz w:val="24"/>
          <w:szCs w:val="24"/>
          <w:lang w:val="en-US"/>
        </w:rPr>
        <w:t xml:space="preserve">The </w:t>
      </w:r>
      <w:r w:rsidR="007E1B0B" w:rsidRPr="00A34D67">
        <w:rPr>
          <w:rFonts w:ascii="Arial" w:hAnsi="Arial" w:cs="Arial"/>
          <w:i/>
          <w:sz w:val="24"/>
          <w:szCs w:val="24"/>
          <w:lang w:val="en-US"/>
        </w:rPr>
        <w:t xml:space="preserve">Belilos </w:t>
      </w:r>
      <w:r w:rsidR="007E1B0B" w:rsidRPr="00A34D67">
        <w:rPr>
          <w:rFonts w:ascii="Arial" w:hAnsi="Arial" w:cs="Arial"/>
          <w:sz w:val="24"/>
          <w:szCs w:val="24"/>
          <w:lang w:val="en-US"/>
        </w:rPr>
        <w:t xml:space="preserve">case therefore established what became known as ‘the </w:t>
      </w:r>
      <w:r w:rsidR="007E1B0B" w:rsidRPr="00A34D67">
        <w:rPr>
          <w:rFonts w:ascii="Arial" w:hAnsi="Arial" w:cs="Arial"/>
          <w:i/>
          <w:sz w:val="24"/>
          <w:szCs w:val="24"/>
          <w:lang w:val="en-US"/>
        </w:rPr>
        <w:t xml:space="preserve">Belilos </w:t>
      </w:r>
      <w:r w:rsidR="007E1B0B" w:rsidRPr="00A34D67">
        <w:rPr>
          <w:rFonts w:ascii="Arial" w:hAnsi="Arial" w:cs="Arial"/>
          <w:sz w:val="24"/>
          <w:szCs w:val="24"/>
          <w:lang w:val="en-US"/>
        </w:rPr>
        <w:t>rule’,</w:t>
      </w:r>
      <w:r w:rsidR="007E1B0B" w:rsidRPr="00A34D67">
        <w:rPr>
          <w:rStyle w:val="FootnoteReference"/>
          <w:rFonts w:ascii="Arial" w:hAnsi="Arial" w:cs="Arial"/>
          <w:sz w:val="24"/>
          <w:szCs w:val="24"/>
        </w:rPr>
        <w:footnoteReference w:id="171"/>
      </w:r>
      <w:r w:rsidR="007E1B0B" w:rsidRPr="00A34D67">
        <w:rPr>
          <w:rFonts w:ascii="Arial" w:hAnsi="Arial" w:cs="Arial"/>
          <w:sz w:val="24"/>
          <w:szCs w:val="24"/>
          <w:lang w:val="en-US"/>
        </w:rPr>
        <w:t xml:space="preserve"> which states that unacceptable reservations are severable</w:t>
      </w:r>
      <w:r w:rsidR="00DE2682">
        <w:rPr>
          <w:rFonts w:ascii="Arial" w:hAnsi="Arial" w:cs="Arial"/>
          <w:sz w:val="24"/>
          <w:szCs w:val="24"/>
          <w:lang w:val="en-US"/>
        </w:rPr>
        <w:t xml:space="preserve"> from an</w:t>
      </w:r>
      <w:r w:rsidR="00221C60">
        <w:rPr>
          <w:rFonts w:ascii="Arial" w:hAnsi="Arial" w:cs="Arial"/>
          <w:sz w:val="24"/>
          <w:szCs w:val="24"/>
          <w:lang w:val="en-US"/>
        </w:rPr>
        <w:t>y</w:t>
      </w:r>
      <w:r w:rsidR="00DE2682">
        <w:rPr>
          <w:rFonts w:ascii="Arial" w:hAnsi="Arial" w:cs="Arial"/>
          <w:sz w:val="24"/>
          <w:szCs w:val="24"/>
          <w:lang w:val="en-US"/>
        </w:rPr>
        <w:t xml:space="preserve"> international</w:t>
      </w:r>
      <w:r w:rsidR="00221C60">
        <w:rPr>
          <w:rFonts w:ascii="Arial" w:hAnsi="Arial" w:cs="Arial"/>
          <w:sz w:val="24"/>
          <w:szCs w:val="24"/>
          <w:lang w:val="en-US"/>
        </w:rPr>
        <w:t xml:space="preserve"> instrument</w:t>
      </w:r>
      <w:r w:rsidR="007E1B0B" w:rsidRPr="00A34D67">
        <w:rPr>
          <w:rFonts w:ascii="Arial" w:hAnsi="Arial" w:cs="Arial"/>
          <w:sz w:val="24"/>
          <w:szCs w:val="24"/>
          <w:lang w:val="en-US"/>
        </w:rPr>
        <w:t>.</w:t>
      </w:r>
      <w:r w:rsidR="007E1B0B" w:rsidRPr="00A34D67">
        <w:rPr>
          <w:rFonts w:ascii="Arial" w:hAnsi="Arial" w:cs="Arial"/>
          <w:color w:val="FF0000"/>
          <w:sz w:val="24"/>
          <w:szCs w:val="24"/>
          <w:lang w:val="en-US"/>
        </w:rPr>
        <w:t xml:space="preserve"> </w:t>
      </w:r>
    </w:p>
    <w:p w14:paraId="2400F150" w14:textId="31546748" w:rsidR="008D06D6" w:rsidRPr="00563988" w:rsidRDefault="003F6076" w:rsidP="00401E4C">
      <w:pPr>
        <w:spacing w:line="480" w:lineRule="auto"/>
        <w:rPr>
          <w:rFonts w:ascii="Arial" w:hAnsi="Arial" w:cs="Arial"/>
          <w:b/>
          <w:i/>
          <w:sz w:val="24"/>
          <w:szCs w:val="24"/>
          <w:lang w:val="en-US"/>
        </w:rPr>
      </w:pPr>
      <w:r w:rsidRPr="0009252E">
        <w:rPr>
          <w:rFonts w:ascii="Arial" w:hAnsi="Arial" w:cs="Arial"/>
          <w:b/>
          <w:sz w:val="24"/>
          <w:szCs w:val="24"/>
          <w:lang w:val="en-US"/>
        </w:rPr>
        <w:t xml:space="preserve">          3.2.</w:t>
      </w:r>
      <w:r w:rsidR="005C5A00">
        <w:rPr>
          <w:rFonts w:ascii="Arial" w:hAnsi="Arial" w:cs="Arial"/>
          <w:b/>
          <w:sz w:val="24"/>
          <w:szCs w:val="24"/>
          <w:lang w:val="en-US"/>
        </w:rPr>
        <w:t>1</w:t>
      </w:r>
      <w:r w:rsidR="001D0F6B">
        <w:rPr>
          <w:rFonts w:ascii="Arial" w:hAnsi="Arial" w:cs="Arial"/>
          <w:b/>
          <w:sz w:val="24"/>
          <w:szCs w:val="24"/>
          <w:lang w:val="en-US"/>
        </w:rPr>
        <w:t>.2</w:t>
      </w:r>
      <w:r w:rsidRPr="0009252E">
        <w:rPr>
          <w:rFonts w:ascii="Arial" w:hAnsi="Arial" w:cs="Arial"/>
          <w:b/>
          <w:sz w:val="24"/>
          <w:szCs w:val="24"/>
          <w:lang w:val="en-US"/>
        </w:rPr>
        <w:t xml:space="preserve">     </w:t>
      </w:r>
      <w:r w:rsidR="008D06D6" w:rsidRPr="0009252E">
        <w:rPr>
          <w:rFonts w:ascii="Arial" w:hAnsi="Arial" w:cs="Arial"/>
          <w:b/>
          <w:i/>
          <w:sz w:val="24"/>
          <w:szCs w:val="24"/>
        </w:rPr>
        <w:t>Loizidou</w:t>
      </w:r>
      <w:r w:rsidR="00563988">
        <w:rPr>
          <w:rFonts w:ascii="Arial" w:hAnsi="Arial" w:cs="Arial"/>
          <w:b/>
          <w:i/>
          <w:sz w:val="24"/>
          <w:szCs w:val="24"/>
        </w:rPr>
        <w:t xml:space="preserve"> </w:t>
      </w:r>
      <w:r w:rsidR="00563988">
        <w:rPr>
          <w:rFonts w:ascii="Arial" w:hAnsi="Arial" w:cs="Arial"/>
          <w:b/>
          <w:sz w:val="24"/>
          <w:szCs w:val="24"/>
        </w:rPr>
        <w:t xml:space="preserve">v </w:t>
      </w:r>
      <w:r w:rsidR="00563988">
        <w:rPr>
          <w:rFonts w:ascii="Arial" w:hAnsi="Arial" w:cs="Arial"/>
          <w:b/>
          <w:i/>
          <w:sz w:val="24"/>
          <w:szCs w:val="24"/>
        </w:rPr>
        <w:t>Turkey</w:t>
      </w:r>
    </w:p>
    <w:p w14:paraId="7DFC9A92" w14:textId="77777777" w:rsidR="007634C7" w:rsidRPr="00A34D67" w:rsidRDefault="00142423" w:rsidP="00401E4C">
      <w:pPr>
        <w:spacing w:line="480" w:lineRule="auto"/>
        <w:rPr>
          <w:rFonts w:ascii="Arial" w:hAnsi="Arial" w:cs="Arial"/>
          <w:sz w:val="24"/>
          <w:szCs w:val="24"/>
        </w:rPr>
      </w:pPr>
      <w:r w:rsidRPr="00A34D67">
        <w:rPr>
          <w:rFonts w:ascii="Arial" w:hAnsi="Arial" w:cs="Arial"/>
          <w:sz w:val="24"/>
          <w:szCs w:val="24"/>
        </w:rPr>
        <w:t xml:space="preserve">In </w:t>
      </w:r>
      <w:r w:rsidRPr="00A34D67">
        <w:rPr>
          <w:rFonts w:ascii="Arial" w:hAnsi="Arial" w:cs="Arial"/>
          <w:i/>
          <w:sz w:val="24"/>
          <w:szCs w:val="24"/>
        </w:rPr>
        <w:t>Loizidou</w:t>
      </w:r>
      <w:r w:rsidRPr="00A34D67">
        <w:rPr>
          <w:rFonts w:ascii="Arial" w:hAnsi="Arial" w:cs="Arial"/>
          <w:sz w:val="24"/>
          <w:szCs w:val="24"/>
        </w:rPr>
        <w:t>, the Grand Chamber of the European Court of Human Rights decided to address the issue of admissible reservations before the question of their severability. In its examination of both the evolutionary interpretation of treaties and the parties’ intentions, the Grand Chamber observed that the Vienna Convention (characterised as a ‘living instrument’)</w:t>
      </w:r>
      <w:r w:rsidRPr="00A34D67">
        <w:rPr>
          <w:rFonts w:ascii="Arial" w:hAnsi="Arial" w:cs="Arial"/>
          <w:sz w:val="24"/>
          <w:szCs w:val="24"/>
          <w:vertAlign w:val="superscript"/>
        </w:rPr>
        <w:footnoteReference w:id="172"/>
      </w:r>
      <w:r w:rsidRPr="00A34D67">
        <w:rPr>
          <w:rFonts w:ascii="Arial" w:hAnsi="Arial" w:cs="Arial"/>
          <w:sz w:val="24"/>
          <w:szCs w:val="24"/>
        </w:rPr>
        <w:t xml:space="preserve"> ‘cannot be interpreted solely in accordance with the intentions of their authors as expressed more than forty years ago’ and it therefore requires a modern contextual reading.</w:t>
      </w:r>
      <w:r w:rsidRPr="00A34D67">
        <w:rPr>
          <w:rFonts w:ascii="Arial" w:hAnsi="Arial" w:cs="Arial"/>
          <w:sz w:val="24"/>
          <w:szCs w:val="24"/>
          <w:vertAlign w:val="superscript"/>
        </w:rPr>
        <w:footnoteReference w:id="173"/>
      </w:r>
      <w:r w:rsidRPr="00A34D67">
        <w:rPr>
          <w:rFonts w:ascii="Arial" w:hAnsi="Arial" w:cs="Arial"/>
          <w:sz w:val="24"/>
          <w:szCs w:val="24"/>
        </w:rPr>
        <w:t xml:space="preserve"> However, the Grand Chamber was unsure whether its inevitable interpretation of ‘the provisions leading to a treatment of the objectionable reservation as severable’ would be at odds with the original intentions of the parties.</w:t>
      </w:r>
      <w:r w:rsidRPr="00A34D67">
        <w:rPr>
          <w:rFonts w:ascii="Arial" w:hAnsi="Arial" w:cs="Arial"/>
          <w:sz w:val="24"/>
          <w:szCs w:val="24"/>
          <w:vertAlign w:val="superscript"/>
          <w:lang w:val="en-US"/>
        </w:rPr>
        <w:footnoteReference w:id="174"/>
      </w:r>
      <w:r w:rsidRPr="00A34D67">
        <w:rPr>
          <w:rFonts w:ascii="Arial" w:hAnsi="Arial" w:cs="Arial"/>
          <w:sz w:val="24"/>
          <w:szCs w:val="24"/>
        </w:rPr>
        <w:t xml:space="preserve"> </w:t>
      </w:r>
    </w:p>
    <w:p w14:paraId="2C064097" w14:textId="0AACA9B6" w:rsidR="00C11D6A" w:rsidRPr="00A34D67" w:rsidRDefault="00C11D6A" w:rsidP="00401E4C">
      <w:pPr>
        <w:spacing w:line="480" w:lineRule="auto"/>
        <w:rPr>
          <w:rFonts w:ascii="Arial" w:hAnsi="Arial" w:cs="Arial"/>
          <w:sz w:val="24"/>
          <w:szCs w:val="24"/>
          <w:lang w:val="en-US"/>
        </w:rPr>
      </w:pPr>
      <w:r w:rsidRPr="00A34D67">
        <w:rPr>
          <w:rFonts w:ascii="Arial" w:hAnsi="Arial" w:cs="Arial"/>
          <w:sz w:val="24"/>
          <w:szCs w:val="24"/>
        </w:rPr>
        <w:t xml:space="preserve">From this, we can </w:t>
      </w:r>
      <w:r w:rsidR="00D16FDB" w:rsidRPr="00A34D67">
        <w:rPr>
          <w:rFonts w:ascii="Arial" w:hAnsi="Arial" w:cs="Arial"/>
          <w:sz w:val="24"/>
          <w:szCs w:val="24"/>
        </w:rPr>
        <w:t>deduce</w:t>
      </w:r>
      <w:r w:rsidRPr="00A34D67">
        <w:rPr>
          <w:rFonts w:ascii="Arial" w:hAnsi="Arial" w:cs="Arial"/>
          <w:sz w:val="24"/>
          <w:szCs w:val="24"/>
        </w:rPr>
        <w:t xml:space="preserve"> that it is critical to avoid adopting an excessively narrow view of the parties’ intentions.</w:t>
      </w:r>
      <w:r w:rsidRPr="00A34D67">
        <w:rPr>
          <w:rFonts w:ascii="Arial" w:hAnsi="Arial" w:cs="Arial"/>
          <w:sz w:val="24"/>
          <w:szCs w:val="24"/>
          <w:vertAlign w:val="superscript"/>
        </w:rPr>
        <w:footnoteReference w:id="175"/>
      </w:r>
      <w:r w:rsidRPr="00A34D67">
        <w:rPr>
          <w:rFonts w:ascii="Arial" w:hAnsi="Arial" w:cs="Arial"/>
          <w:sz w:val="24"/>
          <w:szCs w:val="24"/>
        </w:rPr>
        <w:t xml:space="preserve"> Treaty interpreters are directed by Articles 31-33 of the Vienna Convention (concerning the object and purpose of a treaty) to all of the essential methods of interpretation in order to accurately establish the original intentions of the parties. In </w:t>
      </w:r>
      <w:r w:rsidRPr="00A34D67">
        <w:rPr>
          <w:rFonts w:ascii="Arial" w:hAnsi="Arial" w:cs="Arial"/>
          <w:i/>
          <w:sz w:val="24"/>
          <w:szCs w:val="24"/>
        </w:rPr>
        <w:t>Loizidou</w:t>
      </w:r>
      <w:r w:rsidRPr="00A34D67">
        <w:rPr>
          <w:rFonts w:ascii="Arial" w:hAnsi="Arial" w:cs="Arial"/>
          <w:sz w:val="24"/>
          <w:szCs w:val="24"/>
        </w:rPr>
        <w:t>, the Grand Chamber even, albeit unwillingly, founded its evolutionary interpretation on ‘the objectivised intentions of the parties’ as established by the Vienna Convention approach.</w:t>
      </w:r>
      <w:r w:rsidRPr="00A34D67">
        <w:rPr>
          <w:rFonts w:ascii="Arial" w:hAnsi="Arial" w:cs="Arial"/>
          <w:sz w:val="24"/>
          <w:szCs w:val="24"/>
          <w:vertAlign w:val="superscript"/>
          <w:lang w:val="en-US"/>
        </w:rPr>
        <w:footnoteReference w:id="176"/>
      </w:r>
    </w:p>
    <w:p w14:paraId="661211F6" w14:textId="5D5A0DD5" w:rsidR="00142423" w:rsidRDefault="007634C7" w:rsidP="00401E4C">
      <w:pPr>
        <w:spacing w:line="480" w:lineRule="auto"/>
        <w:rPr>
          <w:rFonts w:ascii="Arial" w:hAnsi="Arial" w:cs="Arial"/>
          <w:sz w:val="24"/>
          <w:szCs w:val="24"/>
          <w:lang w:val="en-US"/>
        </w:rPr>
      </w:pPr>
      <w:r w:rsidRPr="00A34D67">
        <w:rPr>
          <w:rFonts w:ascii="Arial" w:hAnsi="Arial" w:cs="Arial"/>
          <w:sz w:val="24"/>
          <w:szCs w:val="24"/>
          <w:lang w:val="en-US"/>
        </w:rPr>
        <w:t xml:space="preserve">The </w:t>
      </w:r>
      <w:r w:rsidRPr="00A34D67">
        <w:rPr>
          <w:rFonts w:ascii="Arial" w:hAnsi="Arial" w:cs="Arial"/>
          <w:i/>
          <w:sz w:val="24"/>
          <w:szCs w:val="24"/>
          <w:lang w:val="en-US"/>
        </w:rPr>
        <w:t xml:space="preserve">Loizidou </w:t>
      </w:r>
      <w:r w:rsidRPr="008A4CEA">
        <w:rPr>
          <w:rFonts w:ascii="Arial" w:hAnsi="Arial" w:cs="Arial"/>
          <w:sz w:val="24"/>
          <w:szCs w:val="24"/>
          <w:lang w:val="en-US"/>
        </w:rPr>
        <w:t>judgment concluded that the E</w:t>
      </w:r>
      <w:r w:rsidR="008A4CEA" w:rsidRPr="008A4CEA">
        <w:rPr>
          <w:rFonts w:ascii="Arial" w:hAnsi="Arial" w:cs="Arial"/>
          <w:sz w:val="24"/>
          <w:szCs w:val="24"/>
          <w:lang w:val="en-US"/>
        </w:rPr>
        <w:t>uropean Court of Human Rights (ECtHR)</w:t>
      </w:r>
      <w:r w:rsidRPr="008A4CEA">
        <w:rPr>
          <w:rFonts w:ascii="Arial" w:hAnsi="Arial" w:cs="Arial"/>
          <w:sz w:val="24"/>
          <w:szCs w:val="24"/>
          <w:lang w:val="en-US"/>
        </w:rPr>
        <w:t xml:space="preserve"> ‘must bear</w:t>
      </w:r>
      <w:r w:rsidRPr="00A34D67">
        <w:rPr>
          <w:rFonts w:ascii="Arial" w:hAnsi="Arial" w:cs="Arial"/>
          <w:sz w:val="24"/>
          <w:szCs w:val="24"/>
          <w:lang w:val="en-US"/>
        </w:rPr>
        <w:t xml:space="preserve"> in mind the special character of the Convention as an instrument of European public order (‘</w:t>
      </w:r>
      <w:r w:rsidRPr="00A34D67">
        <w:rPr>
          <w:rFonts w:ascii="Arial" w:hAnsi="Arial" w:cs="Arial"/>
          <w:i/>
          <w:sz w:val="24"/>
          <w:szCs w:val="24"/>
          <w:lang w:val="en-US"/>
        </w:rPr>
        <w:t>ordre public</w:t>
      </w:r>
      <w:r w:rsidRPr="00A34D67">
        <w:rPr>
          <w:rFonts w:ascii="Arial" w:hAnsi="Arial" w:cs="Arial"/>
          <w:sz w:val="24"/>
          <w:szCs w:val="24"/>
          <w:lang w:val="en-US"/>
        </w:rPr>
        <w:t>’) for the protection of individual human beings and its mission, as set out in Article 19 [of the Human Rights Convention] “to ensure the observance of the engagements undertaken by the High Contracting Parties”’.</w:t>
      </w:r>
      <w:r w:rsidRPr="00A34D67">
        <w:rPr>
          <w:rStyle w:val="FootnoteReference"/>
          <w:rFonts w:ascii="Arial" w:hAnsi="Arial" w:cs="Arial"/>
          <w:sz w:val="24"/>
          <w:szCs w:val="24"/>
          <w:lang w:val="en-US"/>
        </w:rPr>
        <w:footnoteReference w:id="177"/>
      </w:r>
      <w:r w:rsidRPr="00A34D67">
        <w:rPr>
          <w:rFonts w:ascii="Arial" w:hAnsi="Arial" w:cs="Arial"/>
          <w:sz w:val="24"/>
          <w:szCs w:val="24"/>
          <w:lang w:val="en-US"/>
        </w:rPr>
        <w:t xml:space="preserve"> </w:t>
      </w:r>
      <w:r w:rsidR="00142423" w:rsidRPr="00A34D67">
        <w:rPr>
          <w:rFonts w:ascii="Arial" w:hAnsi="Arial" w:cs="Arial"/>
          <w:sz w:val="24"/>
          <w:szCs w:val="24"/>
        </w:rPr>
        <w:t>Furthermore, the Grand Chamber highlighted that to conclude that</w:t>
      </w:r>
      <w:r w:rsidR="009E1B7E" w:rsidRPr="00A34D67">
        <w:rPr>
          <w:rFonts w:ascii="Arial" w:hAnsi="Arial" w:cs="Arial"/>
          <w:sz w:val="24"/>
          <w:szCs w:val="24"/>
        </w:rPr>
        <w:t xml:space="preserve"> </w:t>
      </w:r>
      <w:r w:rsidR="00142423" w:rsidRPr="00A34D67">
        <w:rPr>
          <w:rFonts w:ascii="Arial" w:hAnsi="Arial" w:cs="Arial"/>
          <w:sz w:val="24"/>
          <w:szCs w:val="24"/>
        </w:rPr>
        <w:t xml:space="preserve">the </w:t>
      </w:r>
      <w:r w:rsidR="009E1B7E" w:rsidRPr="00A34D67">
        <w:rPr>
          <w:rFonts w:ascii="Arial" w:hAnsi="Arial" w:cs="Arial"/>
          <w:sz w:val="24"/>
          <w:szCs w:val="24"/>
        </w:rPr>
        <w:t>parties to the treaty</w:t>
      </w:r>
      <w:r w:rsidR="00142423" w:rsidRPr="00A34D67">
        <w:rPr>
          <w:rFonts w:ascii="Arial" w:hAnsi="Arial" w:cs="Arial"/>
          <w:sz w:val="24"/>
          <w:szCs w:val="24"/>
        </w:rPr>
        <w:t xml:space="preserve"> may </w:t>
      </w:r>
      <w:r w:rsidR="009E1B7E" w:rsidRPr="00A34D67">
        <w:rPr>
          <w:rFonts w:ascii="Arial" w:hAnsi="Arial" w:cs="Arial"/>
          <w:sz w:val="24"/>
          <w:szCs w:val="24"/>
        </w:rPr>
        <w:t xml:space="preserve">not entirely accept </w:t>
      </w:r>
      <w:r w:rsidR="00142423" w:rsidRPr="00A34D67">
        <w:rPr>
          <w:rFonts w:ascii="Arial" w:hAnsi="Arial" w:cs="Arial"/>
          <w:sz w:val="24"/>
          <w:szCs w:val="24"/>
        </w:rPr>
        <w:t>the competence of the Commission and the Court</w:t>
      </w:r>
      <w:r w:rsidR="003F306F" w:rsidRPr="00A34D67">
        <w:rPr>
          <w:rFonts w:ascii="Arial" w:hAnsi="Arial" w:cs="Arial"/>
          <w:sz w:val="24"/>
          <w:szCs w:val="24"/>
        </w:rPr>
        <w:t>,</w:t>
      </w:r>
      <w:r w:rsidR="00142423" w:rsidRPr="00A34D67">
        <w:rPr>
          <w:rFonts w:ascii="Arial" w:hAnsi="Arial" w:cs="Arial"/>
          <w:sz w:val="24"/>
          <w:szCs w:val="24"/>
        </w:rPr>
        <w:t xml:space="preserve"> under Articles 25 and 46</w:t>
      </w:r>
      <w:r w:rsidR="003F306F" w:rsidRPr="00A34D67">
        <w:rPr>
          <w:rFonts w:ascii="Arial" w:hAnsi="Arial" w:cs="Arial"/>
          <w:sz w:val="24"/>
          <w:szCs w:val="24"/>
        </w:rPr>
        <w:t>,</w:t>
      </w:r>
      <w:r w:rsidR="00142423" w:rsidRPr="00A34D67">
        <w:rPr>
          <w:rFonts w:ascii="Arial" w:hAnsi="Arial" w:cs="Arial"/>
          <w:sz w:val="24"/>
          <w:szCs w:val="24"/>
        </w:rPr>
        <w:t xml:space="preserve"> would not be in accordance with the object and purpose of the Convention.</w:t>
      </w:r>
      <w:r w:rsidR="00DE6F5E" w:rsidRPr="00A34D67">
        <w:rPr>
          <w:rFonts w:ascii="Arial" w:hAnsi="Arial" w:cs="Arial"/>
          <w:sz w:val="24"/>
          <w:szCs w:val="24"/>
        </w:rPr>
        <w:t xml:space="preserve"> The Court concluded from its analysis of the </w:t>
      </w:r>
      <w:r w:rsidR="00E908B3">
        <w:rPr>
          <w:rFonts w:ascii="Arial" w:hAnsi="Arial" w:cs="Arial"/>
          <w:sz w:val="24"/>
          <w:szCs w:val="24"/>
        </w:rPr>
        <w:t>European Convention on Human Rights’</w:t>
      </w:r>
      <w:r w:rsidR="00DE6F5E" w:rsidRPr="00A34D67">
        <w:rPr>
          <w:rFonts w:ascii="Arial" w:hAnsi="Arial" w:cs="Arial"/>
          <w:sz w:val="24"/>
          <w:szCs w:val="24"/>
        </w:rPr>
        <w:t xml:space="preserve"> object and purpose </w:t>
      </w:r>
      <w:r w:rsidR="00DE6F5E" w:rsidRPr="00A34D67">
        <w:rPr>
          <w:rFonts w:ascii="Arial" w:hAnsi="Arial" w:cs="Arial"/>
          <w:sz w:val="24"/>
          <w:szCs w:val="24"/>
          <w:lang w:val="en-US"/>
        </w:rPr>
        <w:t>“that States could not qualify their acceptance of the optional clauses thereby effectively excluding areas of their law and practice within their ‘jurisdiction’ from supervision by the Convention institutions”.</w:t>
      </w:r>
      <w:r w:rsidR="00DE6F5E" w:rsidRPr="00A34D67">
        <w:rPr>
          <w:rStyle w:val="FootnoteReference"/>
          <w:rFonts w:ascii="Arial" w:hAnsi="Arial" w:cs="Arial"/>
          <w:sz w:val="24"/>
          <w:szCs w:val="24"/>
          <w:lang w:val="en-US"/>
        </w:rPr>
        <w:footnoteReference w:id="178"/>
      </w:r>
      <w:r w:rsidR="00DE6F5E" w:rsidRPr="00A34D67">
        <w:rPr>
          <w:rFonts w:ascii="Arial" w:hAnsi="Arial" w:cs="Arial"/>
          <w:sz w:val="24"/>
          <w:szCs w:val="24"/>
          <w:lang w:val="en-US"/>
        </w:rPr>
        <w:t xml:space="preserve"> The Court further stated that any </w:t>
      </w:r>
      <w:r w:rsidR="00DA08B6" w:rsidRPr="00A34D67">
        <w:rPr>
          <w:rFonts w:ascii="Arial" w:hAnsi="Arial" w:cs="Arial"/>
          <w:sz w:val="24"/>
          <w:szCs w:val="24"/>
          <w:lang w:val="en-US"/>
        </w:rPr>
        <w:t>restrictions</w:t>
      </w:r>
      <w:r w:rsidR="00DE6F5E" w:rsidRPr="00A34D67">
        <w:rPr>
          <w:rFonts w:ascii="Arial" w:hAnsi="Arial" w:cs="Arial"/>
          <w:sz w:val="24"/>
          <w:szCs w:val="24"/>
          <w:lang w:val="en-US"/>
        </w:rPr>
        <w:t xml:space="preserve"> placed on its competence </w:t>
      </w:r>
      <w:r w:rsidR="00DE6F5E" w:rsidRPr="00A34D67">
        <w:rPr>
          <w:rFonts w:ascii="Arial" w:hAnsi="Arial" w:cs="Arial"/>
          <w:i/>
          <w:sz w:val="24"/>
          <w:szCs w:val="24"/>
          <w:lang w:val="en-US"/>
        </w:rPr>
        <w:t>ratione loci</w:t>
      </w:r>
      <w:r w:rsidR="00DE6F5E" w:rsidRPr="00A34D67">
        <w:rPr>
          <w:rFonts w:ascii="Arial" w:hAnsi="Arial" w:cs="Arial"/>
          <w:sz w:val="24"/>
          <w:szCs w:val="24"/>
          <w:lang w:val="en-US"/>
        </w:rPr>
        <w:t xml:space="preserve"> or </w:t>
      </w:r>
      <w:r w:rsidR="00DE6F5E" w:rsidRPr="00A34D67">
        <w:rPr>
          <w:rFonts w:ascii="Arial" w:hAnsi="Arial" w:cs="Arial"/>
          <w:i/>
          <w:sz w:val="24"/>
          <w:szCs w:val="24"/>
          <w:lang w:val="en-US"/>
        </w:rPr>
        <w:t>ratione materiae</w:t>
      </w:r>
      <w:r w:rsidR="00DE6F5E" w:rsidRPr="00A34D67">
        <w:rPr>
          <w:rFonts w:ascii="Arial" w:hAnsi="Arial" w:cs="Arial"/>
          <w:sz w:val="24"/>
          <w:szCs w:val="24"/>
          <w:lang w:val="en-US"/>
        </w:rPr>
        <w:t xml:space="preserve"> would be incompatible </w:t>
      </w:r>
      <w:r w:rsidR="00DA08B6" w:rsidRPr="00A34D67">
        <w:rPr>
          <w:rFonts w:ascii="Arial" w:hAnsi="Arial" w:cs="Arial"/>
          <w:sz w:val="24"/>
          <w:szCs w:val="24"/>
          <w:lang w:val="en-US"/>
        </w:rPr>
        <w:t xml:space="preserve">with the </w:t>
      </w:r>
      <w:r w:rsidR="00DE6F5E" w:rsidRPr="00A34D67">
        <w:rPr>
          <w:rFonts w:ascii="Arial" w:hAnsi="Arial" w:cs="Arial"/>
          <w:sz w:val="24"/>
          <w:szCs w:val="24"/>
          <w:lang w:val="en-US"/>
        </w:rPr>
        <w:t>Convention’s very nature.</w:t>
      </w:r>
      <w:r w:rsidR="00DE6F5E" w:rsidRPr="00A34D67">
        <w:rPr>
          <w:rStyle w:val="FootnoteReference"/>
          <w:rFonts w:ascii="Arial" w:hAnsi="Arial" w:cs="Arial"/>
          <w:sz w:val="24"/>
          <w:szCs w:val="24"/>
          <w:lang w:val="en-US"/>
        </w:rPr>
        <w:footnoteReference w:id="179"/>
      </w:r>
    </w:p>
    <w:p w14:paraId="75E0A268" w14:textId="28095528" w:rsidR="00DD3EE1" w:rsidRDefault="00813917" w:rsidP="00401E4C">
      <w:pPr>
        <w:tabs>
          <w:tab w:val="left" w:pos="3544"/>
        </w:tabs>
        <w:spacing w:line="480" w:lineRule="auto"/>
        <w:rPr>
          <w:rFonts w:ascii="Arial" w:hAnsi="Arial" w:cs="Arial"/>
          <w:color w:val="FF0000"/>
          <w:sz w:val="24"/>
          <w:szCs w:val="24"/>
          <w:lang w:val="en-US"/>
        </w:rPr>
      </w:pPr>
      <w:r w:rsidRPr="00B10F49">
        <w:rPr>
          <w:rFonts w:ascii="Arial" w:hAnsi="Arial" w:cs="Arial"/>
          <w:sz w:val="24"/>
          <w:szCs w:val="24"/>
          <w:lang w:val="en-US"/>
        </w:rPr>
        <w:t>Reservations that are unnecessary to a state’s consent</w:t>
      </w:r>
      <w:r>
        <w:rPr>
          <w:rFonts w:ascii="Arial" w:hAnsi="Arial" w:cs="Arial"/>
          <w:sz w:val="24"/>
          <w:szCs w:val="24"/>
          <w:lang w:val="en-US"/>
        </w:rPr>
        <w:t xml:space="preserve"> are the only type of reservations to which severability applies.</w:t>
      </w:r>
      <w:r>
        <w:rPr>
          <w:rStyle w:val="FootnoteReference"/>
          <w:rFonts w:ascii="Arial" w:hAnsi="Arial" w:cs="Arial"/>
          <w:sz w:val="24"/>
          <w:szCs w:val="24"/>
          <w:lang w:val="en-US"/>
        </w:rPr>
        <w:footnoteReference w:id="180"/>
      </w:r>
      <w:r>
        <w:rPr>
          <w:rFonts w:ascii="Arial" w:hAnsi="Arial" w:cs="Arial"/>
          <w:sz w:val="24"/>
          <w:szCs w:val="24"/>
          <w:lang w:val="en-US"/>
        </w:rPr>
        <w:t xml:space="preserve"> </w:t>
      </w:r>
      <w:r w:rsidRPr="0052685B">
        <w:rPr>
          <w:rFonts w:ascii="Arial" w:hAnsi="Arial" w:cs="Arial"/>
          <w:sz w:val="24"/>
          <w:szCs w:val="24"/>
          <w:lang w:val="en-US"/>
        </w:rPr>
        <w:t>The ILC has examined the issue</w:t>
      </w:r>
      <w:r w:rsidRPr="003B1422">
        <w:rPr>
          <w:rFonts w:ascii="Arial" w:hAnsi="Arial" w:cs="Arial"/>
          <w:sz w:val="24"/>
          <w:szCs w:val="24"/>
          <w:lang w:val="en-US"/>
        </w:rPr>
        <w:t>,</w:t>
      </w:r>
      <w:r w:rsidRPr="00C05DDB">
        <w:rPr>
          <w:rFonts w:ascii="Arial" w:hAnsi="Arial" w:cs="Arial"/>
          <w:color w:val="FF0000"/>
          <w:sz w:val="24"/>
          <w:szCs w:val="24"/>
          <w:lang w:val="en-US"/>
        </w:rPr>
        <w:t xml:space="preserve"> </w:t>
      </w:r>
      <w:r w:rsidRPr="003B1422">
        <w:rPr>
          <w:rFonts w:ascii="Arial" w:hAnsi="Arial" w:cs="Arial"/>
          <w:sz w:val="24"/>
          <w:szCs w:val="24"/>
          <w:lang w:val="en-US"/>
        </w:rPr>
        <w:t>asserting that</w:t>
      </w:r>
      <w:r>
        <w:rPr>
          <w:rFonts w:ascii="Arial" w:hAnsi="Arial" w:cs="Arial"/>
          <w:sz w:val="24"/>
          <w:szCs w:val="24"/>
          <w:lang w:val="en-US"/>
        </w:rPr>
        <w:t xml:space="preserve"> ‘i</w:t>
      </w:r>
      <w:r w:rsidRPr="003B1422">
        <w:rPr>
          <w:rFonts w:ascii="Arial" w:hAnsi="Arial" w:cs="Arial"/>
          <w:sz w:val="24"/>
          <w:szCs w:val="24"/>
          <w:lang w:val="en-US"/>
        </w:rPr>
        <w:t>n international society at the present stage, the state alone could know the exact role of its reservation to its consent’.</w:t>
      </w:r>
      <w:r w:rsidRPr="003B1422">
        <w:rPr>
          <w:rStyle w:val="FootnoteReference"/>
          <w:rFonts w:ascii="Arial" w:hAnsi="Arial" w:cs="Arial"/>
          <w:sz w:val="24"/>
          <w:szCs w:val="24"/>
          <w:lang w:val="en-US"/>
        </w:rPr>
        <w:footnoteReference w:id="181"/>
      </w:r>
      <w:r>
        <w:rPr>
          <w:rFonts w:ascii="Arial" w:hAnsi="Arial" w:cs="Arial"/>
          <w:sz w:val="24"/>
          <w:szCs w:val="24"/>
          <w:lang w:val="en-US"/>
        </w:rPr>
        <w:t xml:space="preserve"> </w:t>
      </w:r>
      <w:r w:rsidRPr="00FF5DA7">
        <w:rPr>
          <w:rFonts w:ascii="Arial" w:hAnsi="Arial" w:cs="Arial"/>
          <w:sz w:val="24"/>
          <w:szCs w:val="24"/>
          <w:lang w:val="en-US"/>
        </w:rPr>
        <w:t xml:space="preserve">The ECtHR </w:t>
      </w:r>
      <w:r w:rsidR="00FF5DA7" w:rsidRPr="00FF5DA7">
        <w:rPr>
          <w:rFonts w:ascii="Arial" w:hAnsi="Arial" w:cs="Arial"/>
          <w:sz w:val="24"/>
          <w:szCs w:val="24"/>
          <w:lang w:val="en-US"/>
        </w:rPr>
        <w:t>also examined how to</w:t>
      </w:r>
      <w:r w:rsidRPr="00FF5DA7">
        <w:rPr>
          <w:rFonts w:ascii="Arial" w:hAnsi="Arial" w:cs="Arial"/>
          <w:sz w:val="24"/>
          <w:szCs w:val="24"/>
          <w:lang w:val="en-US"/>
        </w:rPr>
        <w:t xml:space="preserve"> </w:t>
      </w:r>
      <w:r w:rsidR="00FF5DA7" w:rsidRPr="00FF5DA7">
        <w:rPr>
          <w:rFonts w:ascii="Arial" w:hAnsi="Arial" w:cs="Arial"/>
          <w:sz w:val="24"/>
          <w:szCs w:val="24"/>
          <w:lang w:val="en-US"/>
        </w:rPr>
        <w:t>establish</w:t>
      </w:r>
      <w:r w:rsidRPr="00FF5DA7">
        <w:rPr>
          <w:rFonts w:ascii="Arial" w:hAnsi="Arial" w:cs="Arial"/>
          <w:sz w:val="24"/>
          <w:szCs w:val="24"/>
          <w:lang w:val="en-US"/>
        </w:rPr>
        <w:t xml:space="preserve"> essentiality in </w:t>
      </w:r>
      <w:r w:rsidRPr="00FF5DA7">
        <w:rPr>
          <w:rFonts w:ascii="Arial" w:hAnsi="Arial" w:cs="Arial"/>
          <w:i/>
          <w:sz w:val="24"/>
          <w:szCs w:val="24"/>
          <w:lang w:val="en-US"/>
        </w:rPr>
        <w:t>Loizidou</w:t>
      </w:r>
      <w:r w:rsidR="00FF5DA7" w:rsidRPr="00FF5DA7">
        <w:rPr>
          <w:rFonts w:ascii="Arial" w:hAnsi="Arial" w:cs="Arial"/>
          <w:sz w:val="24"/>
          <w:szCs w:val="24"/>
          <w:lang w:val="en-US"/>
        </w:rPr>
        <w:t>, but through a different method.</w:t>
      </w:r>
      <w:r w:rsidR="001576EE">
        <w:rPr>
          <w:rFonts w:ascii="Arial" w:hAnsi="Arial" w:cs="Arial"/>
          <w:sz w:val="24"/>
          <w:szCs w:val="24"/>
          <w:lang w:val="en-US"/>
        </w:rPr>
        <w:t xml:space="preserve"> In order to </w:t>
      </w:r>
      <w:r w:rsidR="00D479B4">
        <w:rPr>
          <w:rFonts w:ascii="Arial" w:hAnsi="Arial" w:cs="Arial"/>
          <w:sz w:val="24"/>
          <w:szCs w:val="24"/>
          <w:lang w:val="en-US"/>
        </w:rPr>
        <w:t>verify</w:t>
      </w:r>
      <w:r w:rsidR="001576EE">
        <w:rPr>
          <w:rFonts w:ascii="Arial" w:hAnsi="Arial" w:cs="Arial"/>
          <w:sz w:val="24"/>
          <w:szCs w:val="24"/>
          <w:lang w:val="en-US"/>
        </w:rPr>
        <w:t xml:space="preserve"> the essentiality of its consent to be bound by </w:t>
      </w:r>
      <w:r w:rsidR="00F4441A">
        <w:rPr>
          <w:rFonts w:ascii="Arial" w:hAnsi="Arial" w:cs="Arial"/>
          <w:sz w:val="24"/>
          <w:szCs w:val="24"/>
          <w:lang w:val="en-US"/>
        </w:rPr>
        <w:t xml:space="preserve">Article 1 of </w:t>
      </w:r>
      <w:r w:rsidR="001576EE">
        <w:rPr>
          <w:rFonts w:ascii="Arial" w:hAnsi="Arial" w:cs="Arial"/>
          <w:sz w:val="24"/>
          <w:szCs w:val="24"/>
          <w:lang w:val="en-US"/>
        </w:rPr>
        <w:t xml:space="preserve">the European </w:t>
      </w:r>
      <w:r w:rsidR="001576EE" w:rsidRPr="00D479B4">
        <w:rPr>
          <w:rFonts w:ascii="Arial" w:hAnsi="Arial" w:cs="Arial"/>
          <w:sz w:val="24"/>
          <w:szCs w:val="24"/>
          <w:lang w:val="en-US"/>
        </w:rPr>
        <w:t>Convention,</w:t>
      </w:r>
      <w:r w:rsidR="00D03961" w:rsidRPr="00A34D67">
        <w:rPr>
          <w:rStyle w:val="FootnoteReference"/>
          <w:rFonts w:ascii="Arial" w:hAnsi="Arial" w:cs="Arial"/>
          <w:sz w:val="24"/>
          <w:szCs w:val="24"/>
        </w:rPr>
        <w:footnoteReference w:id="182"/>
      </w:r>
      <w:r w:rsidR="00FF5DA7" w:rsidRPr="00D479B4">
        <w:rPr>
          <w:rFonts w:ascii="Arial" w:hAnsi="Arial" w:cs="Arial"/>
          <w:sz w:val="24"/>
          <w:szCs w:val="24"/>
          <w:lang w:val="en-US"/>
        </w:rPr>
        <w:t xml:space="preserve"> </w:t>
      </w:r>
      <w:r w:rsidRPr="00D479B4">
        <w:rPr>
          <w:rFonts w:ascii="Arial" w:hAnsi="Arial" w:cs="Arial"/>
          <w:sz w:val="24"/>
          <w:szCs w:val="24"/>
          <w:lang w:val="en-US"/>
        </w:rPr>
        <w:t xml:space="preserve">Turkey </w:t>
      </w:r>
      <w:r w:rsidR="00D479B4" w:rsidRPr="00DB778B">
        <w:rPr>
          <w:rFonts w:ascii="Arial" w:hAnsi="Arial" w:cs="Arial"/>
          <w:sz w:val="24"/>
          <w:szCs w:val="24"/>
          <w:lang w:val="en-US"/>
        </w:rPr>
        <w:t>produced</w:t>
      </w:r>
      <w:r w:rsidRPr="00DB778B">
        <w:rPr>
          <w:rFonts w:ascii="Arial" w:hAnsi="Arial" w:cs="Arial"/>
          <w:sz w:val="24"/>
          <w:szCs w:val="24"/>
          <w:lang w:val="en-US"/>
        </w:rPr>
        <w:t xml:space="preserve"> </w:t>
      </w:r>
      <w:r w:rsidR="00DB778B" w:rsidRPr="00DB778B">
        <w:rPr>
          <w:rFonts w:ascii="Arial" w:hAnsi="Arial" w:cs="Arial"/>
          <w:sz w:val="24"/>
          <w:szCs w:val="24"/>
          <w:lang w:val="en-US"/>
        </w:rPr>
        <w:t>the declarations</w:t>
      </w:r>
      <w:r w:rsidRPr="00DB778B">
        <w:rPr>
          <w:rFonts w:ascii="Arial" w:hAnsi="Arial" w:cs="Arial"/>
          <w:sz w:val="24"/>
          <w:szCs w:val="24"/>
          <w:lang w:val="en-US"/>
        </w:rPr>
        <w:t xml:space="preserve"> it made</w:t>
      </w:r>
      <w:r w:rsidR="00DB778B" w:rsidRPr="00DB778B">
        <w:rPr>
          <w:rFonts w:ascii="Arial" w:hAnsi="Arial" w:cs="Arial"/>
          <w:sz w:val="24"/>
          <w:szCs w:val="24"/>
          <w:lang w:val="en-US"/>
        </w:rPr>
        <w:t xml:space="preserve"> when the reservation was being written.</w:t>
      </w:r>
      <w:r w:rsidRPr="00D710EA">
        <w:rPr>
          <w:rFonts w:ascii="Arial" w:hAnsi="Arial" w:cs="Arial"/>
          <w:color w:val="FF0000"/>
          <w:sz w:val="24"/>
          <w:szCs w:val="24"/>
          <w:lang w:val="en-US"/>
        </w:rPr>
        <w:t xml:space="preserve"> </w:t>
      </w:r>
      <w:r w:rsidR="00A40F77" w:rsidRPr="00A40F77">
        <w:rPr>
          <w:rFonts w:ascii="Arial" w:hAnsi="Arial" w:cs="Arial"/>
          <w:sz w:val="24"/>
          <w:szCs w:val="24"/>
          <w:lang w:val="en-US"/>
        </w:rPr>
        <w:t>Consequently,</w:t>
      </w:r>
      <w:r w:rsidR="00DB778B" w:rsidRPr="00A40F77">
        <w:rPr>
          <w:rFonts w:ascii="Arial" w:hAnsi="Arial" w:cs="Arial"/>
          <w:sz w:val="24"/>
          <w:szCs w:val="24"/>
          <w:lang w:val="en-US"/>
        </w:rPr>
        <w:t xml:space="preserve"> </w:t>
      </w:r>
      <w:r w:rsidR="00A40F77" w:rsidRPr="00A40F77">
        <w:rPr>
          <w:rFonts w:ascii="Arial" w:hAnsi="Arial" w:cs="Arial"/>
          <w:sz w:val="24"/>
          <w:szCs w:val="24"/>
          <w:lang w:val="en-US"/>
        </w:rPr>
        <w:t xml:space="preserve">it was impossible to sever </w:t>
      </w:r>
      <w:r w:rsidR="00DB778B" w:rsidRPr="00A40F77">
        <w:rPr>
          <w:rFonts w:ascii="Arial" w:hAnsi="Arial" w:cs="Arial"/>
          <w:sz w:val="24"/>
          <w:szCs w:val="24"/>
          <w:lang w:val="en-US"/>
        </w:rPr>
        <w:t>the reservation</w:t>
      </w:r>
      <w:r w:rsidRPr="00D710EA">
        <w:rPr>
          <w:rFonts w:ascii="Arial" w:hAnsi="Arial" w:cs="Arial"/>
          <w:color w:val="FF0000"/>
          <w:sz w:val="24"/>
          <w:szCs w:val="24"/>
          <w:lang w:val="en-US"/>
        </w:rPr>
        <w:t xml:space="preserve"> </w:t>
      </w:r>
      <w:r w:rsidRPr="00A40F77">
        <w:rPr>
          <w:rFonts w:ascii="Arial" w:hAnsi="Arial" w:cs="Arial"/>
          <w:sz w:val="24"/>
          <w:szCs w:val="24"/>
          <w:lang w:val="en-US"/>
        </w:rPr>
        <w:t xml:space="preserve">from </w:t>
      </w:r>
      <w:r w:rsidR="00A40F77" w:rsidRPr="00A40F77">
        <w:rPr>
          <w:rFonts w:ascii="Arial" w:hAnsi="Arial" w:cs="Arial"/>
          <w:sz w:val="24"/>
          <w:szCs w:val="24"/>
          <w:lang w:val="en-US"/>
        </w:rPr>
        <w:t>the Convention</w:t>
      </w:r>
      <w:r w:rsidRPr="00A40F77">
        <w:rPr>
          <w:rFonts w:ascii="Arial" w:hAnsi="Arial" w:cs="Arial"/>
          <w:sz w:val="24"/>
          <w:szCs w:val="24"/>
          <w:lang w:val="en-US"/>
        </w:rPr>
        <w:t>.</w:t>
      </w:r>
      <w:r w:rsidR="00B756E9">
        <w:rPr>
          <w:rFonts w:ascii="Arial" w:hAnsi="Arial" w:cs="Arial"/>
          <w:sz w:val="24"/>
          <w:szCs w:val="24"/>
          <w:lang w:val="en-US"/>
        </w:rPr>
        <w:t xml:space="preserve"> This meant that ignoring the reservations</w:t>
      </w:r>
      <w:r w:rsidR="00E87695">
        <w:rPr>
          <w:rFonts w:ascii="Arial" w:hAnsi="Arial" w:cs="Arial"/>
          <w:sz w:val="24"/>
          <w:szCs w:val="24"/>
          <w:lang w:val="en-US"/>
        </w:rPr>
        <w:t xml:space="preserve"> would result in the lapse of Turkey’s acceptance</w:t>
      </w:r>
      <w:r w:rsidRPr="00D710EA">
        <w:rPr>
          <w:rFonts w:ascii="Arial" w:hAnsi="Arial" w:cs="Arial"/>
          <w:color w:val="FF0000"/>
          <w:sz w:val="24"/>
          <w:szCs w:val="24"/>
          <w:lang w:val="en-US"/>
        </w:rPr>
        <w:t xml:space="preserve"> </w:t>
      </w:r>
      <w:r w:rsidRPr="00FF062E">
        <w:rPr>
          <w:rFonts w:ascii="Arial" w:hAnsi="Arial" w:cs="Arial"/>
          <w:sz w:val="24"/>
          <w:szCs w:val="24"/>
          <w:lang w:val="en-US"/>
        </w:rPr>
        <w:t xml:space="preserve">of </w:t>
      </w:r>
      <w:r w:rsidR="00FF062E" w:rsidRPr="00FF062E">
        <w:rPr>
          <w:rFonts w:ascii="Arial" w:hAnsi="Arial" w:cs="Arial"/>
          <w:sz w:val="24"/>
          <w:szCs w:val="24"/>
          <w:lang w:val="en-US"/>
        </w:rPr>
        <w:t xml:space="preserve">what the European Convention defines as </w:t>
      </w:r>
      <w:r w:rsidRPr="00FF062E">
        <w:rPr>
          <w:rFonts w:ascii="Arial" w:hAnsi="Arial" w:cs="Arial"/>
          <w:sz w:val="24"/>
          <w:szCs w:val="24"/>
          <w:lang w:val="en-US"/>
        </w:rPr>
        <w:t>the right of individual petition</w:t>
      </w:r>
      <w:r w:rsidR="00E87695" w:rsidRPr="00FF062E">
        <w:rPr>
          <w:rFonts w:ascii="Arial" w:hAnsi="Arial" w:cs="Arial"/>
          <w:sz w:val="24"/>
          <w:szCs w:val="24"/>
          <w:lang w:val="en-US"/>
        </w:rPr>
        <w:t>.</w:t>
      </w:r>
      <w:r w:rsidR="00E87695" w:rsidRPr="00FF062E">
        <w:rPr>
          <w:rStyle w:val="FootnoteReference"/>
          <w:rFonts w:ascii="Arial" w:hAnsi="Arial" w:cs="Arial"/>
          <w:sz w:val="24"/>
          <w:szCs w:val="24"/>
          <w:lang w:val="en-US"/>
        </w:rPr>
        <w:footnoteReference w:id="183"/>
      </w:r>
      <w:r w:rsidRPr="00D710EA">
        <w:rPr>
          <w:rFonts w:ascii="Arial" w:hAnsi="Arial" w:cs="Arial"/>
          <w:color w:val="FF0000"/>
          <w:sz w:val="24"/>
          <w:szCs w:val="24"/>
          <w:lang w:val="en-US"/>
        </w:rPr>
        <w:t xml:space="preserve"> </w:t>
      </w:r>
      <w:r w:rsidR="00890BCF" w:rsidRPr="00B00251">
        <w:rPr>
          <w:rFonts w:ascii="Arial" w:hAnsi="Arial" w:cs="Arial"/>
          <w:sz w:val="24"/>
          <w:szCs w:val="24"/>
          <w:lang w:val="en-US"/>
        </w:rPr>
        <w:t>But</w:t>
      </w:r>
      <w:r w:rsidRPr="00B00251">
        <w:rPr>
          <w:rFonts w:ascii="Arial" w:hAnsi="Arial" w:cs="Arial"/>
          <w:sz w:val="24"/>
          <w:szCs w:val="24"/>
          <w:lang w:val="en-US"/>
        </w:rPr>
        <w:t xml:space="preserve">, the Court </w:t>
      </w:r>
      <w:r w:rsidR="00724B55" w:rsidRPr="00B00251">
        <w:rPr>
          <w:rFonts w:ascii="Arial" w:hAnsi="Arial" w:cs="Arial"/>
          <w:sz w:val="24"/>
          <w:szCs w:val="24"/>
          <w:lang w:val="en-US"/>
        </w:rPr>
        <w:t>decided not</w:t>
      </w:r>
      <w:r w:rsidRPr="00B00251">
        <w:rPr>
          <w:rFonts w:ascii="Arial" w:hAnsi="Arial" w:cs="Arial"/>
          <w:sz w:val="24"/>
          <w:szCs w:val="24"/>
          <w:lang w:val="en-US"/>
        </w:rPr>
        <w:t xml:space="preserve"> to </w:t>
      </w:r>
      <w:r w:rsidR="00783D71" w:rsidRPr="00B00251">
        <w:rPr>
          <w:rFonts w:ascii="Arial" w:hAnsi="Arial" w:cs="Arial"/>
          <w:sz w:val="24"/>
          <w:szCs w:val="24"/>
          <w:lang w:val="en-US"/>
        </w:rPr>
        <w:t>distinguish</w:t>
      </w:r>
      <w:r w:rsidRPr="00B00251">
        <w:rPr>
          <w:rFonts w:ascii="Arial" w:hAnsi="Arial" w:cs="Arial"/>
          <w:sz w:val="24"/>
          <w:szCs w:val="24"/>
          <w:lang w:val="en-US"/>
        </w:rPr>
        <w:t xml:space="preserve"> the essentiali</w:t>
      </w:r>
      <w:r w:rsidR="00D17AFE" w:rsidRPr="00B00251">
        <w:rPr>
          <w:rFonts w:ascii="Arial" w:hAnsi="Arial" w:cs="Arial"/>
          <w:sz w:val="24"/>
          <w:szCs w:val="24"/>
          <w:lang w:val="en-US"/>
        </w:rPr>
        <w:t xml:space="preserve">ty of </w:t>
      </w:r>
      <w:r w:rsidR="00724B55" w:rsidRPr="00B00251">
        <w:rPr>
          <w:rFonts w:ascii="Arial" w:hAnsi="Arial" w:cs="Arial"/>
          <w:sz w:val="24"/>
          <w:szCs w:val="24"/>
          <w:lang w:val="en-US"/>
        </w:rPr>
        <w:t xml:space="preserve">the reservations verified by </w:t>
      </w:r>
      <w:r w:rsidRPr="00B00251">
        <w:rPr>
          <w:rFonts w:ascii="Arial" w:hAnsi="Arial" w:cs="Arial"/>
          <w:sz w:val="24"/>
          <w:szCs w:val="24"/>
          <w:lang w:val="en-US"/>
        </w:rPr>
        <w:t>Turkey’s statements.</w:t>
      </w:r>
      <w:r w:rsidRPr="00D710EA">
        <w:rPr>
          <w:rFonts w:ascii="Arial" w:hAnsi="Arial" w:cs="Arial"/>
          <w:color w:val="FF0000"/>
          <w:sz w:val="24"/>
          <w:szCs w:val="24"/>
          <w:lang w:val="en-US"/>
        </w:rPr>
        <w:t xml:space="preserve"> </w:t>
      </w:r>
      <w:r w:rsidR="00B5533F" w:rsidRPr="003B5441">
        <w:rPr>
          <w:rFonts w:ascii="Arial" w:hAnsi="Arial" w:cs="Arial"/>
          <w:sz w:val="24"/>
          <w:szCs w:val="24"/>
          <w:lang w:val="en-US"/>
        </w:rPr>
        <w:t>The ECtHR instead decided</w:t>
      </w:r>
      <w:r w:rsidRPr="003B5441">
        <w:rPr>
          <w:rFonts w:ascii="Arial" w:hAnsi="Arial" w:cs="Arial"/>
          <w:sz w:val="24"/>
          <w:szCs w:val="24"/>
          <w:lang w:val="en-US"/>
        </w:rPr>
        <w:t xml:space="preserve"> that Turkey </w:t>
      </w:r>
      <w:r w:rsidR="00B5533F" w:rsidRPr="003B5441">
        <w:rPr>
          <w:rFonts w:ascii="Arial" w:hAnsi="Arial" w:cs="Arial"/>
          <w:sz w:val="24"/>
          <w:szCs w:val="24"/>
          <w:lang w:val="en-US"/>
        </w:rPr>
        <w:t>would</w:t>
      </w:r>
      <w:r w:rsidRPr="003B5441">
        <w:rPr>
          <w:rFonts w:ascii="Arial" w:hAnsi="Arial" w:cs="Arial"/>
          <w:sz w:val="24"/>
          <w:szCs w:val="24"/>
          <w:lang w:val="en-US"/>
        </w:rPr>
        <w:t xml:space="preserve"> </w:t>
      </w:r>
      <w:r w:rsidR="00EC2C8B">
        <w:rPr>
          <w:rFonts w:ascii="Arial" w:hAnsi="Arial" w:cs="Arial"/>
          <w:sz w:val="24"/>
          <w:szCs w:val="24"/>
          <w:lang w:val="en-US"/>
        </w:rPr>
        <w:t xml:space="preserve">certainly </w:t>
      </w:r>
      <w:r w:rsidRPr="003B5441">
        <w:rPr>
          <w:rFonts w:ascii="Arial" w:hAnsi="Arial" w:cs="Arial"/>
          <w:sz w:val="24"/>
          <w:szCs w:val="24"/>
          <w:lang w:val="en-US"/>
        </w:rPr>
        <w:t>have</w:t>
      </w:r>
      <w:r w:rsidRPr="00D710EA">
        <w:rPr>
          <w:rFonts w:ascii="Arial" w:hAnsi="Arial" w:cs="Arial"/>
          <w:color w:val="FF0000"/>
          <w:sz w:val="24"/>
          <w:szCs w:val="24"/>
          <w:lang w:val="en-US"/>
        </w:rPr>
        <w:t xml:space="preserve"> </w:t>
      </w:r>
      <w:r w:rsidR="00B5533F" w:rsidRPr="003B5441">
        <w:rPr>
          <w:rFonts w:ascii="Arial" w:hAnsi="Arial" w:cs="Arial"/>
          <w:sz w:val="24"/>
          <w:szCs w:val="24"/>
          <w:lang w:val="en-US"/>
        </w:rPr>
        <w:t xml:space="preserve">known </w:t>
      </w:r>
      <w:r w:rsidR="00EE0A3F" w:rsidRPr="00EE0A3F">
        <w:rPr>
          <w:rFonts w:ascii="Arial" w:hAnsi="Arial" w:cs="Arial"/>
          <w:sz w:val="24"/>
          <w:szCs w:val="24"/>
          <w:lang w:val="en-US"/>
        </w:rPr>
        <w:t>about</w:t>
      </w:r>
      <w:r w:rsidRPr="00EE0A3F">
        <w:rPr>
          <w:rFonts w:ascii="Arial" w:hAnsi="Arial" w:cs="Arial"/>
          <w:sz w:val="24"/>
          <w:szCs w:val="24"/>
          <w:lang w:val="en-US"/>
        </w:rPr>
        <w:t xml:space="preserve"> the </w:t>
      </w:r>
      <w:r w:rsidR="00EE0A3F" w:rsidRPr="00EE0A3F">
        <w:rPr>
          <w:rFonts w:ascii="Arial" w:hAnsi="Arial" w:cs="Arial"/>
          <w:sz w:val="24"/>
          <w:szCs w:val="24"/>
          <w:lang w:val="en-US"/>
        </w:rPr>
        <w:t>unacceptability</w:t>
      </w:r>
      <w:r w:rsidRPr="00EE0A3F">
        <w:rPr>
          <w:rFonts w:ascii="Arial" w:hAnsi="Arial" w:cs="Arial"/>
          <w:sz w:val="24"/>
          <w:szCs w:val="24"/>
          <w:lang w:val="en-US"/>
        </w:rPr>
        <w:t xml:space="preserve"> of its reservation</w:t>
      </w:r>
      <w:r w:rsidR="00EC2C8B">
        <w:rPr>
          <w:rFonts w:ascii="Arial" w:hAnsi="Arial" w:cs="Arial"/>
          <w:sz w:val="24"/>
          <w:szCs w:val="24"/>
          <w:lang w:val="en-US"/>
        </w:rPr>
        <w:t>,</w:t>
      </w:r>
      <w:r w:rsidRPr="00EE0A3F">
        <w:rPr>
          <w:rFonts w:ascii="Arial" w:hAnsi="Arial" w:cs="Arial"/>
          <w:sz w:val="24"/>
          <w:szCs w:val="24"/>
          <w:lang w:val="en-US"/>
        </w:rPr>
        <w:t xml:space="preserve"> </w:t>
      </w:r>
      <w:r w:rsidR="00EE0A3F" w:rsidRPr="00EE0A3F">
        <w:rPr>
          <w:rFonts w:ascii="Arial" w:hAnsi="Arial" w:cs="Arial"/>
          <w:sz w:val="24"/>
          <w:szCs w:val="24"/>
          <w:lang w:val="en-US"/>
        </w:rPr>
        <w:t>owing to</w:t>
      </w:r>
      <w:r w:rsidRPr="00EE0A3F">
        <w:rPr>
          <w:rFonts w:ascii="Arial" w:hAnsi="Arial" w:cs="Arial"/>
          <w:sz w:val="24"/>
          <w:szCs w:val="24"/>
          <w:lang w:val="en-US"/>
        </w:rPr>
        <w:t xml:space="preserve"> consistent </w:t>
      </w:r>
      <w:r w:rsidR="00EE0A3F" w:rsidRPr="00EE0A3F">
        <w:rPr>
          <w:rFonts w:ascii="Arial" w:hAnsi="Arial" w:cs="Arial"/>
          <w:sz w:val="24"/>
          <w:szCs w:val="24"/>
          <w:lang w:val="en-US"/>
        </w:rPr>
        <w:t xml:space="preserve">state </w:t>
      </w:r>
      <w:r w:rsidRPr="00EE0A3F">
        <w:rPr>
          <w:rFonts w:ascii="Arial" w:hAnsi="Arial" w:cs="Arial"/>
          <w:sz w:val="24"/>
          <w:szCs w:val="24"/>
          <w:lang w:val="en-US"/>
        </w:rPr>
        <w:t>practic</w:t>
      </w:r>
      <w:r w:rsidR="004C5152" w:rsidRPr="00EE0A3F">
        <w:rPr>
          <w:rFonts w:ascii="Arial" w:hAnsi="Arial" w:cs="Arial"/>
          <w:sz w:val="24"/>
          <w:szCs w:val="24"/>
          <w:lang w:val="en-US"/>
        </w:rPr>
        <w:t>e.</w:t>
      </w:r>
      <w:r w:rsidR="004C5152" w:rsidRPr="00EE0A3F">
        <w:rPr>
          <w:rStyle w:val="FootnoteReference"/>
          <w:rFonts w:ascii="Arial" w:hAnsi="Arial" w:cs="Arial"/>
          <w:sz w:val="24"/>
          <w:szCs w:val="24"/>
          <w:lang w:val="en-US"/>
        </w:rPr>
        <w:footnoteReference w:id="184"/>
      </w:r>
      <w:r w:rsidRPr="00D710EA">
        <w:rPr>
          <w:rFonts w:ascii="Arial" w:hAnsi="Arial" w:cs="Arial"/>
          <w:color w:val="FF0000"/>
          <w:sz w:val="24"/>
          <w:szCs w:val="24"/>
          <w:lang w:val="en-US"/>
        </w:rPr>
        <w:t xml:space="preserve"> </w:t>
      </w:r>
      <w:r w:rsidR="008B7BBC" w:rsidRPr="0007135D">
        <w:rPr>
          <w:rFonts w:ascii="Arial" w:hAnsi="Arial" w:cs="Arial"/>
          <w:sz w:val="24"/>
          <w:szCs w:val="24"/>
          <w:lang w:val="en-US"/>
        </w:rPr>
        <w:t>Other state parties</w:t>
      </w:r>
      <w:r w:rsidR="00822292" w:rsidRPr="0007135D">
        <w:rPr>
          <w:rFonts w:ascii="Arial" w:hAnsi="Arial" w:cs="Arial"/>
          <w:sz w:val="24"/>
          <w:szCs w:val="24"/>
          <w:lang w:val="en-US"/>
        </w:rPr>
        <w:t xml:space="preserve"> that made objections </w:t>
      </w:r>
      <w:r w:rsidR="0007135D" w:rsidRPr="0007135D">
        <w:rPr>
          <w:rFonts w:ascii="Arial" w:hAnsi="Arial" w:cs="Arial"/>
          <w:sz w:val="24"/>
          <w:szCs w:val="24"/>
          <w:lang w:val="en-US"/>
        </w:rPr>
        <w:t>when the reservation was created</w:t>
      </w:r>
      <w:r w:rsidR="0007135D">
        <w:rPr>
          <w:rFonts w:ascii="Arial" w:hAnsi="Arial" w:cs="Arial"/>
          <w:sz w:val="24"/>
          <w:szCs w:val="24"/>
          <w:lang w:val="en-US"/>
        </w:rPr>
        <w:t xml:space="preserve"> gave credibility</w:t>
      </w:r>
      <w:r w:rsidR="008B7BBC">
        <w:rPr>
          <w:rFonts w:ascii="Arial" w:hAnsi="Arial" w:cs="Arial"/>
          <w:color w:val="FF0000"/>
          <w:sz w:val="24"/>
          <w:szCs w:val="24"/>
          <w:lang w:val="en-US"/>
        </w:rPr>
        <w:t xml:space="preserve"> </w:t>
      </w:r>
      <w:r w:rsidRPr="0007135D">
        <w:rPr>
          <w:rFonts w:ascii="Arial" w:hAnsi="Arial" w:cs="Arial"/>
          <w:sz w:val="24"/>
          <w:szCs w:val="24"/>
          <w:lang w:val="en-US"/>
        </w:rPr>
        <w:t xml:space="preserve">to </w:t>
      </w:r>
      <w:r w:rsidR="0007135D" w:rsidRPr="0007135D">
        <w:rPr>
          <w:rFonts w:ascii="Arial" w:hAnsi="Arial" w:cs="Arial"/>
          <w:sz w:val="24"/>
          <w:szCs w:val="24"/>
          <w:lang w:val="en-US"/>
        </w:rPr>
        <w:t>contentions</w:t>
      </w:r>
      <w:r w:rsidR="00F7042D">
        <w:rPr>
          <w:rFonts w:ascii="Arial" w:hAnsi="Arial" w:cs="Arial"/>
          <w:sz w:val="24"/>
          <w:szCs w:val="24"/>
          <w:lang w:val="en-US"/>
        </w:rPr>
        <w:t xml:space="preserve"> that the reserving state of Turkey</w:t>
      </w:r>
      <w:r w:rsidRPr="00F7042D">
        <w:rPr>
          <w:rFonts w:ascii="Arial" w:hAnsi="Arial" w:cs="Arial"/>
          <w:sz w:val="24"/>
          <w:szCs w:val="24"/>
          <w:lang w:val="en-US"/>
        </w:rPr>
        <w:t xml:space="preserve"> </w:t>
      </w:r>
      <w:r w:rsidR="00F7042D" w:rsidRPr="00F7042D">
        <w:rPr>
          <w:rFonts w:ascii="Arial" w:hAnsi="Arial" w:cs="Arial"/>
          <w:sz w:val="24"/>
          <w:szCs w:val="24"/>
          <w:lang w:val="en-US"/>
        </w:rPr>
        <w:t xml:space="preserve">ought to have had prior knowledge about </w:t>
      </w:r>
      <w:r w:rsidRPr="00F7042D">
        <w:rPr>
          <w:rFonts w:ascii="Arial" w:hAnsi="Arial" w:cs="Arial"/>
          <w:sz w:val="24"/>
          <w:szCs w:val="24"/>
          <w:lang w:val="en-US"/>
        </w:rPr>
        <w:t xml:space="preserve">the </w:t>
      </w:r>
      <w:r w:rsidR="004C5152" w:rsidRPr="00F7042D">
        <w:rPr>
          <w:rFonts w:ascii="Arial" w:hAnsi="Arial" w:cs="Arial"/>
          <w:sz w:val="24"/>
          <w:szCs w:val="24"/>
          <w:lang w:val="en-US"/>
        </w:rPr>
        <w:t>invalidity of its reservation.</w:t>
      </w:r>
      <w:r w:rsidR="004C5152" w:rsidRPr="00F7042D">
        <w:rPr>
          <w:rStyle w:val="FootnoteReference"/>
          <w:rFonts w:ascii="Arial" w:hAnsi="Arial" w:cs="Arial"/>
          <w:sz w:val="24"/>
          <w:szCs w:val="24"/>
          <w:lang w:val="en-US"/>
        </w:rPr>
        <w:footnoteReference w:id="185"/>
      </w:r>
      <w:r w:rsidRPr="00D710EA">
        <w:rPr>
          <w:rFonts w:ascii="Arial" w:hAnsi="Arial" w:cs="Arial"/>
          <w:color w:val="FF0000"/>
          <w:sz w:val="24"/>
          <w:szCs w:val="24"/>
          <w:lang w:val="en-US"/>
        </w:rPr>
        <w:t xml:space="preserve"> </w:t>
      </w:r>
    </w:p>
    <w:p w14:paraId="4A3C7511" w14:textId="7FFF44CF" w:rsidR="00813917" w:rsidRPr="00A34D67" w:rsidRDefault="00DD3EE1" w:rsidP="00401E4C">
      <w:pPr>
        <w:tabs>
          <w:tab w:val="left" w:pos="3544"/>
        </w:tabs>
        <w:spacing w:line="480" w:lineRule="auto"/>
        <w:rPr>
          <w:rFonts w:ascii="Arial" w:hAnsi="Arial" w:cs="Arial"/>
          <w:color w:val="FF0000"/>
          <w:sz w:val="24"/>
          <w:szCs w:val="24"/>
          <w:lang w:val="en-US"/>
        </w:rPr>
      </w:pPr>
      <w:r w:rsidRPr="00DD3EE1">
        <w:rPr>
          <w:rFonts w:ascii="Arial" w:hAnsi="Arial" w:cs="Arial"/>
          <w:sz w:val="24"/>
          <w:szCs w:val="24"/>
          <w:lang w:val="en-US"/>
        </w:rPr>
        <w:t>This misleading sentiment from Turkey</w:t>
      </w:r>
      <w:r w:rsidR="00813917" w:rsidRPr="00DD3EE1">
        <w:rPr>
          <w:rFonts w:ascii="Arial" w:hAnsi="Arial" w:cs="Arial"/>
          <w:sz w:val="24"/>
          <w:szCs w:val="24"/>
          <w:lang w:val="en-US"/>
        </w:rPr>
        <w:t xml:space="preserve"> ‘indicates a willingness on her part to run the risk that the limitation clauses at issue would be declared invalid by the Convention institutions without affecting the validity of</w:t>
      </w:r>
      <w:r w:rsidR="004C5152" w:rsidRPr="00DD3EE1">
        <w:rPr>
          <w:rFonts w:ascii="Arial" w:hAnsi="Arial" w:cs="Arial"/>
          <w:sz w:val="24"/>
          <w:szCs w:val="24"/>
          <w:lang w:val="en-US"/>
        </w:rPr>
        <w:t xml:space="preserve"> the declarations themselves’.</w:t>
      </w:r>
      <w:r w:rsidR="004C5152" w:rsidRPr="00DD3EE1">
        <w:rPr>
          <w:rStyle w:val="FootnoteReference"/>
          <w:rFonts w:ascii="Arial" w:hAnsi="Arial" w:cs="Arial"/>
          <w:sz w:val="24"/>
          <w:szCs w:val="24"/>
          <w:lang w:val="en-US"/>
        </w:rPr>
        <w:footnoteReference w:id="186"/>
      </w:r>
      <w:r w:rsidR="00813917" w:rsidRPr="00D710EA">
        <w:rPr>
          <w:rFonts w:ascii="Arial" w:hAnsi="Arial" w:cs="Arial"/>
          <w:color w:val="FF0000"/>
          <w:sz w:val="24"/>
          <w:szCs w:val="24"/>
          <w:lang w:val="en-US"/>
        </w:rPr>
        <w:t xml:space="preserve"> </w:t>
      </w:r>
      <w:r w:rsidR="00BA3ED0">
        <w:rPr>
          <w:rFonts w:ascii="Arial" w:hAnsi="Arial" w:cs="Arial"/>
          <w:sz w:val="24"/>
          <w:szCs w:val="24"/>
          <w:lang w:val="en-US"/>
        </w:rPr>
        <w:t>If we apply a rigorous standard to this scenario in future, then</w:t>
      </w:r>
      <w:r>
        <w:rPr>
          <w:rFonts w:ascii="Arial" w:hAnsi="Arial" w:cs="Arial"/>
          <w:sz w:val="24"/>
          <w:szCs w:val="24"/>
          <w:lang w:val="en-US"/>
        </w:rPr>
        <w:t xml:space="preserve"> if a state </w:t>
      </w:r>
      <w:r w:rsidR="00CE7F73">
        <w:rPr>
          <w:rFonts w:ascii="Arial" w:hAnsi="Arial" w:cs="Arial"/>
          <w:sz w:val="24"/>
          <w:szCs w:val="24"/>
          <w:lang w:val="en-US"/>
        </w:rPr>
        <w:t>o</w:t>
      </w:r>
      <w:r w:rsidR="00BA3ED0">
        <w:rPr>
          <w:rFonts w:ascii="Arial" w:hAnsi="Arial" w:cs="Arial"/>
          <w:sz w:val="24"/>
          <w:szCs w:val="24"/>
          <w:lang w:val="en-US"/>
        </w:rPr>
        <w:t>ught to have been aware that it</w:t>
      </w:r>
      <w:r w:rsidR="00CE7F73">
        <w:rPr>
          <w:rFonts w:ascii="Arial" w:hAnsi="Arial" w:cs="Arial"/>
          <w:sz w:val="24"/>
          <w:szCs w:val="24"/>
          <w:lang w:val="en-US"/>
        </w:rPr>
        <w:t xml:space="preserve"> had made an invalid reservation, then that reservation’s inessentiality</w:t>
      </w:r>
      <w:r w:rsidR="00BA3ED0">
        <w:rPr>
          <w:rFonts w:ascii="Arial" w:hAnsi="Arial" w:cs="Arial"/>
          <w:sz w:val="24"/>
          <w:szCs w:val="24"/>
          <w:lang w:val="en-US"/>
        </w:rPr>
        <w:t xml:space="preserve"> to the state’s consent will be confirmed and will therefore be severed</w:t>
      </w:r>
      <w:r w:rsidR="00BA3ED0" w:rsidRPr="00BA3ED0">
        <w:rPr>
          <w:rFonts w:ascii="Arial" w:hAnsi="Arial" w:cs="Arial"/>
          <w:sz w:val="24"/>
          <w:szCs w:val="24"/>
          <w:lang w:val="en-US"/>
        </w:rPr>
        <w:t>. The downside of this approach is that t</w:t>
      </w:r>
      <w:r w:rsidR="00813917" w:rsidRPr="00BA3ED0">
        <w:rPr>
          <w:rFonts w:ascii="Arial" w:hAnsi="Arial" w:cs="Arial"/>
          <w:sz w:val="24"/>
          <w:szCs w:val="24"/>
          <w:lang w:val="en-US"/>
        </w:rPr>
        <w:t>his</w:t>
      </w:r>
      <w:r w:rsidR="00BD6319">
        <w:rPr>
          <w:rFonts w:ascii="Arial" w:hAnsi="Arial" w:cs="Arial"/>
          <w:sz w:val="24"/>
          <w:szCs w:val="24"/>
          <w:lang w:val="en-US"/>
        </w:rPr>
        <w:t xml:space="preserve"> would </w:t>
      </w:r>
      <w:r w:rsidR="001F58AA">
        <w:rPr>
          <w:rFonts w:ascii="Arial" w:hAnsi="Arial" w:cs="Arial"/>
          <w:sz w:val="24"/>
          <w:szCs w:val="24"/>
          <w:lang w:val="en-US"/>
        </w:rPr>
        <w:t>pressure</w:t>
      </w:r>
      <w:r w:rsidR="00813917" w:rsidRPr="00D710EA">
        <w:rPr>
          <w:rFonts w:ascii="Arial" w:hAnsi="Arial" w:cs="Arial"/>
          <w:color w:val="FF0000"/>
          <w:sz w:val="24"/>
          <w:szCs w:val="24"/>
          <w:lang w:val="en-US"/>
        </w:rPr>
        <w:t xml:space="preserve"> </w:t>
      </w:r>
      <w:r w:rsidR="00813917" w:rsidRPr="00E0499E">
        <w:rPr>
          <w:rFonts w:ascii="Arial" w:hAnsi="Arial" w:cs="Arial"/>
          <w:sz w:val="24"/>
          <w:szCs w:val="24"/>
          <w:lang w:val="en-US"/>
        </w:rPr>
        <w:t xml:space="preserve">states </w:t>
      </w:r>
      <w:r w:rsidR="001F58AA" w:rsidRPr="00E0499E">
        <w:rPr>
          <w:rFonts w:ascii="Arial" w:hAnsi="Arial" w:cs="Arial"/>
          <w:sz w:val="24"/>
          <w:szCs w:val="24"/>
          <w:lang w:val="en-US"/>
        </w:rPr>
        <w:t>in</w:t>
      </w:r>
      <w:r w:rsidR="00813917" w:rsidRPr="00E0499E">
        <w:rPr>
          <w:rFonts w:ascii="Arial" w:hAnsi="Arial" w:cs="Arial"/>
          <w:sz w:val="24"/>
          <w:szCs w:val="24"/>
          <w:lang w:val="en-US"/>
        </w:rPr>
        <w:t xml:space="preserve">to </w:t>
      </w:r>
      <w:r w:rsidR="00813917" w:rsidRPr="008D57A3">
        <w:rPr>
          <w:rFonts w:ascii="Arial" w:hAnsi="Arial" w:cs="Arial"/>
          <w:sz w:val="24"/>
          <w:szCs w:val="24"/>
          <w:lang w:val="en-US"/>
        </w:rPr>
        <w:t>tak</w:t>
      </w:r>
      <w:r w:rsidR="001F58AA" w:rsidRPr="008D57A3">
        <w:rPr>
          <w:rFonts w:ascii="Arial" w:hAnsi="Arial" w:cs="Arial"/>
          <w:sz w:val="24"/>
          <w:szCs w:val="24"/>
          <w:lang w:val="en-US"/>
        </w:rPr>
        <w:t>ing</w:t>
      </w:r>
      <w:r w:rsidR="00813917" w:rsidRPr="008D57A3">
        <w:rPr>
          <w:rFonts w:ascii="Arial" w:hAnsi="Arial" w:cs="Arial"/>
          <w:sz w:val="24"/>
          <w:szCs w:val="24"/>
          <w:lang w:val="en-US"/>
        </w:rPr>
        <w:t xml:space="preserve"> </w:t>
      </w:r>
      <w:r w:rsidR="00E0499E" w:rsidRPr="008D57A3">
        <w:rPr>
          <w:rFonts w:ascii="Arial" w:hAnsi="Arial" w:cs="Arial"/>
          <w:sz w:val="24"/>
          <w:szCs w:val="24"/>
          <w:lang w:val="en-US"/>
        </w:rPr>
        <w:t>‘</w:t>
      </w:r>
      <w:r w:rsidR="001F58AA" w:rsidRPr="008D57A3">
        <w:rPr>
          <w:rFonts w:ascii="Arial" w:hAnsi="Arial" w:cs="Arial"/>
          <w:sz w:val="24"/>
          <w:szCs w:val="24"/>
          <w:lang w:val="en-US"/>
        </w:rPr>
        <w:t>more</w:t>
      </w:r>
      <w:r w:rsidR="00813917" w:rsidRPr="008D57A3">
        <w:rPr>
          <w:rFonts w:ascii="Arial" w:hAnsi="Arial" w:cs="Arial"/>
          <w:sz w:val="24"/>
          <w:szCs w:val="24"/>
          <w:lang w:val="en-US"/>
        </w:rPr>
        <w:t xml:space="preserve"> responsibility </w:t>
      </w:r>
      <w:r w:rsidR="00E0499E" w:rsidRPr="008D57A3">
        <w:rPr>
          <w:rFonts w:ascii="Arial" w:hAnsi="Arial" w:cs="Arial"/>
          <w:sz w:val="24"/>
          <w:szCs w:val="24"/>
          <w:lang w:val="en-US"/>
        </w:rPr>
        <w:t>in</w:t>
      </w:r>
      <w:r w:rsidR="001F58AA" w:rsidRPr="008D57A3">
        <w:rPr>
          <w:rFonts w:ascii="Arial" w:hAnsi="Arial" w:cs="Arial"/>
          <w:sz w:val="24"/>
          <w:szCs w:val="24"/>
          <w:lang w:val="en-US"/>
        </w:rPr>
        <w:t xml:space="preserve"> the </w:t>
      </w:r>
      <w:r w:rsidR="00813917" w:rsidRPr="008D57A3">
        <w:rPr>
          <w:rFonts w:ascii="Arial" w:hAnsi="Arial" w:cs="Arial"/>
          <w:sz w:val="24"/>
          <w:szCs w:val="24"/>
          <w:lang w:val="en-US"/>
        </w:rPr>
        <w:t>negotiation of human rights treaties and the formulation of reservations</w:t>
      </w:r>
      <w:r w:rsidR="00E0499E" w:rsidRPr="008D57A3">
        <w:rPr>
          <w:rFonts w:ascii="Arial" w:hAnsi="Arial" w:cs="Arial"/>
          <w:sz w:val="24"/>
          <w:szCs w:val="24"/>
          <w:lang w:val="en-US"/>
        </w:rPr>
        <w:t>’</w:t>
      </w:r>
      <w:r w:rsidR="00813917" w:rsidRPr="008D57A3">
        <w:rPr>
          <w:rFonts w:ascii="Arial" w:hAnsi="Arial" w:cs="Arial"/>
          <w:sz w:val="24"/>
          <w:szCs w:val="24"/>
          <w:lang w:val="en-US"/>
        </w:rPr>
        <w:t>.</w:t>
      </w:r>
      <w:r w:rsidR="00E0499E" w:rsidRPr="008D57A3">
        <w:rPr>
          <w:rStyle w:val="FootnoteReference"/>
          <w:rFonts w:ascii="Arial" w:hAnsi="Arial" w:cs="Arial"/>
          <w:sz w:val="24"/>
          <w:szCs w:val="24"/>
          <w:lang w:val="en-US"/>
        </w:rPr>
        <w:footnoteReference w:id="187"/>
      </w:r>
      <w:r w:rsidR="00813917" w:rsidRPr="00D710EA">
        <w:rPr>
          <w:rFonts w:ascii="Arial" w:hAnsi="Arial" w:cs="Arial"/>
          <w:color w:val="FF0000"/>
          <w:sz w:val="24"/>
          <w:szCs w:val="24"/>
          <w:lang w:val="en-US"/>
        </w:rPr>
        <w:t xml:space="preserve"> </w:t>
      </w:r>
      <w:r w:rsidR="00AB2037">
        <w:rPr>
          <w:rFonts w:ascii="Arial" w:hAnsi="Arial" w:cs="Arial"/>
          <w:sz w:val="24"/>
          <w:szCs w:val="24"/>
          <w:lang w:val="en-US"/>
        </w:rPr>
        <w:t>S</w:t>
      </w:r>
      <w:r w:rsidR="00CA709B">
        <w:rPr>
          <w:rFonts w:ascii="Arial" w:hAnsi="Arial" w:cs="Arial"/>
          <w:sz w:val="24"/>
          <w:szCs w:val="24"/>
          <w:lang w:val="en-US"/>
        </w:rPr>
        <w:t xml:space="preserve">uch states </w:t>
      </w:r>
      <w:r w:rsidR="00AB2037">
        <w:rPr>
          <w:rFonts w:ascii="Arial" w:hAnsi="Arial" w:cs="Arial"/>
          <w:sz w:val="24"/>
          <w:szCs w:val="24"/>
          <w:lang w:val="en-US"/>
        </w:rPr>
        <w:t xml:space="preserve">also </w:t>
      </w:r>
      <w:r w:rsidR="00CA709B">
        <w:rPr>
          <w:rFonts w:ascii="Arial" w:hAnsi="Arial" w:cs="Arial"/>
          <w:sz w:val="24"/>
          <w:szCs w:val="24"/>
          <w:lang w:val="en-US"/>
        </w:rPr>
        <w:t xml:space="preserve">need to </w:t>
      </w:r>
      <w:r w:rsidR="00813917" w:rsidRPr="00CA709B">
        <w:rPr>
          <w:rFonts w:ascii="Arial" w:hAnsi="Arial" w:cs="Arial"/>
          <w:sz w:val="24"/>
          <w:szCs w:val="24"/>
          <w:lang w:val="en-US"/>
        </w:rPr>
        <w:t>have</w:t>
      </w:r>
      <w:r w:rsidR="00813917" w:rsidRPr="00D710EA">
        <w:rPr>
          <w:rFonts w:ascii="Arial" w:hAnsi="Arial" w:cs="Arial"/>
          <w:color w:val="FF0000"/>
          <w:sz w:val="24"/>
          <w:szCs w:val="24"/>
          <w:lang w:val="en-US"/>
        </w:rPr>
        <w:t xml:space="preserve"> </w:t>
      </w:r>
      <w:r w:rsidR="00813917" w:rsidRPr="00493621">
        <w:rPr>
          <w:rFonts w:ascii="Arial" w:hAnsi="Arial" w:cs="Arial"/>
          <w:sz w:val="24"/>
          <w:szCs w:val="24"/>
          <w:lang w:val="en-US"/>
        </w:rPr>
        <w:t xml:space="preserve">the </w:t>
      </w:r>
      <w:r w:rsidR="00493621" w:rsidRPr="0024125F">
        <w:rPr>
          <w:rFonts w:ascii="Arial" w:hAnsi="Arial" w:cs="Arial"/>
          <w:sz w:val="24"/>
          <w:szCs w:val="24"/>
          <w:lang w:val="en-US"/>
        </w:rPr>
        <w:t>opportunity</w:t>
      </w:r>
      <w:r w:rsidR="00813917" w:rsidRPr="0024125F">
        <w:rPr>
          <w:rFonts w:ascii="Arial" w:hAnsi="Arial" w:cs="Arial"/>
          <w:sz w:val="24"/>
          <w:szCs w:val="24"/>
          <w:lang w:val="en-US"/>
        </w:rPr>
        <w:t xml:space="preserve"> </w:t>
      </w:r>
      <w:r w:rsidR="00493621" w:rsidRPr="0024125F">
        <w:rPr>
          <w:rFonts w:ascii="Arial" w:hAnsi="Arial" w:cs="Arial"/>
          <w:sz w:val="24"/>
          <w:szCs w:val="24"/>
          <w:lang w:val="en-US"/>
        </w:rPr>
        <w:t xml:space="preserve">to break </w:t>
      </w:r>
      <w:r w:rsidR="00813917" w:rsidRPr="0024125F">
        <w:rPr>
          <w:rFonts w:ascii="Arial" w:hAnsi="Arial" w:cs="Arial"/>
          <w:sz w:val="24"/>
          <w:szCs w:val="24"/>
          <w:lang w:val="en-US"/>
        </w:rPr>
        <w:t>from a treaty,</w:t>
      </w:r>
      <w:r w:rsidR="00CA709B" w:rsidRPr="0024125F">
        <w:rPr>
          <w:rFonts w:ascii="Arial" w:hAnsi="Arial" w:cs="Arial"/>
          <w:sz w:val="24"/>
          <w:szCs w:val="24"/>
          <w:lang w:val="en-US"/>
        </w:rPr>
        <w:t xml:space="preserve"> before</w:t>
      </w:r>
      <w:r w:rsidR="00AB2037" w:rsidRPr="0024125F">
        <w:rPr>
          <w:rFonts w:ascii="Arial" w:hAnsi="Arial" w:cs="Arial"/>
          <w:sz w:val="24"/>
          <w:szCs w:val="24"/>
          <w:lang w:val="en-US"/>
        </w:rPr>
        <w:t xml:space="preserve"> re</w:t>
      </w:r>
      <w:r w:rsidR="0043073A" w:rsidRPr="0024125F">
        <w:rPr>
          <w:rFonts w:ascii="Arial" w:hAnsi="Arial" w:cs="Arial"/>
          <w:sz w:val="24"/>
          <w:szCs w:val="24"/>
          <w:lang w:val="en-US"/>
        </w:rPr>
        <w:t>submitting</w:t>
      </w:r>
      <w:r w:rsidR="00CA709B" w:rsidRPr="0024125F">
        <w:rPr>
          <w:rFonts w:ascii="Arial" w:hAnsi="Arial" w:cs="Arial"/>
          <w:sz w:val="24"/>
          <w:szCs w:val="24"/>
          <w:lang w:val="en-US"/>
        </w:rPr>
        <w:t xml:space="preserve"> </w:t>
      </w:r>
      <w:r w:rsidR="00813917" w:rsidRPr="0024125F">
        <w:rPr>
          <w:rFonts w:ascii="Arial" w:hAnsi="Arial" w:cs="Arial"/>
          <w:sz w:val="24"/>
          <w:szCs w:val="24"/>
          <w:lang w:val="en-US"/>
        </w:rPr>
        <w:t xml:space="preserve">the </w:t>
      </w:r>
      <w:r w:rsidR="0024125F" w:rsidRPr="0024125F">
        <w:rPr>
          <w:rFonts w:ascii="Arial" w:hAnsi="Arial" w:cs="Arial"/>
          <w:sz w:val="24"/>
          <w:szCs w:val="24"/>
          <w:lang w:val="en-US"/>
        </w:rPr>
        <w:t>invalid</w:t>
      </w:r>
      <w:r w:rsidR="004C5152" w:rsidRPr="0024125F">
        <w:rPr>
          <w:rFonts w:ascii="Arial" w:hAnsi="Arial" w:cs="Arial"/>
          <w:sz w:val="24"/>
          <w:szCs w:val="24"/>
          <w:lang w:val="en-US"/>
        </w:rPr>
        <w:t xml:space="preserve"> reservation.</w:t>
      </w:r>
      <w:r w:rsidR="004C5152" w:rsidRPr="0024125F">
        <w:rPr>
          <w:rStyle w:val="FootnoteReference"/>
          <w:rFonts w:ascii="Arial" w:hAnsi="Arial" w:cs="Arial"/>
          <w:sz w:val="24"/>
          <w:szCs w:val="24"/>
          <w:lang w:val="en-US"/>
        </w:rPr>
        <w:footnoteReference w:id="188"/>
      </w:r>
      <w:r w:rsidR="00813917" w:rsidRPr="00D710EA">
        <w:rPr>
          <w:rFonts w:ascii="Arial" w:hAnsi="Arial" w:cs="Arial"/>
          <w:color w:val="FF0000"/>
          <w:sz w:val="24"/>
          <w:szCs w:val="24"/>
          <w:lang w:val="en-US"/>
        </w:rPr>
        <w:t xml:space="preserve"> </w:t>
      </w:r>
      <w:r w:rsidR="007C5531" w:rsidRPr="00982DEA">
        <w:rPr>
          <w:rFonts w:ascii="Arial" w:hAnsi="Arial" w:cs="Arial"/>
          <w:sz w:val="24"/>
          <w:szCs w:val="24"/>
          <w:lang w:val="en-US"/>
        </w:rPr>
        <w:t>Essentially</w:t>
      </w:r>
      <w:r w:rsidR="006170DD" w:rsidRPr="00982DEA">
        <w:rPr>
          <w:rFonts w:ascii="Arial" w:hAnsi="Arial" w:cs="Arial"/>
          <w:sz w:val="24"/>
          <w:szCs w:val="24"/>
          <w:lang w:val="en-US"/>
        </w:rPr>
        <w:t xml:space="preserve">, </w:t>
      </w:r>
      <w:r w:rsidR="00813917" w:rsidRPr="00982DEA">
        <w:rPr>
          <w:rFonts w:ascii="Arial" w:hAnsi="Arial" w:cs="Arial"/>
          <w:sz w:val="24"/>
          <w:szCs w:val="24"/>
          <w:lang w:val="en-US"/>
        </w:rPr>
        <w:t xml:space="preserve">severability </w:t>
      </w:r>
      <w:r w:rsidR="00982DEA" w:rsidRPr="00982DEA">
        <w:rPr>
          <w:rFonts w:ascii="Arial" w:hAnsi="Arial" w:cs="Arial"/>
          <w:sz w:val="24"/>
          <w:szCs w:val="24"/>
          <w:lang w:val="en-US"/>
        </w:rPr>
        <w:t>undeniably</w:t>
      </w:r>
      <w:r w:rsidR="006170DD" w:rsidRPr="00982DEA">
        <w:rPr>
          <w:rFonts w:ascii="Arial" w:hAnsi="Arial" w:cs="Arial"/>
          <w:sz w:val="24"/>
          <w:szCs w:val="24"/>
          <w:lang w:val="en-US"/>
        </w:rPr>
        <w:t xml:space="preserve"> </w:t>
      </w:r>
      <w:r w:rsidR="00982DEA" w:rsidRPr="00982DEA">
        <w:rPr>
          <w:rFonts w:ascii="Arial" w:hAnsi="Arial" w:cs="Arial"/>
          <w:sz w:val="24"/>
          <w:szCs w:val="24"/>
          <w:lang w:val="en-US"/>
        </w:rPr>
        <w:t xml:space="preserve">generates a </w:t>
      </w:r>
      <w:r w:rsidR="00813917" w:rsidRPr="00982DEA">
        <w:rPr>
          <w:rFonts w:ascii="Arial" w:hAnsi="Arial" w:cs="Arial"/>
          <w:sz w:val="24"/>
          <w:szCs w:val="24"/>
          <w:lang w:val="en-US"/>
        </w:rPr>
        <w:t xml:space="preserve">presumption </w:t>
      </w:r>
      <w:r w:rsidR="00813917" w:rsidRPr="006837D9">
        <w:rPr>
          <w:rFonts w:ascii="Arial" w:hAnsi="Arial" w:cs="Arial"/>
          <w:sz w:val="24"/>
          <w:szCs w:val="24"/>
          <w:lang w:val="en-US"/>
        </w:rPr>
        <w:t xml:space="preserve">that states </w:t>
      </w:r>
      <w:r w:rsidR="006837D9" w:rsidRPr="006837D9">
        <w:rPr>
          <w:rFonts w:ascii="Arial" w:hAnsi="Arial" w:cs="Arial"/>
          <w:sz w:val="24"/>
          <w:szCs w:val="24"/>
          <w:lang w:val="en-US"/>
        </w:rPr>
        <w:t xml:space="preserve">still want to be </w:t>
      </w:r>
      <w:r w:rsidR="006837D9">
        <w:rPr>
          <w:rFonts w:ascii="Arial" w:hAnsi="Arial" w:cs="Arial"/>
          <w:sz w:val="24"/>
          <w:szCs w:val="24"/>
          <w:lang w:val="en-US"/>
        </w:rPr>
        <w:t>party</w:t>
      </w:r>
      <w:r w:rsidR="006837D9" w:rsidRPr="006837D9">
        <w:rPr>
          <w:rFonts w:ascii="Arial" w:hAnsi="Arial" w:cs="Arial"/>
          <w:sz w:val="24"/>
          <w:szCs w:val="24"/>
          <w:lang w:val="en-US"/>
        </w:rPr>
        <w:t xml:space="preserve"> to the treaty</w:t>
      </w:r>
      <w:r w:rsidR="00813917" w:rsidRPr="006837D9">
        <w:rPr>
          <w:rFonts w:ascii="Arial" w:hAnsi="Arial" w:cs="Arial"/>
          <w:sz w:val="24"/>
          <w:szCs w:val="24"/>
          <w:lang w:val="en-US"/>
        </w:rPr>
        <w:t xml:space="preserve">, </w:t>
      </w:r>
      <w:r w:rsidR="00982DEA" w:rsidRPr="00982DEA">
        <w:rPr>
          <w:rFonts w:ascii="Arial" w:hAnsi="Arial" w:cs="Arial"/>
          <w:sz w:val="24"/>
          <w:szCs w:val="24"/>
          <w:lang w:val="en-US"/>
        </w:rPr>
        <w:t>but other states may disagree with this.</w:t>
      </w:r>
    </w:p>
    <w:p w14:paraId="00E49180" w14:textId="0B39AD1C" w:rsidR="009824EB" w:rsidRDefault="00F740DF" w:rsidP="00401E4C">
      <w:pPr>
        <w:spacing w:line="480" w:lineRule="auto"/>
        <w:rPr>
          <w:rFonts w:ascii="Arial" w:hAnsi="Arial" w:cs="Arial"/>
          <w:sz w:val="24"/>
          <w:szCs w:val="24"/>
        </w:rPr>
      </w:pPr>
      <w:r w:rsidRPr="00A34D67">
        <w:rPr>
          <w:rFonts w:ascii="Arial" w:hAnsi="Arial" w:cs="Arial"/>
          <w:sz w:val="24"/>
          <w:szCs w:val="24"/>
        </w:rPr>
        <w:t xml:space="preserve">Subsequently in the </w:t>
      </w:r>
      <w:r w:rsidRPr="00A34D67">
        <w:rPr>
          <w:rFonts w:ascii="Arial" w:hAnsi="Arial" w:cs="Arial"/>
          <w:i/>
          <w:sz w:val="24"/>
          <w:szCs w:val="24"/>
        </w:rPr>
        <w:t xml:space="preserve">Bankovic </w:t>
      </w:r>
      <w:r w:rsidRPr="00A34D67">
        <w:rPr>
          <w:rFonts w:ascii="Arial" w:hAnsi="Arial" w:cs="Arial"/>
          <w:sz w:val="24"/>
          <w:szCs w:val="24"/>
        </w:rPr>
        <w:t>case,</w:t>
      </w:r>
      <w:r w:rsidRPr="00A34D67">
        <w:rPr>
          <w:rStyle w:val="FootnoteReference"/>
          <w:rFonts w:ascii="Arial" w:hAnsi="Arial" w:cs="Arial"/>
          <w:sz w:val="24"/>
          <w:szCs w:val="24"/>
        </w:rPr>
        <w:footnoteReference w:id="189"/>
      </w:r>
      <w:r w:rsidRPr="00A34D67">
        <w:rPr>
          <w:rFonts w:ascii="Arial" w:hAnsi="Arial" w:cs="Arial"/>
          <w:sz w:val="24"/>
          <w:szCs w:val="24"/>
        </w:rPr>
        <w:t xml:space="preserve"> the Grand Chamber of the </w:t>
      </w:r>
      <w:r w:rsidR="00B313E5">
        <w:rPr>
          <w:rFonts w:ascii="Arial" w:hAnsi="Arial" w:cs="Arial"/>
          <w:sz w:val="24"/>
          <w:szCs w:val="24"/>
        </w:rPr>
        <w:t>ECtHR</w:t>
      </w:r>
      <w:r w:rsidR="00485194" w:rsidRPr="00A34D67">
        <w:rPr>
          <w:rFonts w:ascii="Arial" w:hAnsi="Arial" w:cs="Arial"/>
          <w:sz w:val="24"/>
          <w:szCs w:val="24"/>
        </w:rPr>
        <w:t xml:space="preserve"> affi</w:t>
      </w:r>
      <w:r w:rsidR="00053917" w:rsidRPr="00A34D67">
        <w:rPr>
          <w:rFonts w:ascii="Arial" w:hAnsi="Arial" w:cs="Arial"/>
          <w:sz w:val="24"/>
          <w:szCs w:val="24"/>
        </w:rPr>
        <w:t xml:space="preserve">rmed the evolutionary interpretation of human rights treaties </w:t>
      </w:r>
      <w:r w:rsidR="001F2781" w:rsidRPr="00A34D67">
        <w:rPr>
          <w:rFonts w:ascii="Arial" w:hAnsi="Arial" w:cs="Arial"/>
          <w:sz w:val="24"/>
          <w:szCs w:val="24"/>
        </w:rPr>
        <w:t xml:space="preserve">that it had observed in </w:t>
      </w:r>
      <w:r w:rsidR="001F2781" w:rsidRPr="00A34D67">
        <w:rPr>
          <w:rFonts w:ascii="Arial" w:hAnsi="Arial" w:cs="Arial"/>
          <w:i/>
          <w:sz w:val="24"/>
          <w:szCs w:val="24"/>
        </w:rPr>
        <w:t>Loizidou</w:t>
      </w:r>
      <w:r w:rsidR="001F2781" w:rsidRPr="00A34D67">
        <w:rPr>
          <w:rFonts w:ascii="Arial" w:hAnsi="Arial" w:cs="Arial"/>
          <w:sz w:val="24"/>
          <w:szCs w:val="24"/>
        </w:rPr>
        <w:t>.</w:t>
      </w:r>
      <w:r w:rsidR="00A66300" w:rsidRPr="00A34D67">
        <w:rPr>
          <w:rStyle w:val="FootnoteReference"/>
          <w:rFonts w:ascii="Arial" w:hAnsi="Arial" w:cs="Arial"/>
          <w:sz w:val="24"/>
          <w:szCs w:val="24"/>
        </w:rPr>
        <w:footnoteReference w:id="190"/>
      </w:r>
      <w:r w:rsidR="00885323" w:rsidRPr="00A34D67">
        <w:rPr>
          <w:rFonts w:ascii="Arial" w:hAnsi="Arial" w:cs="Arial"/>
          <w:sz w:val="24"/>
          <w:szCs w:val="24"/>
        </w:rPr>
        <w:t xml:space="preserve"> </w:t>
      </w:r>
      <w:r w:rsidR="00D53A4A" w:rsidRPr="00A34D67">
        <w:rPr>
          <w:rFonts w:ascii="Arial" w:hAnsi="Arial" w:cs="Arial"/>
          <w:sz w:val="24"/>
          <w:szCs w:val="24"/>
        </w:rPr>
        <w:t>The Court dismissed the</w:t>
      </w:r>
      <w:r w:rsidR="00C922F3" w:rsidRPr="00A34D67">
        <w:rPr>
          <w:rFonts w:ascii="Arial" w:hAnsi="Arial" w:cs="Arial"/>
          <w:sz w:val="24"/>
          <w:szCs w:val="24"/>
        </w:rPr>
        <w:t xml:space="preserve"> notion that it was possible </w:t>
      </w:r>
      <w:r w:rsidR="00336B97" w:rsidRPr="00A34D67">
        <w:rPr>
          <w:rFonts w:ascii="Arial" w:hAnsi="Arial" w:cs="Arial"/>
          <w:sz w:val="24"/>
          <w:szCs w:val="24"/>
        </w:rPr>
        <w:t>for an</w:t>
      </w:r>
      <w:r w:rsidR="00C922F3" w:rsidRPr="00A34D67">
        <w:rPr>
          <w:rFonts w:ascii="Arial" w:hAnsi="Arial" w:cs="Arial"/>
          <w:sz w:val="24"/>
          <w:szCs w:val="24"/>
        </w:rPr>
        <w:t xml:space="preserve"> evolutionary interpretation of Article 1</w:t>
      </w:r>
      <w:r w:rsidR="0098002B" w:rsidRPr="00A34D67">
        <w:rPr>
          <w:rFonts w:ascii="Arial" w:hAnsi="Arial" w:cs="Arial"/>
          <w:sz w:val="24"/>
          <w:szCs w:val="24"/>
        </w:rPr>
        <w:t xml:space="preserve"> of the ECHR</w:t>
      </w:r>
      <w:r w:rsidR="004B4BF1" w:rsidRPr="00A34D67">
        <w:rPr>
          <w:rStyle w:val="FootnoteReference"/>
          <w:rFonts w:ascii="Arial" w:hAnsi="Arial" w:cs="Arial"/>
          <w:sz w:val="24"/>
          <w:szCs w:val="24"/>
        </w:rPr>
        <w:footnoteReference w:id="191"/>
      </w:r>
      <w:r w:rsidR="00C922F3" w:rsidRPr="00A34D67">
        <w:rPr>
          <w:rFonts w:ascii="Arial" w:hAnsi="Arial" w:cs="Arial"/>
          <w:sz w:val="24"/>
          <w:szCs w:val="24"/>
        </w:rPr>
        <w:t xml:space="preserve"> </w:t>
      </w:r>
      <w:r w:rsidR="00336B97" w:rsidRPr="00A34D67">
        <w:rPr>
          <w:rFonts w:ascii="Arial" w:hAnsi="Arial" w:cs="Arial"/>
          <w:sz w:val="24"/>
          <w:szCs w:val="24"/>
        </w:rPr>
        <w:t xml:space="preserve">to be made </w:t>
      </w:r>
      <w:r w:rsidR="00C922F3" w:rsidRPr="00A34D67">
        <w:rPr>
          <w:rFonts w:ascii="Arial" w:hAnsi="Arial" w:cs="Arial"/>
          <w:sz w:val="24"/>
          <w:szCs w:val="24"/>
        </w:rPr>
        <w:t xml:space="preserve">because the </w:t>
      </w:r>
      <w:r w:rsidR="00336B97" w:rsidRPr="00A34D67">
        <w:rPr>
          <w:rFonts w:ascii="Arial" w:hAnsi="Arial" w:cs="Arial"/>
          <w:sz w:val="24"/>
          <w:szCs w:val="24"/>
        </w:rPr>
        <w:t>a</w:t>
      </w:r>
      <w:r w:rsidR="00C922F3" w:rsidRPr="00A34D67">
        <w:rPr>
          <w:rFonts w:ascii="Arial" w:hAnsi="Arial" w:cs="Arial"/>
          <w:sz w:val="24"/>
          <w:szCs w:val="24"/>
        </w:rPr>
        <w:t>rticle’s scope ‘is determinative of the very scope of the Contracting Parties’ positive obligations and, as such, of the scope and reach of the entire Convention system of human rights’ protection’.</w:t>
      </w:r>
      <w:r w:rsidR="00AE2D11" w:rsidRPr="00A34D67">
        <w:rPr>
          <w:rStyle w:val="FootnoteReference"/>
          <w:rFonts w:ascii="Arial" w:hAnsi="Arial" w:cs="Arial"/>
          <w:sz w:val="24"/>
          <w:szCs w:val="24"/>
        </w:rPr>
        <w:footnoteReference w:id="192"/>
      </w:r>
      <w:r w:rsidR="009530F7" w:rsidRPr="00A34D67">
        <w:rPr>
          <w:rFonts w:ascii="Arial" w:hAnsi="Arial" w:cs="Arial"/>
          <w:sz w:val="24"/>
          <w:szCs w:val="24"/>
        </w:rPr>
        <w:t xml:space="preserve"> Th</w:t>
      </w:r>
      <w:r w:rsidR="0014087F" w:rsidRPr="00A34D67">
        <w:rPr>
          <w:rFonts w:ascii="Arial" w:hAnsi="Arial" w:cs="Arial"/>
          <w:sz w:val="24"/>
          <w:szCs w:val="24"/>
        </w:rPr>
        <w:t>e Court’s</w:t>
      </w:r>
      <w:r w:rsidR="009530F7" w:rsidRPr="00A34D67">
        <w:rPr>
          <w:rFonts w:ascii="Arial" w:hAnsi="Arial" w:cs="Arial"/>
          <w:sz w:val="24"/>
          <w:szCs w:val="24"/>
        </w:rPr>
        <w:t xml:space="preserve"> observation </w:t>
      </w:r>
      <w:r w:rsidR="0014087F" w:rsidRPr="00A34D67">
        <w:rPr>
          <w:rFonts w:ascii="Arial" w:hAnsi="Arial" w:cs="Arial"/>
          <w:sz w:val="24"/>
          <w:szCs w:val="24"/>
        </w:rPr>
        <w:t>distinguished</w:t>
      </w:r>
      <w:r w:rsidR="009530F7" w:rsidRPr="00A34D67">
        <w:rPr>
          <w:rFonts w:ascii="Arial" w:hAnsi="Arial" w:cs="Arial"/>
          <w:sz w:val="24"/>
          <w:szCs w:val="24"/>
        </w:rPr>
        <w:t xml:space="preserve"> the interpretation of Article 1 </w:t>
      </w:r>
      <w:r w:rsidR="0014087F" w:rsidRPr="00A34D67">
        <w:rPr>
          <w:rFonts w:ascii="Arial" w:hAnsi="Arial" w:cs="Arial"/>
          <w:sz w:val="24"/>
          <w:szCs w:val="24"/>
        </w:rPr>
        <w:t xml:space="preserve">both </w:t>
      </w:r>
      <w:r w:rsidR="009530F7" w:rsidRPr="00A34D67">
        <w:rPr>
          <w:rFonts w:ascii="Arial" w:hAnsi="Arial" w:cs="Arial"/>
          <w:sz w:val="24"/>
          <w:szCs w:val="24"/>
        </w:rPr>
        <w:t>from</w:t>
      </w:r>
      <w:r w:rsidR="0014087F" w:rsidRPr="00A34D67">
        <w:rPr>
          <w:rFonts w:ascii="Arial" w:hAnsi="Arial" w:cs="Arial"/>
          <w:sz w:val="24"/>
          <w:szCs w:val="24"/>
        </w:rPr>
        <w:t xml:space="preserve"> </w:t>
      </w:r>
      <w:r w:rsidR="00781E26" w:rsidRPr="00A34D67">
        <w:rPr>
          <w:rFonts w:ascii="Arial" w:hAnsi="Arial" w:cs="Arial"/>
          <w:sz w:val="24"/>
          <w:szCs w:val="24"/>
        </w:rPr>
        <w:t xml:space="preserve">that of the substantive provisions and the provisions regulating its competency to hear cases (a pressing matter in </w:t>
      </w:r>
      <w:r w:rsidR="00781E26" w:rsidRPr="00A34D67">
        <w:rPr>
          <w:rFonts w:ascii="Arial" w:hAnsi="Arial" w:cs="Arial"/>
          <w:i/>
          <w:sz w:val="24"/>
          <w:szCs w:val="24"/>
        </w:rPr>
        <w:t>Loizidou</w:t>
      </w:r>
      <w:r w:rsidR="00781E26" w:rsidRPr="00A34D67">
        <w:rPr>
          <w:rFonts w:ascii="Arial" w:hAnsi="Arial" w:cs="Arial"/>
          <w:sz w:val="24"/>
          <w:szCs w:val="24"/>
        </w:rPr>
        <w:t xml:space="preserve">) of the Convention. </w:t>
      </w:r>
      <w:r w:rsidR="00C71195" w:rsidRPr="00A34D67">
        <w:rPr>
          <w:rFonts w:ascii="Arial" w:hAnsi="Arial" w:cs="Arial"/>
          <w:sz w:val="24"/>
          <w:szCs w:val="24"/>
        </w:rPr>
        <w:t xml:space="preserve">The </w:t>
      </w:r>
      <w:r w:rsidR="00781E26" w:rsidRPr="00A34D67">
        <w:rPr>
          <w:rFonts w:ascii="Arial" w:hAnsi="Arial" w:cs="Arial"/>
          <w:sz w:val="24"/>
          <w:szCs w:val="24"/>
        </w:rPr>
        <w:t xml:space="preserve">Vienna </w:t>
      </w:r>
      <w:r w:rsidR="00C71195" w:rsidRPr="00A34D67">
        <w:rPr>
          <w:rFonts w:ascii="Arial" w:hAnsi="Arial" w:cs="Arial"/>
          <w:sz w:val="24"/>
          <w:szCs w:val="24"/>
        </w:rPr>
        <w:t>Convention’s intended purpose as an evolutionary instrument adds teeth to this assertion</w:t>
      </w:r>
      <w:r w:rsidR="007E5AFA" w:rsidRPr="00A34D67">
        <w:rPr>
          <w:rFonts w:ascii="Arial" w:hAnsi="Arial" w:cs="Arial"/>
          <w:sz w:val="24"/>
          <w:szCs w:val="24"/>
        </w:rPr>
        <w:t>, which was adopted by the ICJ and its predecessor in matters concerning</w:t>
      </w:r>
      <w:r w:rsidR="00401DE3" w:rsidRPr="00A34D67">
        <w:rPr>
          <w:rFonts w:ascii="Arial" w:hAnsi="Arial" w:cs="Arial"/>
          <w:sz w:val="24"/>
          <w:szCs w:val="24"/>
        </w:rPr>
        <w:t xml:space="preserve"> the evolutionary interpretation of </w:t>
      </w:r>
      <w:r w:rsidR="002E124C" w:rsidRPr="00A34D67">
        <w:rPr>
          <w:rFonts w:ascii="Arial" w:hAnsi="Arial" w:cs="Arial"/>
          <w:sz w:val="24"/>
          <w:szCs w:val="24"/>
        </w:rPr>
        <w:t>‘the terms contained in one particular provision’</w:t>
      </w:r>
      <w:r w:rsidR="009321A6" w:rsidRPr="00A34D67">
        <w:rPr>
          <w:rStyle w:val="FootnoteReference"/>
          <w:rFonts w:ascii="Arial" w:hAnsi="Arial" w:cs="Arial"/>
          <w:sz w:val="24"/>
          <w:szCs w:val="24"/>
        </w:rPr>
        <w:footnoteReference w:id="193"/>
      </w:r>
      <w:r w:rsidR="002E124C" w:rsidRPr="00A34D67">
        <w:rPr>
          <w:rFonts w:ascii="Arial" w:hAnsi="Arial" w:cs="Arial"/>
          <w:sz w:val="24"/>
          <w:szCs w:val="24"/>
        </w:rPr>
        <w:t xml:space="preserve"> as a determinant </w:t>
      </w:r>
      <w:r w:rsidR="004F21B7" w:rsidRPr="00A34D67">
        <w:rPr>
          <w:rFonts w:ascii="Arial" w:hAnsi="Arial" w:cs="Arial"/>
          <w:sz w:val="24"/>
          <w:szCs w:val="24"/>
        </w:rPr>
        <w:t xml:space="preserve">factor </w:t>
      </w:r>
      <w:r w:rsidR="002E124C" w:rsidRPr="00A34D67">
        <w:rPr>
          <w:rFonts w:ascii="Arial" w:hAnsi="Arial" w:cs="Arial"/>
          <w:sz w:val="24"/>
          <w:szCs w:val="24"/>
        </w:rPr>
        <w:t xml:space="preserve">of </w:t>
      </w:r>
      <w:r w:rsidR="00ED50CD" w:rsidRPr="00A34D67">
        <w:rPr>
          <w:rFonts w:ascii="Arial" w:hAnsi="Arial" w:cs="Arial"/>
          <w:sz w:val="24"/>
          <w:szCs w:val="24"/>
        </w:rPr>
        <w:t>a</w:t>
      </w:r>
      <w:r w:rsidR="002E124C" w:rsidRPr="00797A91">
        <w:rPr>
          <w:rFonts w:ascii="Arial" w:hAnsi="Arial" w:cs="Arial"/>
          <w:sz w:val="24"/>
          <w:szCs w:val="24"/>
        </w:rPr>
        <w:t xml:space="preserve"> </w:t>
      </w:r>
      <w:r w:rsidR="00797A91" w:rsidRPr="00797A91">
        <w:rPr>
          <w:rFonts w:ascii="Arial" w:hAnsi="Arial" w:cs="Arial"/>
          <w:sz w:val="24"/>
          <w:szCs w:val="24"/>
        </w:rPr>
        <w:t>convention</w:t>
      </w:r>
      <w:r w:rsidR="002E124C" w:rsidRPr="00797A91">
        <w:rPr>
          <w:rFonts w:ascii="Arial" w:hAnsi="Arial" w:cs="Arial"/>
          <w:sz w:val="24"/>
          <w:szCs w:val="24"/>
        </w:rPr>
        <w:t>’s</w:t>
      </w:r>
      <w:r w:rsidR="002E124C" w:rsidRPr="00A34D67">
        <w:rPr>
          <w:rFonts w:ascii="Arial" w:hAnsi="Arial" w:cs="Arial"/>
          <w:sz w:val="24"/>
          <w:szCs w:val="24"/>
        </w:rPr>
        <w:t xml:space="preserve"> scope.</w:t>
      </w:r>
      <w:r w:rsidR="005414E9" w:rsidRPr="00A34D67">
        <w:rPr>
          <w:rStyle w:val="FootnoteReference"/>
          <w:rFonts w:ascii="Arial" w:hAnsi="Arial" w:cs="Arial"/>
          <w:sz w:val="24"/>
          <w:szCs w:val="24"/>
        </w:rPr>
        <w:footnoteReference w:id="194"/>
      </w:r>
      <w:r w:rsidR="002E124C" w:rsidRPr="00A34D67">
        <w:rPr>
          <w:rFonts w:ascii="Arial" w:hAnsi="Arial" w:cs="Arial"/>
          <w:sz w:val="24"/>
          <w:szCs w:val="24"/>
        </w:rPr>
        <w:t xml:space="preserve"> </w:t>
      </w:r>
    </w:p>
    <w:p w14:paraId="21BD294E" w14:textId="77777777" w:rsidR="00D35CA0" w:rsidRPr="00316F10" w:rsidRDefault="00D35CA0" w:rsidP="00401E4C">
      <w:pPr>
        <w:spacing w:line="480" w:lineRule="auto"/>
        <w:rPr>
          <w:rFonts w:ascii="Arial" w:hAnsi="Arial" w:cs="Arial"/>
          <w:sz w:val="24"/>
          <w:szCs w:val="24"/>
        </w:rPr>
      </w:pPr>
    </w:p>
    <w:p w14:paraId="40EFE190" w14:textId="5CA4B673" w:rsidR="00EB2670" w:rsidRPr="00797A91" w:rsidRDefault="003F6076" w:rsidP="00401E4C">
      <w:pPr>
        <w:spacing w:line="480" w:lineRule="auto"/>
        <w:rPr>
          <w:rFonts w:ascii="Arial" w:hAnsi="Arial" w:cs="Arial"/>
          <w:b/>
          <w:i/>
          <w:sz w:val="24"/>
          <w:szCs w:val="24"/>
          <w:lang w:val="en-US"/>
        </w:rPr>
      </w:pPr>
      <w:r w:rsidRPr="00797A91">
        <w:rPr>
          <w:rFonts w:ascii="Arial" w:hAnsi="Arial" w:cs="Arial"/>
          <w:b/>
          <w:sz w:val="24"/>
          <w:szCs w:val="24"/>
          <w:lang w:val="en-US"/>
        </w:rPr>
        <w:t xml:space="preserve">          3.2.</w:t>
      </w:r>
      <w:r w:rsidR="00B00DF9">
        <w:rPr>
          <w:rFonts w:ascii="Arial" w:hAnsi="Arial" w:cs="Arial"/>
          <w:b/>
          <w:sz w:val="24"/>
          <w:szCs w:val="24"/>
          <w:lang w:val="en-US"/>
        </w:rPr>
        <w:t>2</w:t>
      </w:r>
      <w:r w:rsidRPr="00797A91">
        <w:rPr>
          <w:rFonts w:ascii="Arial" w:hAnsi="Arial" w:cs="Arial"/>
          <w:b/>
          <w:sz w:val="24"/>
          <w:szCs w:val="24"/>
          <w:lang w:val="en-US"/>
        </w:rPr>
        <w:t xml:space="preserve">     </w:t>
      </w:r>
      <w:r w:rsidR="00EB2670" w:rsidRPr="00797A91">
        <w:rPr>
          <w:rFonts w:ascii="Arial" w:hAnsi="Arial" w:cs="Arial"/>
          <w:b/>
          <w:sz w:val="24"/>
          <w:szCs w:val="24"/>
          <w:lang w:val="en-US"/>
        </w:rPr>
        <w:t>Input from the ILC Guide 2011</w:t>
      </w:r>
    </w:p>
    <w:p w14:paraId="5398AE28" w14:textId="77777777" w:rsidR="00C95622" w:rsidRPr="00A34D67" w:rsidRDefault="00C95622" w:rsidP="00401E4C">
      <w:pPr>
        <w:spacing w:line="480" w:lineRule="auto"/>
        <w:rPr>
          <w:rFonts w:ascii="Arial" w:hAnsi="Arial" w:cs="Arial"/>
          <w:sz w:val="24"/>
          <w:szCs w:val="24"/>
          <w:lang w:val="en-US"/>
        </w:rPr>
      </w:pPr>
      <w:r w:rsidRPr="00A34D67">
        <w:rPr>
          <w:rFonts w:ascii="Arial" w:hAnsi="Arial" w:cs="Arial"/>
          <w:sz w:val="24"/>
          <w:szCs w:val="24"/>
          <w:lang w:val="en-US"/>
        </w:rPr>
        <w:t>The ILC concluded in 1997 that the ‘severability’ argument was flawed, and instead suggested that ‘in the event of inadmissibility of a reservation, it is the reserving state that has the responsibility for taking action’.</w:t>
      </w:r>
      <w:r w:rsidRPr="00A34D67">
        <w:rPr>
          <w:rStyle w:val="FootnoteReference"/>
          <w:rFonts w:ascii="Arial" w:hAnsi="Arial" w:cs="Arial"/>
          <w:sz w:val="24"/>
          <w:szCs w:val="24"/>
          <w:lang w:val="en-US"/>
        </w:rPr>
        <w:footnoteReference w:id="195"/>
      </w:r>
      <w:r w:rsidRPr="00A34D67">
        <w:rPr>
          <w:rFonts w:ascii="Arial" w:hAnsi="Arial" w:cs="Arial"/>
          <w:sz w:val="24"/>
          <w:szCs w:val="24"/>
          <w:lang w:val="en-US"/>
        </w:rPr>
        <w:t xml:space="preserve"> It is difficult to reconcile the two notions that treaties are a source of international law, but that states may be bound by a convention against its consent. Surely, it follows that ‘consent makes obligation, and non-consent signifies absence of obligation’?</w:t>
      </w:r>
      <w:r w:rsidRPr="00A34D67">
        <w:rPr>
          <w:rStyle w:val="FootnoteReference"/>
          <w:rFonts w:ascii="Arial" w:hAnsi="Arial" w:cs="Arial"/>
          <w:sz w:val="24"/>
          <w:szCs w:val="24"/>
          <w:lang w:val="en-US"/>
        </w:rPr>
        <w:footnoteReference w:id="196"/>
      </w:r>
    </w:p>
    <w:p w14:paraId="5CCF052A" w14:textId="3A3D7D99" w:rsidR="0072363E" w:rsidRPr="00A34D67" w:rsidRDefault="0072363E" w:rsidP="00401E4C">
      <w:pPr>
        <w:spacing w:line="480" w:lineRule="auto"/>
        <w:rPr>
          <w:rFonts w:ascii="Arial" w:hAnsi="Arial" w:cs="Arial"/>
          <w:sz w:val="24"/>
          <w:szCs w:val="24"/>
          <w:lang w:val="en-US"/>
        </w:rPr>
      </w:pPr>
      <w:r w:rsidRPr="00A34D67">
        <w:rPr>
          <w:rFonts w:ascii="Arial" w:hAnsi="Arial" w:cs="Arial"/>
          <w:sz w:val="24"/>
          <w:szCs w:val="24"/>
          <w:lang w:val="en-US"/>
        </w:rPr>
        <w:t>The ILC’s 2011 Guide to Practice on Reservations to Treaties</w:t>
      </w:r>
      <w:r w:rsidRPr="00A34D67">
        <w:rPr>
          <w:rStyle w:val="FootnoteReference"/>
          <w:rFonts w:ascii="Arial" w:hAnsi="Arial" w:cs="Arial"/>
          <w:sz w:val="24"/>
          <w:szCs w:val="24"/>
          <w:lang w:val="en-US"/>
        </w:rPr>
        <w:footnoteReference w:id="197"/>
      </w:r>
      <w:r w:rsidRPr="00A34D67">
        <w:rPr>
          <w:rFonts w:ascii="Arial" w:hAnsi="Arial" w:cs="Arial"/>
          <w:sz w:val="24"/>
          <w:szCs w:val="24"/>
          <w:lang w:val="en-US"/>
        </w:rPr>
        <w:t xml:space="preserve"> attempted to consolidate over 15 years</w:t>
      </w:r>
      <w:r w:rsidR="00F43373" w:rsidRPr="00A34D67">
        <w:rPr>
          <w:rFonts w:ascii="Arial" w:hAnsi="Arial" w:cs="Arial"/>
          <w:sz w:val="24"/>
          <w:szCs w:val="24"/>
          <w:lang w:val="en-US"/>
        </w:rPr>
        <w:t>’</w:t>
      </w:r>
      <w:r w:rsidRPr="00A34D67">
        <w:rPr>
          <w:rFonts w:ascii="Arial" w:hAnsi="Arial" w:cs="Arial"/>
          <w:sz w:val="24"/>
          <w:szCs w:val="24"/>
          <w:lang w:val="en-US"/>
        </w:rPr>
        <w:t xml:space="preserve"> worth of debate concerning the permissibility of reservations. Although it is neither binding nor a convention,</w:t>
      </w:r>
      <w:r w:rsidRPr="00A34D67">
        <w:rPr>
          <w:rStyle w:val="FootnoteReference"/>
          <w:rFonts w:ascii="Arial" w:hAnsi="Arial" w:cs="Arial"/>
          <w:sz w:val="24"/>
          <w:szCs w:val="24"/>
          <w:lang w:val="en-US"/>
        </w:rPr>
        <w:footnoteReference w:id="198"/>
      </w:r>
      <w:r w:rsidRPr="00A34D67">
        <w:rPr>
          <w:rFonts w:ascii="Arial" w:hAnsi="Arial" w:cs="Arial"/>
          <w:sz w:val="24"/>
          <w:szCs w:val="24"/>
          <w:lang w:val="en-US"/>
        </w:rPr>
        <w:t xml:space="preserve"> the ILC </w:t>
      </w:r>
      <w:r w:rsidR="001845EF" w:rsidRPr="00A34D67">
        <w:rPr>
          <w:rFonts w:ascii="Arial" w:hAnsi="Arial" w:cs="Arial"/>
          <w:sz w:val="24"/>
          <w:szCs w:val="24"/>
          <w:lang w:val="en-US"/>
        </w:rPr>
        <w:t>Guide</w:t>
      </w:r>
      <w:r w:rsidRPr="00A34D67">
        <w:rPr>
          <w:rFonts w:ascii="Arial" w:hAnsi="Arial" w:cs="Arial"/>
          <w:sz w:val="24"/>
          <w:szCs w:val="24"/>
          <w:lang w:val="en-US"/>
        </w:rPr>
        <w:t xml:space="preserve"> has made an undeniable impact on the law of treaties. It proposed ‘an ingenious intermediate solution’ to the issue of severable reservations in guideline 4.5.1:</w:t>
      </w:r>
      <w:r w:rsidRPr="00A34D67">
        <w:rPr>
          <w:rStyle w:val="FootnoteReference"/>
          <w:rFonts w:ascii="Arial" w:hAnsi="Arial" w:cs="Arial"/>
          <w:sz w:val="24"/>
          <w:szCs w:val="24"/>
          <w:lang w:val="en-US"/>
        </w:rPr>
        <w:footnoteReference w:id="199"/>
      </w:r>
      <w:r w:rsidRPr="00A34D67">
        <w:rPr>
          <w:rFonts w:ascii="Arial" w:hAnsi="Arial" w:cs="Arial"/>
          <w:sz w:val="24"/>
          <w:szCs w:val="24"/>
          <w:lang w:val="en-US"/>
        </w:rPr>
        <w:t xml:space="preserve"> an invalid or impermissible reservation ‘is </w:t>
      </w:r>
      <w:r w:rsidRPr="00A34D67">
        <w:rPr>
          <w:rFonts w:ascii="Arial" w:hAnsi="Arial" w:cs="Arial"/>
          <w:b/>
          <w:sz w:val="24"/>
          <w:szCs w:val="24"/>
          <w:lang w:val="en-US"/>
        </w:rPr>
        <w:t>null and void</w:t>
      </w:r>
      <w:r w:rsidRPr="00A34D67">
        <w:rPr>
          <w:rFonts w:ascii="Arial" w:hAnsi="Arial" w:cs="Arial"/>
          <w:sz w:val="24"/>
          <w:szCs w:val="24"/>
          <w:lang w:val="en-US"/>
        </w:rPr>
        <w:t xml:space="preserve">, and </w:t>
      </w:r>
      <w:r w:rsidRPr="00A34D67">
        <w:rPr>
          <w:rFonts w:ascii="Arial" w:hAnsi="Arial" w:cs="Arial"/>
          <w:b/>
          <w:sz w:val="24"/>
          <w:szCs w:val="24"/>
          <w:lang w:val="en-US"/>
        </w:rPr>
        <w:t>therefore devoid of any legal effect</w:t>
      </w:r>
      <w:r w:rsidRPr="00A34D67">
        <w:rPr>
          <w:rFonts w:ascii="Arial" w:hAnsi="Arial" w:cs="Arial"/>
          <w:sz w:val="24"/>
          <w:szCs w:val="24"/>
          <w:lang w:val="en-US"/>
        </w:rPr>
        <w:t>’.</w:t>
      </w:r>
      <w:r w:rsidRPr="00A34D67">
        <w:rPr>
          <w:rStyle w:val="FootnoteReference"/>
          <w:rFonts w:ascii="Arial" w:hAnsi="Arial" w:cs="Arial"/>
          <w:sz w:val="24"/>
          <w:szCs w:val="24"/>
          <w:lang w:val="en-US"/>
        </w:rPr>
        <w:footnoteReference w:id="200"/>
      </w:r>
      <w:r w:rsidRPr="00A34D67">
        <w:rPr>
          <w:rFonts w:ascii="Arial" w:hAnsi="Arial" w:cs="Arial"/>
          <w:sz w:val="24"/>
          <w:szCs w:val="24"/>
          <w:lang w:val="en-US"/>
        </w:rPr>
        <w:t xml:space="preserve"> State practice varies according to whether invalid reservations</w:t>
      </w:r>
      <w:r w:rsidR="003D3A83" w:rsidRPr="00A34D67">
        <w:rPr>
          <w:rFonts w:ascii="Arial" w:hAnsi="Arial" w:cs="Arial"/>
          <w:color w:val="FF0000"/>
          <w:sz w:val="24"/>
          <w:szCs w:val="24"/>
          <w:lang w:val="en-US"/>
        </w:rPr>
        <w:t xml:space="preserve"> </w:t>
      </w:r>
      <w:r w:rsidR="003D3A83" w:rsidRPr="00A34D67">
        <w:rPr>
          <w:rFonts w:ascii="Arial" w:hAnsi="Arial" w:cs="Arial"/>
          <w:sz w:val="24"/>
          <w:szCs w:val="24"/>
          <w:lang w:val="en-US"/>
        </w:rPr>
        <w:t>bind their authors to the treaty ‘without the benefit of the reservation,’</w:t>
      </w:r>
      <w:r w:rsidR="00FE1B02" w:rsidRPr="00A34D67">
        <w:rPr>
          <w:rStyle w:val="FootnoteReference"/>
          <w:rFonts w:ascii="Arial" w:hAnsi="Arial" w:cs="Arial"/>
          <w:sz w:val="24"/>
          <w:szCs w:val="24"/>
          <w:lang w:val="en-US"/>
        </w:rPr>
        <w:footnoteReference w:id="201"/>
      </w:r>
      <w:r w:rsidR="003D3A83" w:rsidRPr="00A34D67">
        <w:rPr>
          <w:rFonts w:ascii="Arial" w:hAnsi="Arial" w:cs="Arial"/>
          <w:sz w:val="24"/>
          <w:szCs w:val="24"/>
          <w:lang w:val="en-US"/>
        </w:rPr>
        <w:t xml:space="preserve"> or if the reservation’s </w:t>
      </w:r>
      <w:r w:rsidR="00864F91" w:rsidRPr="00A34D67">
        <w:rPr>
          <w:rFonts w:ascii="Arial" w:hAnsi="Arial" w:cs="Arial"/>
          <w:sz w:val="24"/>
          <w:szCs w:val="24"/>
          <w:lang w:val="en-US"/>
        </w:rPr>
        <w:t>invalidity</w:t>
      </w:r>
      <w:r w:rsidR="00877F5F" w:rsidRPr="00A34D67">
        <w:rPr>
          <w:rFonts w:ascii="Arial" w:hAnsi="Arial" w:cs="Arial"/>
          <w:color w:val="FF0000"/>
          <w:sz w:val="24"/>
          <w:szCs w:val="24"/>
          <w:lang w:val="en-US"/>
        </w:rPr>
        <w:t xml:space="preserve"> </w:t>
      </w:r>
      <w:r w:rsidR="00A10C02" w:rsidRPr="00A34D67">
        <w:rPr>
          <w:rFonts w:ascii="Arial" w:hAnsi="Arial" w:cs="Arial"/>
          <w:sz w:val="24"/>
          <w:szCs w:val="24"/>
          <w:lang w:val="en-US"/>
        </w:rPr>
        <w:t>completely</w:t>
      </w:r>
      <w:r w:rsidR="00A10C02" w:rsidRPr="00A34D67">
        <w:rPr>
          <w:rFonts w:ascii="Arial" w:hAnsi="Arial" w:cs="Arial"/>
          <w:color w:val="FF0000"/>
          <w:sz w:val="24"/>
          <w:szCs w:val="24"/>
          <w:lang w:val="en-US"/>
        </w:rPr>
        <w:t xml:space="preserve"> </w:t>
      </w:r>
      <w:r w:rsidR="00877F5F" w:rsidRPr="00A34D67">
        <w:rPr>
          <w:rFonts w:ascii="Arial" w:hAnsi="Arial" w:cs="Arial"/>
          <w:sz w:val="24"/>
          <w:szCs w:val="24"/>
          <w:lang w:val="en-US"/>
        </w:rPr>
        <w:t>vitiates</w:t>
      </w:r>
      <w:r w:rsidR="00877F5F" w:rsidRPr="00A34D67">
        <w:rPr>
          <w:rFonts w:ascii="Arial" w:hAnsi="Arial" w:cs="Arial"/>
          <w:color w:val="FF0000"/>
          <w:sz w:val="24"/>
          <w:szCs w:val="24"/>
          <w:lang w:val="en-US"/>
        </w:rPr>
        <w:t xml:space="preserve"> </w:t>
      </w:r>
      <w:r w:rsidR="00A10C02" w:rsidRPr="00A34D67">
        <w:rPr>
          <w:rFonts w:ascii="Arial" w:hAnsi="Arial" w:cs="Arial"/>
          <w:sz w:val="24"/>
          <w:szCs w:val="24"/>
          <w:lang w:val="en-US"/>
        </w:rPr>
        <w:t>the state party’s consent to be bound.</w:t>
      </w:r>
      <w:r w:rsidR="00A10C02" w:rsidRPr="00A34D67">
        <w:rPr>
          <w:rStyle w:val="FootnoteReference"/>
          <w:rFonts w:ascii="Arial" w:hAnsi="Arial" w:cs="Arial"/>
          <w:sz w:val="24"/>
          <w:szCs w:val="24"/>
          <w:lang w:val="en-US"/>
        </w:rPr>
        <w:footnoteReference w:id="202"/>
      </w:r>
      <w:r w:rsidR="00163580" w:rsidRPr="00A34D67">
        <w:rPr>
          <w:rFonts w:ascii="Arial" w:hAnsi="Arial" w:cs="Arial"/>
          <w:sz w:val="24"/>
          <w:szCs w:val="24"/>
          <w:lang w:val="en-US"/>
        </w:rPr>
        <w:t xml:space="preserve"> The 2011 Guide therefore upholds </w:t>
      </w:r>
      <w:r w:rsidR="000653C2" w:rsidRPr="00A34D67">
        <w:rPr>
          <w:rFonts w:ascii="Arial" w:hAnsi="Arial" w:cs="Arial"/>
          <w:sz w:val="24"/>
          <w:szCs w:val="24"/>
          <w:lang w:val="en-US"/>
        </w:rPr>
        <w:t>the notion that the reserving party’s intention is directly related to its status,</w:t>
      </w:r>
      <w:r w:rsidR="00F846A7" w:rsidRPr="00A34D67">
        <w:rPr>
          <w:rStyle w:val="FootnoteReference"/>
          <w:rFonts w:ascii="Arial" w:hAnsi="Arial" w:cs="Arial"/>
          <w:sz w:val="24"/>
          <w:szCs w:val="24"/>
          <w:lang w:val="en-US"/>
        </w:rPr>
        <w:footnoteReference w:id="203"/>
      </w:r>
      <w:r w:rsidR="000653C2" w:rsidRPr="00A34D67">
        <w:rPr>
          <w:rFonts w:ascii="Arial" w:hAnsi="Arial" w:cs="Arial"/>
          <w:sz w:val="24"/>
          <w:szCs w:val="24"/>
          <w:lang w:val="en-US"/>
        </w:rPr>
        <w:t xml:space="preserve"> and offers ‘</w:t>
      </w:r>
      <w:r w:rsidR="00DB723B" w:rsidRPr="00A34D67">
        <w:rPr>
          <w:rFonts w:ascii="Arial" w:hAnsi="Arial" w:cs="Arial"/>
          <w:sz w:val="24"/>
          <w:szCs w:val="24"/>
          <w:lang w:val="en-US"/>
        </w:rPr>
        <w:t>a reasonable compromise between the underlying principle of treaty law – mutual consent – and the principle that reservations prohibited by the treaty or incompatible with the object and purpose of the treaty are null and void’.</w:t>
      </w:r>
      <w:r w:rsidR="00DB723B" w:rsidRPr="00A34D67">
        <w:rPr>
          <w:rStyle w:val="FootnoteReference"/>
          <w:rFonts w:ascii="Arial" w:hAnsi="Arial" w:cs="Arial"/>
          <w:sz w:val="24"/>
          <w:szCs w:val="24"/>
          <w:lang w:val="en-US"/>
        </w:rPr>
        <w:footnoteReference w:id="204"/>
      </w:r>
    </w:p>
    <w:p w14:paraId="0D0605AF" w14:textId="77777777" w:rsidR="0072363E" w:rsidRPr="00A34D67" w:rsidRDefault="0072363E" w:rsidP="00401E4C">
      <w:pPr>
        <w:spacing w:line="480" w:lineRule="auto"/>
        <w:rPr>
          <w:rFonts w:ascii="Arial" w:hAnsi="Arial" w:cs="Arial"/>
          <w:sz w:val="24"/>
          <w:szCs w:val="24"/>
          <w:lang w:val="en-US"/>
        </w:rPr>
      </w:pPr>
      <w:r w:rsidRPr="00A34D67">
        <w:rPr>
          <w:rFonts w:ascii="Arial" w:hAnsi="Arial" w:cs="Arial"/>
          <w:sz w:val="24"/>
          <w:szCs w:val="24"/>
          <w:lang w:val="en-US"/>
        </w:rPr>
        <w:t>In most cases, therefore, treaty-law and customary law need to be altered so that the law-making process satisfies the requirements of ‘human rights thinking’.</w:t>
      </w:r>
      <w:r w:rsidRPr="00A34D67">
        <w:rPr>
          <w:rStyle w:val="FootnoteReference"/>
          <w:rFonts w:ascii="Arial" w:hAnsi="Arial" w:cs="Arial"/>
          <w:sz w:val="24"/>
          <w:szCs w:val="24"/>
          <w:lang w:val="en-US"/>
        </w:rPr>
        <w:footnoteReference w:id="205"/>
      </w:r>
      <w:r w:rsidRPr="00A34D67">
        <w:rPr>
          <w:rFonts w:ascii="Arial" w:hAnsi="Arial" w:cs="Arial"/>
          <w:sz w:val="24"/>
          <w:szCs w:val="24"/>
          <w:lang w:val="en-US"/>
        </w:rPr>
        <w:t xml:space="preserve"> But, the 2011 guide has</w:t>
      </w:r>
      <w:r w:rsidRPr="00A34D67">
        <w:rPr>
          <w:rFonts w:ascii="Arial" w:hAnsi="Arial" w:cs="Arial"/>
          <w:color w:val="FF0000"/>
          <w:sz w:val="24"/>
          <w:szCs w:val="24"/>
          <w:lang w:val="en-US"/>
        </w:rPr>
        <w:t xml:space="preserve"> </w:t>
      </w:r>
      <w:r w:rsidRPr="00A34D67">
        <w:rPr>
          <w:rFonts w:ascii="Arial" w:hAnsi="Arial" w:cs="Arial"/>
          <w:sz w:val="24"/>
          <w:szCs w:val="24"/>
          <w:lang w:val="en-US"/>
        </w:rPr>
        <w:t>clarified the position of human rights in international law:</w:t>
      </w:r>
    </w:p>
    <w:p w14:paraId="3B14D3DB" w14:textId="77777777" w:rsidR="0072363E" w:rsidRPr="00A34D67" w:rsidRDefault="0072363E" w:rsidP="00401E4C">
      <w:pPr>
        <w:pStyle w:val="ListParagraph"/>
        <w:numPr>
          <w:ilvl w:val="0"/>
          <w:numId w:val="12"/>
        </w:numPr>
        <w:spacing w:line="480" w:lineRule="auto"/>
        <w:rPr>
          <w:rFonts w:ascii="Arial" w:hAnsi="Arial" w:cs="Arial"/>
          <w:sz w:val="24"/>
          <w:szCs w:val="24"/>
          <w:lang w:val="en-US"/>
        </w:rPr>
      </w:pPr>
      <w:r w:rsidRPr="00A34D67">
        <w:rPr>
          <w:rFonts w:ascii="Arial" w:hAnsi="Arial" w:cs="Arial"/>
          <w:sz w:val="24"/>
          <w:szCs w:val="24"/>
          <w:lang w:val="en-US"/>
        </w:rPr>
        <w:t>‘The status of the author of an invalid reservation in relation to a treaty depends on the intention expressed by the reserving State or international organisation on whether it intends to be bound by the treaty without the benefit of the reservation or whether it considers that it is not bound by the treaty.</w:t>
      </w:r>
    </w:p>
    <w:p w14:paraId="291044C3" w14:textId="77777777" w:rsidR="0072363E" w:rsidRPr="00A34D67" w:rsidRDefault="0072363E" w:rsidP="00401E4C">
      <w:pPr>
        <w:pStyle w:val="ListParagraph"/>
        <w:numPr>
          <w:ilvl w:val="0"/>
          <w:numId w:val="12"/>
        </w:numPr>
        <w:spacing w:line="480" w:lineRule="auto"/>
        <w:rPr>
          <w:rFonts w:ascii="Arial" w:hAnsi="Arial" w:cs="Arial"/>
          <w:sz w:val="24"/>
          <w:szCs w:val="24"/>
          <w:lang w:val="en-US"/>
        </w:rPr>
      </w:pPr>
      <w:r w:rsidRPr="00A34D67">
        <w:rPr>
          <w:rFonts w:ascii="Arial" w:hAnsi="Arial" w:cs="Arial"/>
          <w:sz w:val="24"/>
          <w:szCs w:val="24"/>
          <w:lang w:val="en-US"/>
        </w:rPr>
        <w:t>Unless the author of the invalid reservation has expressed a contrary intention or such an intention is otherwise established, it is considered a contracting State or a contracting organisation without the benefit of the reservation.’</w:t>
      </w:r>
      <w:r w:rsidRPr="00A34D67">
        <w:rPr>
          <w:rStyle w:val="FootnoteReference"/>
          <w:rFonts w:ascii="Arial" w:hAnsi="Arial" w:cs="Arial"/>
          <w:sz w:val="24"/>
          <w:szCs w:val="24"/>
          <w:lang w:val="en-US"/>
        </w:rPr>
        <w:footnoteReference w:id="206"/>
      </w:r>
    </w:p>
    <w:p w14:paraId="702ABC43" w14:textId="685D9512" w:rsidR="0072363E" w:rsidRPr="00A34D67" w:rsidRDefault="0072363E" w:rsidP="00401E4C">
      <w:pPr>
        <w:spacing w:line="480" w:lineRule="auto"/>
        <w:rPr>
          <w:rFonts w:ascii="Arial" w:hAnsi="Arial" w:cs="Arial"/>
          <w:color w:val="008000"/>
          <w:sz w:val="24"/>
          <w:szCs w:val="24"/>
          <w:lang w:val="en-US"/>
        </w:rPr>
      </w:pPr>
      <w:r w:rsidRPr="00A34D67">
        <w:rPr>
          <w:rFonts w:ascii="Arial" w:hAnsi="Arial" w:cs="Arial"/>
          <w:sz w:val="24"/>
          <w:szCs w:val="24"/>
          <w:lang w:val="en-US"/>
        </w:rPr>
        <w:t xml:space="preserve">This answer appears to respect, </w:t>
      </w:r>
      <w:r w:rsidRPr="00A34D67">
        <w:rPr>
          <w:rFonts w:ascii="Arial" w:hAnsi="Arial" w:cs="Arial"/>
          <w:i/>
          <w:sz w:val="24"/>
          <w:szCs w:val="24"/>
          <w:lang w:val="en-US"/>
        </w:rPr>
        <w:t>inter alia</w:t>
      </w:r>
      <w:r w:rsidRPr="00A34D67">
        <w:rPr>
          <w:rFonts w:ascii="Arial" w:hAnsi="Arial" w:cs="Arial"/>
          <w:sz w:val="24"/>
          <w:szCs w:val="24"/>
          <w:lang w:val="en-US"/>
        </w:rPr>
        <w:t xml:space="preserve">, the traditional doctrine of sources of international law. </w:t>
      </w:r>
    </w:p>
    <w:p w14:paraId="1374ACD5" w14:textId="1F27DFAB" w:rsidR="0072363E" w:rsidRPr="00A34D67" w:rsidRDefault="0072363E" w:rsidP="00401E4C">
      <w:pPr>
        <w:spacing w:line="480" w:lineRule="auto"/>
        <w:rPr>
          <w:rFonts w:ascii="Arial" w:hAnsi="Arial" w:cs="Arial"/>
          <w:color w:val="FF0000"/>
          <w:sz w:val="24"/>
          <w:szCs w:val="24"/>
          <w:lang w:val="en-US"/>
        </w:rPr>
      </w:pPr>
      <w:r w:rsidRPr="00A34D67">
        <w:rPr>
          <w:rFonts w:ascii="Arial" w:hAnsi="Arial" w:cs="Arial"/>
          <w:sz w:val="24"/>
          <w:szCs w:val="24"/>
          <w:lang w:val="en-US"/>
        </w:rPr>
        <w:t>The ILC met with several treaty bodies, all of which believed that there ought to</w:t>
      </w:r>
      <w:r w:rsidRPr="00A34D67">
        <w:rPr>
          <w:rFonts w:ascii="Arial" w:hAnsi="Arial" w:cs="Arial"/>
          <w:color w:val="FF0000"/>
          <w:sz w:val="24"/>
          <w:szCs w:val="24"/>
          <w:lang w:val="en-US"/>
        </w:rPr>
        <w:t xml:space="preserve"> </w:t>
      </w:r>
      <w:r w:rsidRPr="00A34D67">
        <w:rPr>
          <w:rFonts w:ascii="Arial" w:hAnsi="Arial" w:cs="Arial"/>
          <w:sz w:val="24"/>
          <w:szCs w:val="24"/>
          <w:lang w:val="en-US"/>
        </w:rPr>
        <w:t>be a</w:t>
      </w:r>
      <w:r w:rsidRPr="00A34D67">
        <w:rPr>
          <w:rFonts w:ascii="Arial" w:hAnsi="Arial" w:cs="Arial"/>
          <w:color w:val="FF0000"/>
          <w:sz w:val="24"/>
          <w:szCs w:val="24"/>
          <w:lang w:val="en-US"/>
        </w:rPr>
        <w:t xml:space="preserve"> </w:t>
      </w:r>
      <w:r w:rsidRPr="00A34D67">
        <w:rPr>
          <w:rFonts w:ascii="Arial" w:hAnsi="Arial" w:cs="Arial"/>
          <w:sz w:val="24"/>
          <w:szCs w:val="24"/>
          <w:lang w:val="en-US"/>
        </w:rPr>
        <w:t>‘strong presumption in favour of severability in respect of human rights treaties’, owing to ‘the non-synallagmatic nature of human rights obligations’.</w:t>
      </w:r>
      <w:r w:rsidRPr="00A34D67">
        <w:rPr>
          <w:rStyle w:val="FootnoteReference"/>
          <w:rFonts w:ascii="Arial" w:hAnsi="Arial" w:cs="Arial"/>
          <w:sz w:val="24"/>
          <w:szCs w:val="24"/>
          <w:lang w:val="en-US"/>
        </w:rPr>
        <w:footnoteReference w:id="207"/>
      </w:r>
      <w:r w:rsidRPr="00A34D67">
        <w:rPr>
          <w:rFonts w:ascii="Arial" w:hAnsi="Arial" w:cs="Arial"/>
          <w:color w:val="FF0000"/>
          <w:sz w:val="24"/>
          <w:szCs w:val="24"/>
          <w:lang w:val="en-US"/>
        </w:rPr>
        <w:t xml:space="preserve"> </w:t>
      </w:r>
      <w:r w:rsidRPr="00A34D67">
        <w:rPr>
          <w:rFonts w:ascii="Arial" w:hAnsi="Arial" w:cs="Arial"/>
          <w:sz w:val="24"/>
          <w:szCs w:val="24"/>
          <w:lang w:val="en-US"/>
        </w:rPr>
        <w:t>The treaty bodies conceded, however, that the presumption of severability could be disproven, resultantly meaning that the reserving State’s intention was the determinant factor in deciding the severability of the reservation.</w:t>
      </w:r>
      <w:r w:rsidRPr="00A34D67">
        <w:rPr>
          <w:rStyle w:val="FootnoteReference"/>
          <w:rFonts w:ascii="Arial" w:hAnsi="Arial" w:cs="Arial"/>
          <w:sz w:val="24"/>
          <w:szCs w:val="24"/>
          <w:lang w:val="en-US"/>
        </w:rPr>
        <w:footnoteReference w:id="208"/>
      </w:r>
      <w:r w:rsidRPr="00A34D67">
        <w:rPr>
          <w:rFonts w:ascii="Arial" w:hAnsi="Arial" w:cs="Arial"/>
          <w:color w:val="FF0000"/>
          <w:sz w:val="24"/>
          <w:szCs w:val="24"/>
          <w:lang w:val="en-US"/>
        </w:rPr>
        <w:t xml:space="preserve"> </w:t>
      </w:r>
      <w:r w:rsidRPr="00A34D67">
        <w:rPr>
          <w:rFonts w:ascii="Arial" w:hAnsi="Arial" w:cs="Arial"/>
          <w:sz w:val="24"/>
          <w:szCs w:val="24"/>
          <w:lang w:val="en-US"/>
        </w:rPr>
        <w:t>With regard to invalid reservations, the ILC asserted</w:t>
      </w:r>
      <w:r w:rsidR="001B3F28" w:rsidRPr="00A34D67">
        <w:rPr>
          <w:rFonts w:ascii="Arial" w:hAnsi="Arial" w:cs="Arial"/>
          <w:sz w:val="24"/>
          <w:szCs w:val="24"/>
          <w:lang w:val="en-US"/>
        </w:rPr>
        <w:t xml:space="preserve"> that ‘u</w:t>
      </w:r>
      <w:r w:rsidRPr="00A34D67">
        <w:rPr>
          <w:rFonts w:ascii="Arial" w:hAnsi="Arial" w:cs="Arial"/>
          <w:sz w:val="24"/>
          <w:szCs w:val="24"/>
          <w:lang w:val="en-US"/>
        </w:rPr>
        <w:t xml:space="preserve">nless the author of the invalid reservation has expressed a contrary intention or such intention is otherwise established, it is considered a contracting State or a contracting organization </w:t>
      </w:r>
      <w:r w:rsidRPr="00A34D67">
        <w:rPr>
          <w:rFonts w:ascii="Arial" w:hAnsi="Arial" w:cs="Arial"/>
          <w:i/>
          <w:iCs/>
          <w:sz w:val="24"/>
          <w:szCs w:val="24"/>
          <w:lang w:val="en-US"/>
        </w:rPr>
        <w:t>without the benefit of the reservation</w:t>
      </w:r>
      <w:r w:rsidRPr="00A34D67">
        <w:rPr>
          <w:rFonts w:ascii="Arial" w:hAnsi="Arial" w:cs="Arial"/>
          <w:iCs/>
          <w:sz w:val="24"/>
          <w:szCs w:val="24"/>
          <w:lang w:val="en-US"/>
        </w:rPr>
        <w:t>’</w:t>
      </w:r>
      <w:r w:rsidRPr="00A34D67">
        <w:rPr>
          <w:rFonts w:ascii="Arial" w:hAnsi="Arial" w:cs="Arial"/>
          <w:sz w:val="24"/>
          <w:szCs w:val="24"/>
          <w:lang w:val="en-US"/>
        </w:rPr>
        <w:t>.</w:t>
      </w:r>
      <w:r w:rsidRPr="00A34D67">
        <w:rPr>
          <w:rStyle w:val="FootnoteReference"/>
          <w:rFonts w:ascii="Arial" w:hAnsi="Arial" w:cs="Arial"/>
          <w:sz w:val="24"/>
          <w:szCs w:val="24"/>
          <w:lang w:val="en-US"/>
        </w:rPr>
        <w:footnoteReference w:id="209"/>
      </w:r>
      <w:r w:rsidRPr="00A34D67">
        <w:rPr>
          <w:rFonts w:ascii="Arial" w:hAnsi="Arial" w:cs="Arial"/>
          <w:sz w:val="24"/>
          <w:szCs w:val="24"/>
          <w:lang w:val="en-US"/>
        </w:rPr>
        <w:t xml:space="preserve"> </w:t>
      </w:r>
    </w:p>
    <w:p w14:paraId="53FFEA32" w14:textId="610572F9" w:rsidR="007540BB" w:rsidRDefault="007540BB" w:rsidP="00401E4C">
      <w:pPr>
        <w:spacing w:line="480" w:lineRule="auto"/>
        <w:rPr>
          <w:rFonts w:ascii="Arial" w:hAnsi="Arial" w:cs="Arial"/>
          <w:color w:val="FF0000"/>
          <w:sz w:val="24"/>
          <w:szCs w:val="24"/>
          <w:lang w:val="en-US"/>
        </w:rPr>
      </w:pPr>
      <w:r w:rsidRPr="00A34D67">
        <w:rPr>
          <w:rFonts w:ascii="Arial" w:hAnsi="Arial" w:cs="Arial"/>
          <w:sz w:val="24"/>
          <w:szCs w:val="24"/>
          <w:lang w:val="en-US"/>
        </w:rPr>
        <w:t>Consequently, the treaty bodies’ case in favour of severability of invalid reservations to human rights treaties</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was now recognised by the ILC with regard to </w:t>
      </w:r>
      <w:r w:rsidRPr="00A34D67">
        <w:rPr>
          <w:rFonts w:ascii="Arial" w:hAnsi="Arial" w:cs="Arial"/>
          <w:iCs/>
          <w:sz w:val="24"/>
          <w:szCs w:val="24"/>
          <w:lang w:val="en-US"/>
        </w:rPr>
        <w:t>all</w:t>
      </w:r>
      <w:r w:rsidRPr="00A34D67">
        <w:rPr>
          <w:rFonts w:ascii="Arial" w:hAnsi="Arial" w:cs="Arial"/>
          <w:i/>
          <w:iCs/>
          <w:sz w:val="24"/>
          <w:szCs w:val="24"/>
          <w:lang w:val="en-US"/>
        </w:rPr>
        <w:t xml:space="preserve"> </w:t>
      </w:r>
      <w:r w:rsidRPr="00A34D67">
        <w:rPr>
          <w:rFonts w:ascii="Arial" w:hAnsi="Arial" w:cs="Arial"/>
          <w:sz w:val="24"/>
          <w:szCs w:val="24"/>
          <w:lang w:val="en-US"/>
        </w:rPr>
        <w:t>multilateral treaties. Instead of the treaty bodies</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encouraging fragmentation of invalid reservations, </w:t>
      </w:r>
      <w:r w:rsidR="00013534">
        <w:rPr>
          <w:rFonts w:ascii="Arial" w:hAnsi="Arial" w:cs="Arial"/>
          <w:sz w:val="24"/>
          <w:szCs w:val="24"/>
          <w:lang w:val="en-US"/>
        </w:rPr>
        <w:t>international instruments</w:t>
      </w:r>
      <w:r w:rsidRPr="00A34D67">
        <w:rPr>
          <w:rFonts w:ascii="Arial" w:hAnsi="Arial" w:cs="Arial"/>
          <w:sz w:val="24"/>
          <w:szCs w:val="24"/>
          <w:lang w:val="en-US"/>
        </w:rPr>
        <w:t xml:space="preserve"> had apparently incorporated what had previously been considered to be ‘a subject-specific approach’.</w:t>
      </w:r>
      <w:r w:rsidRPr="00A34D67">
        <w:rPr>
          <w:rStyle w:val="FootnoteReference"/>
          <w:rFonts w:ascii="Arial" w:hAnsi="Arial" w:cs="Arial"/>
          <w:sz w:val="24"/>
          <w:szCs w:val="24"/>
          <w:lang w:val="en-US"/>
        </w:rPr>
        <w:footnoteReference w:id="210"/>
      </w:r>
      <w:r w:rsidRPr="00A34D67">
        <w:rPr>
          <w:rFonts w:ascii="Arial" w:hAnsi="Arial" w:cs="Arial"/>
          <w:color w:val="FF0000"/>
          <w:sz w:val="24"/>
          <w:szCs w:val="24"/>
          <w:lang w:val="en-US"/>
        </w:rPr>
        <w:t xml:space="preserve"> </w:t>
      </w:r>
    </w:p>
    <w:p w14:paraId="3BD6FF9B" w14:textId="77777777" w:rsidR="00655F2F" w:rsidRDefault="00655F2F" w:rsidP="00401E4C">
      <w:pPr>
        <w:spacing w:line="480" w:lineRule="auto"/>
        <w:rPr>
          <w:rFonts w:ascii="Arial" w:hAnsi="Arial" w:cs="Arial"/>
          <w:b/>
          <w:bCs/>
          <w:sz w:val="24"/>
          <w:szCs w:val="24"/>
          <w:lang w:val="en-US"/>
        </w:rPr>
      </w:pPr>
      <w:r w:rsidRPr="00B468FE">
        <w:rPr>
          <w:rFonts w:ascii="Arial" w:hAnsi="Arial" w:cs="Arial"/>
          <w:bCs/>
          <w:sz w:val="24"/>
          <w:szCs w:val="24"/>
          <w:lang w:val="en-US"/>
        </w:rPr>
        <w:t>Guideline 3.3.3 of the ILC Guide 2011 states that</w:t>
      </w:r>
      <w:r>
        <w:rPr>
          <w:rFonts w:ascii="Arial" w:hAnsi="Arial" w:cs="Arial"/>
          <w:bCs/>
          <w:sz w:val="24"/>
          <w:szCs w:val="24"/>
          <w:lang w:val="en-US"/>
        </w:rPr>
        <w:t>:</w:t>
      </w:r>
      <w:r w:rsidRPr="0064435B">
        <w:rPr>
          <w:rFonts w:ascii="Arial" w:hAnsi="Arial" w:cs="Arial"/>
          <w:b/>
          <w:bCs/>
          <w:sz w:val="24"/>
          <w:szCs w:val="24"/>
          <w:lang w:val="en-US"/>
        </w:rPr>
        <w:t xml:space="preserve"> </w:t>
      </w:r>
    </w:p>
    <w:p w14:paraId="4218A697" w14:textId="72F9BC8A" w:rsidR="00655F2F" w:rsidRPr="009B3105" w:rsidRDefault="00655F2F" w:rsidP="00401E4C">
      <w:pPr>
        <w:spacing w:line="480" w:lineRule="auto"/>
        <w:ind w:left="851" w:right="1035"/>
        <w:rPr>
          <w:rFonts w:ascii="Arial" w:hAnsi="Arial" w:cs="Arial"/>
          <w:sz w:val="24"/>
          <w:szCs w:val="24"/>
          <w:lang w:val="en-US"/>
        </w:rPr>
      </w:pPr>
      <w:r w:rsidRPr="00B468FE">
        <w:rPr>
          <w:rFonts w:ascii="Arial" w:hAnsi="Arial" w:cs="Arial"/>
          <w:bCs/>
          <w:sz w:val="24"/>
          <w:szCs w:val="24"/>
          <w:lang w:val="en-US"/>
        </w:rPr>
        <w:t>‘</w:t>
      </w:r>
      <w:r w:rsidRPr="009B3105">
        <w:rPr>
          <w:rFonts w:ascii="Arial" w:hAnsi="Arial" w:cs="Arial"/>
          <w:sz w:val="24"/>
          <w:szCs w:val="24"/>
          <w:lang w:val="en-US"/>
        </w:rPr>
        <w:t>Acceptance of an impermissible reservation by a contracting State or by a contracting organization shall not affect the impermissibility of the reservation.</w:t>
      </w:r>
      <w:r>
        <w:rPr>
          <w:rFonts w:ascii="Arial" w:hAnsi="Arial" w:cs="Arial"/>
          <w:sz w:val="24"/>
          <w:szCs w:val="24"/>
          <w:lang w:val="en-US"/>
        </w:rPr>
        <w:t>’</w:t>
      </w:r>
      <w:r w:rsidR="003225A6">
        <w:rPr>
          <w:rStyle w:val="FootnoteReference"/>
          <w:rFonts w:ascii="Arial" w:hAnsi="Arial" w:cs="Arial"/>
          <w:sz w:val="24"/>
          <w:szCs w:val="24"/>
          <w:lang w:val="en-US"/>
        </w:rPr>
        <w:footnoteReference w:id="211"/>
      </w:r>
      <w:r w:rsidRPr="009B3105">
        <w:rPr>
          <w:rFonts w:ascii="Arial" w:hAnsi="Arial" w:cs="Arial"/>
          <w:sz w:val="24"/>
          <w:szCs w:val="24"/>
          <w:lang w:val="en-US"/>
        </w:rPr>
        <w:t xml:space="preserve"> </w:t>
      </w:r>
    </w:p>
    <w:p w14:paraId="3EFAF007" w14:textId="33BE0EA4" w:rsidR="00655F2F" w:rsidRPr="000E3105" w:rsidRDefault="00655F2F" w:rsidP="00401E4C">
      <w:pPr>
        <w:tabs>
          <w:tab w:val="left" w:pos="1701"/>
        </w:tabs>
        <w:spacing w:line="480" w:lineRule="auto"/>
        <w:rPr>
          <w:rFonts w:ascii="Arial" w:hAnsi="Arial" w:cs="Arial"/>
          <w:sz w:val="24"/>
          <w:szCs w:val="24"/>
          <w:lang w:val="en-US"/>
        </w:rPr>
      </w:pPr>
      <w:r w:rsidRPr="0042599E">
        <w:rPr>
          <w:rFonts w:ascii="Arial" w:hAnsi="Arial" w:cs="Arial"/>
          <w:bCs/>
          <w:sz w:val="24"/>
          <w:szCs w:val="24"/>
          <w:lang w:val="en-US"/>
        </w:rPr>
        <w:t xml:space="preserve">Sir Nigel Rodley </w:t>
      </w:r>
      <w:r w:rsidRPr="0042599E">
        <w:rPr>
          <w:rFonts w:ascii="Arial" w:hAnsi="Arial" w:cs="Arial"/>
          <w:sz w:val="24"/>
          <w:szCs w:val="24"/>
          <w:lang w:val="en-US"/>
        </w:rPr>
        <w:t>commented on this by claiming that although he found the wording of this point</w:t>
      </w:r>
      <w:r w:rsidRPr="00B468FE">
        <w:rPr>
          <w:rFonts w:ascii="Arial" w:hAnsi="Arial" w:cs="Arial"/>
          <w:color w:val="FF0000"/>
          <w:sz w:val="24"/>
          <w:szCs w:val="24"/>
          <w:lang w:val="en-US"/>
        </w:rPr>
        <w:t xml:space="preserve"> </w:t>
      </w:r>
      <w:r w:rsidRPr="00F27D88">
        <w:rPr>
          <w:rFonts w:ascii="Arial" w:hAnsi="Arial" w:cs="Arial"/>
          <w:sz w:val="24"/>
          <w:szCs w:val="24"/>
          <w:lang w:val="en-US"/>
        </w:rPr>
        <w:t>particularly vag</w:t>
      </w:r>
      <w:r w:rsidRPr="00BA621D">
        <w:rPr>
          <w:rFonts w:ascii="Arial" w:hAnsi="Arial" w:cs="Arial"/>
          <w:sz w:val="24"/>
          <w:szCs w:val="24"/>
          <w:lang w:val="en-US"/>
        </w:rPr>
        <w:t>ue, paragraph (2) of the commentary explained what it actually meant. But, this did not undermine the academic questions asked.</w:t>
      </w:r>
      <w:r w:rsidRPr="00B468FE">
        <w:rPr>
          <w:rFonts w:ascii="Arial" w:hAnsi="Arial" w:cs="Arial"/>
          <w:color w:val="FF0000"/>
          <w:sz w:val="24"/>
          <w:szCs w:val="24"/>
          <w:lang w:val="en-US"/>
        </w:rPr>
        <w:t xml:space="preserve"> </w:t>
      </w:r>
      <w:r w:rsidRPr="00BA621D">
        <w:rPr>
          <w:rFonts w:ascii="Arial" w:hAnsi="Arial" w:cs="Arial"/>
          <w:sz w:val="24"/>
          <w:szCs w:val="24"/>
          <w:lang w:val="en-US"/>
        </w:rPr>
        <w:t>Rodley had no qualms wit</w:t>
      </w:r>
      <w:r w:rsidRPr="00AF7C60">
        <w:rPr>
          <w:rFonts w:ascii="Arial" w:hAnsi="Arial" w:cs="Arial"/>
          <w:sz w:val="24"/>
          <w:szCs w:val="24"/>
          <w:lang w:val="en-US"/>
        </w:rPr>
        <w:t xml:space="preserve">h indicating to the ILC that </w:t>
      </w:r>
      <w:r w:rsidR="00AF7C60" w:rsidRPr="00AF7C60">
        <w:rPr>
          <w:rFonts w:ascii="Arial" w:hAnsi="Arial" w:cs="Arial"/>
          <w:sz w:val="24"/>
          <w:szCs w:val="24"/>
          <w:lang w:val="en-US"/>
        </w:rPr>
        <w:t>members</w:t>
      </w:r>
      <w:r w:rsidR="00AF7C60" w:rsidRPr="009866E4">
        <w:rPr>
          <w:rFonts w:ascii="Arial" w:hAnsi="Arial" w:cs="Arial"/>
          <w:sz w:val="24"/>
          <w:szCs w:val="24"/>
          <w:lang w:val="en-US"/>
        </w:rPr>
        <w:t xml:space="preserve"> of the HRC were worried about</w:t>
      </w:r>
      <w:r w:rsidRPr="009866E4">
        <w:rPr>
          <w:rFonts w:ascii="Arial" w:hAnsi="Arial" w:cs="Arial"/>
          <w:sz w:val="24"/>
          <w:szCs w:val="24"/>
          <w:lang w:val="en-US"/>
        </w:rPr>
        <w:t xml:space="preserve"> </w:t>
      </w:r>
      <w:r w:rsidR="00F504A0" w:rsidRPr="009866E4">
        <w:rPr>
          <w:rFonts w:ascii="Arial" w:hAnsi="Arial" w:cs="Arial"/>
          <w:sz w:val="24"/>
          <w:szCs w:val="24"/>
          <w:lang w:val="en-US"/>
        </w:rPr>
        <w:t>the</w:t>
      </w:r>
      <w:r w:rsidR="00AF7C60" w:rsidRPr="009866E4">
        <w:rPr>
          <w:rFonts w:ascii="Arial" w:hAnsi="Arial" w:cs="Arial"/>
          <w:sz w:val="24"/>
          <w:szCs w:val="24"/>
          <w:lang w:val="en-US"/>
        </w:rPr>
        <w:t xml:space="preserve"> </w:t>
      </w:r>
      <w:r w:rsidR="009866E4" w:rsidRPr="009866E4">
        <w:rPr>
          <w:rFonts w:ascii="Arial" w:hAnsi="Arial" w:cs="Arial"/>
          <w:sz w:val="24"/>
          <w:szCs w:val="24"/>
          <w:lang w:val="en-US"/>
        </w:rPr>
        <w:t>paradoxical fact</w:t>
      </w:r>
      <w:r w:rsidRPr="009866E4">
        <w:rPr>
          <w:rFonts w:ascii="Arial" w:hAnsi="Arial" w:cs="Arial"/>
          <w:sz w:val="24"/>
          <w:szCs w:val="24"/>
          <w:lang w:val="en-US"/>
        </w:rPr>
        <w:t xml:space="preserve"> that an impermissible reservation </w:t>
      </w:r>
      <w:r w:rsidR="009866E4" w:rsidRPr="009866E4">
        <w:rPr>
          <w:rFonts w:ascii="Arial" w:hAnsi="Arial" w:cs="Arial"/>
          <w:sz w:val="24"/>
          <w:szCs w:val="24"/>
          <w:lang w:val="en-US"/>
        </w:rPr>
        <w:t>can</w:t>
      </w:r>
      <w:r w:rsidRPr="009866E4">
        <w:rPr>
          <w:rFonts w:ascii="Arial" w:hAnsi="Arial" w:cs="Arial"/>
          <w:sz w:val="24"/>
          <w:szCs w:val="24"/>
          <w:lang w:val="en-US"/>
        </w:rPr>
        <w:t xml:space="preserve"> become permissible </w:t>
      </w:r>
      <w:r w:rsidR="009866E4" w:rsidRPr="009866E4">
        <w:rPr>
          <w:rFonts w:ascii="Arial" w:hAnsi="Arial" w:cs="Arial"/>
          <w:sz w:val="24"/>
          <w:szCs w:val="24"/>
          <w:lang w:val="en-US"/>
        </w:rPr>
        <w:t>through</w:t>
      </w:r>
      <w:r w:rsidRPr="009866E4">
        <w:rPr>
          <w:rFonts w:ascii="Arial" w:hAnsi="Arial" w:cs="Arial"/>
          <w:sz w:val="24"/>
          <w:szCs w:val="24"/>
          <w:lang w:val="en-US"/>
        </w:rPr>
        <w:t xml:space="preserve"> the </w:t>
      </w:r>
      <w:r w:rsidR="009866E4" w:rsidRPr="009866E4">
        <w:rPr>
          <w:rFonts w:ascii="Arial" w:hAnsi="Arial" w:cs="Arial"/>
          <w:sz w:val="24"/>
          <w:szCs w:val="24"/>
          <w:lang w:val="en-US"/>
        </w:rPr>
        <w:t>procedure outlined</w:t>
      </w:r>
      <w:r w:rsidRPr="009866E4">
        <w:rPr>
          <w:rFonts w:ascii="Arial" w:hAnsi="Arial" w:cs="Arial"/>
          <w:sz w:val="24"/>
          <w:szCs w:val="24"/>
          <w:lang w:val="en-US"/>
        </w:rPr>
        <w:t xml:space="preserve">. </w:t>
      </w:r>
      <w:r w:rsidRPr="00F555E0">
        <w:rPr>
          <w:rFonts w:ascii="Arial" w:hAnsi="Arial" w:cs="Arial"/>
          <w:sz w:val="24"/>
          <w:szCs w:val="24"/>
          <w:lang w:val="en-US"/>
        </w:rPr>
        <w:t xml:space="preserve">The </w:t>
      </w:r>
      <w:r w:rsidR="00F555E0" w:rsidRPr="00F555E0">
        <w:rPr>
          <w:rFonts w:ascii="Arial" w:hAnsi="Arial" w:cs="Arial"/>
          <w:sz w:val="24"/>
          <w:szCs w:val="24"/>
          <w:lang w:val="en-US"/>
        </w:rPr>
        <w:t>HRC</w:t>
      </w:r>
      <w:r w:rsidRPr="00F555E0">
        <w:rPr>
          <w:rFonts w:ascii="Arial" w:hAnsi="Arial" w:cs="Arial"/>
          <w:sz w:val="24"/>
          <w:szCs w:val="24"/>
          <w:lang w:val="en-US"/>
        </w:rPr>
        <w:t xml:space="preserve"> </w:t>
      </w:r>
      <w:r w:rsidR="008E7000">
        <w:rPr>
          <w:rFonts w:ascii="Arial" w:hAnsi="Arial" w:cs="Arial"/>
          <w:sz w:val="24"/>
          <w:szCs w:val="24"/>
          <w:lang w:val="en-US"/>
        </w:rPr>
        <w:t xml:space="preserve">even </w:t>
      </w:r>
      <w:r w:rsidR="00F555E0" w:rsidRPr="00F555E0">
        <w:rPr>
          <w:rFonts w:ascii="Arial" w:hAnsi="Arial" w:cs="Arial"/>
          <w:sz w:val="24"/>
          <w:szCs w:val="24"/>
          <w:lang w:val="en-US"/>
        </w:rPr>
        <w:t>suggested</w:t>
      </w:r>
      <w:r w:rsidRPr="00F555E0">
        <w:rPr>
          <w:rFonts w:ascii="Arial" w:hAnsi="Arial" w:cs="Arial"/>
          <w:sz w:val="24"/>
          <w:szCs w:val="24"/>
          <w:lang w:val="en-US"/>
        </w:rPr>
        <w:t xml:space="preserve"> that th</w:t>
      </w:r>
      <w:r w:rsidRPr="008E7000">
        <w:rPr>
          <w:rFonts w:ascii="Arial" w:hAnsi="Arial" w:cs="Arial"/>
          <w:sz w:val="24"/>
          <w:szCs w:val="24"/>
          <w:lang w:val="en-US"/>
        </w:rPr>
        <w:t xml:space="preserve">e ILC </w:t>
      </w:r>
      <w:r w:rsidR="008E7000" w:rsidRPr="008E7000">
        <w:rPr>
          <w:rFonts w:ascii="Arial" w:hAnsi="Arial" w:cs="Arial"/>
          <w:sz w:val="24"/>
          <w:szCs w:val="24"/>
          <w:lang w:val="en-US"/>
        </w:rPr>
        <w:t>‘</w:t>
      </w:r>
      <w:r w:rsidRPr="008E7000">
        <w:rPr>
          <w:rFonts w:ascii="Arial" w:hAnsi="Arial" w:cs="Arial"/>
          <w:sz w:val="24"/>
          <w:szCs w:val="24"/>
          <w:lang w:val="en-US"/>
        </w:rPr>
        <w:t>should review the desirability of including the draft guideline at all</w:t>
      </w:r>
      <w:r w:rsidR="008E7000" w:rsidRPr="008E7000">
        <w:rPr>
          <w:rFonts w:ascii="Arial" w:hAnsi="Arial" w:cs="Arial"/>
          <w:sz w:val="24"/>
          <w:szCs w:val="24"/>
          <w:lang w:val="en-US"/>
        </w:rPr>
        <w:t>’</w:t>
      </w:r>
      <w:r w:rsidRPr="008E7000">
        <w:rPr>
          <w:rFonts w:ascii="Arial" w:hAnsi="Arial" w:cs="Arial"/>
          <w:sz w:val="24"/>
          <w:szCs w:val="24"/>
          <w:lang w:val="en-US"/>
        </w:rPr>
        <w:t>.</w:t>
      </w:r>
      <w:r w:rsidR="008E7000" w:rsidRPr="008E7000">
        <w:rPr>
          <w:rStyle w:val="FootnoteReference"/>
          <w:rFonts w:ascii="Arial" w:hAnsi="Arial" w:cs="Arial"/>
          <w:sz w:val="24"/>
          <w:szCs w:val="24"/>
          <w:lang w:val="en-US"/>
        </w:rPr>
        <w:footnoteReference w:id="212"/>
      </w:r>
      <w:r w:rsidRPr="00B468FE">
        <w:rPr>
          <w:rFonts w:ascii="Arial" w:hAnsi="Arial" w:cs="Arial"/>
          <w:color w:val="FF0000"/>
          <w:sz w:val="24"/>
          <w:szCs w:val="24"/>
          <w:lang w:val="en-US"/>
        </w:rPr>
        <w:t xml:space="preserve"> </w:t>
      </w:r>
      <w:r w:rsidR="000174BD" w:rsidRPr="000174BD">
        <w:rPr>
          <w:rFonts w:ascii="Arial" w:hAnsi="Arial" w:cs="Arial"/>
          <w:sz w:val="24"/>
          <w:szCs w:val="24"/>
          <w:lang w:val="en-US"/>
        </w:rPr>
        <w:t>But, Rodley concurred</w:t>
      </w:r>
      <w:r w:rsidRPr="000174BD">
        <w:rPr>
          <w:rFonts w:ascii="Arial" w:hAnsi="Arial" w:cs="Arial"/>
          <w:sz w:val="24"/>
          <w:szCs w:val="24"/>
          <w:lang w:val="en-US"/>
        </w:rPr>
        <w:t xml:space="preserve"> with Ms. Chanet that it was </w:t>
      </w:r>
      <w:r w:rsidRPr="000E3105">
        <w:rPr>
          <w:rFonts w:ascii="Arial" w:hAnsi="Arial" w:cs="Arial"/>
          <w:sz w:val="24"/>
          <w:szCs w:val="24"/>
          <w:lang w:val="en-US"/>
        </w:rPr>
        <w:t xml:space="preserve">not </w:t>
      </w:r>
      <w:r w:rsidR="000174BD" w:rsidRPr="000E3105">
        <w:rPr>
          <w:rFonts w:ascii="Arial" w:hAnsi="Arial" w:cs="Arial"/>
          <w:sz w:val="24"/>
          <w:szCs w:val="24"/>
          <w:lang w:val="en-US"/>
        </w:rPr>
        <w:t>potentially un</w:t>
      </w:r>
      <w:r w:rsidRPr="000E3105">
        <w:rPr>
          <w:rFonts w:ascii="Arial" w:hAnsi="Arial" w:cs="Arial"/>
          <w:sz w:val="24"/>
          <w:szCs w:val="24"/>
          <w:lang w:val="en-US"/>
        </w:rPr>
        <w:t xml:space="preserve">necessary for the </w:t>
      </w:r>
      <w:r w:rsidR="000174BD" w:rsidRPr="000E3105">
        <w:rPr>
          <w:rFonts w:ascii="Arial" w:hAnsi="Arial" w:cs="Arial"/>
          <w:sz w:val="24"/>
          <w:szCs w:val="24"/>
          <w:lang w:val="en-US"/>
        </w:rPr>
        <w:t>HRC</w:t>
      </w:r>
      <w:r w:rsidRPr="000E3105">
        <w:rPr>
          <w:rFonts w:ascii="Arial" w:hAnsi="Arial" w:cs="Arial"/>
          <w:sz w:val="24"/>
          <w:szCs w:val="24"/>
          <w:lang w:val="en-US"/>
        </w:rPr>
        <w:t xml:space="preserve"> </w:t>
      </w:r>
      <w:r w:rsidR="000E3105" w:rsidRPr="000E3105">
        <w:rPr>
          <w:rFonts w:ascii="Arial" w:hAnsi="Arial" w:cs="Arial"/>
          <w:sz w:val="24"/>
          <w:szCs w:val="24"/>
          <w:lang w:val="en-US"/>
        </w:rPr>
        <w:t>‘</w:t>
      </w:r>
      <w:r w:rsidRPr="000E3105">
        <w:rPr>
          <w:rFonts w:ascii="Arial" w:hAnsi="Arial" w:cs="Arial"/>
          <w:sz w:val="24"/>
          <w:szCs w:val="24"/>
          <w:lang w:val="en-US"/>
        </w:rPr>
        <w:t>to adopt such a categorical stance in view of the limited circumstances in which the draft guideline was applicable</w:t>
      </w:r>
      <w:r w:rsidR="000E3105" w:rsidRPr="000E3105">
        <w:rPr>
          <w:rFonts w:ascii="Arial" w:hAnsi="Arial" w:cs="Arial"/>
          <w:sz w:val="24"/>
          <w:szCs w:val="24"/>
          <w:lang w:val="en-US"/>
        </w:rPr>
        <w:t>’</w:t>
      </w:r>
      <w:r w:rsidRPr="000E3105">
        <w:rPr>
          <w:rFonts w:ascii="Arial" w:hAnsi="Arial" w:cs="Arial"/>
          <w:sz w:val="24"/>
          <w:szCs w:val="24"/>
          <w:lang w:val="en-US"/>
        </w:rPr>
        <w:t>.</w:t>
      </w:r>
      <w:r w:rsidR="000E3105" w:rsidRPr="000E3105">
        <w:rPr>
          <w:rStyle w:val="FootnoteReference"/>
          <w:rFonts w:ascii="Arial" w:hAnsi="Arial" w:cs="Arial"/>
          <w:sz w:val="24"/>
          <w:szCs w:val="24"/>
          <w:lang w:val="en-US"/>
        </w:rPr>
        <w:footnoteReference w:id="213"/>
      </w:r>
      <w:r w:rsidRPr="000E3105">
        <w:rPr>
          <w:rFonts w:ascii="Arial" w:hAnsi="Arial" w:cs="Arial"/>
          <w:sz w:val="24"/>
          <w:szCs w:val="24"/>
          <w:lang w:val="en-US"/>
        </w:rPr>
        <w:t xml:space="preserve"> </w:t>
      </w:r>
      <w:r w:rsidR="00EA51C8" w:rsidRPr="000E3105">
        <w:rPr>
          <w:rFonts w:ascii="Arial" w:hAnsi="Arial" w:cs="Arial"/>
          <w:sz w:val="24"/>
          <w:szCs w:val="24"/>
          <w:lang w:val="en-US"/>
        </w:rPr>
        <w:t>Only</w:t>
      </w:r>
      <w:r w:rsidRPr="00FF6A6D">
        <w:rPr>
          <w:rFonts w:ascii="Arial" w:hAnsi="Arial" w:cs="Arial"/>
          <w:sz w:val="24"/>
          <w:szCs w:val="24"/>
          <w:lang w:val="en-US"/>
        </w:rPr>
        <w:t xml:space="preserve"> when</w:t>
      </w:r>
      <w:r w:rsidRPr="00B468FE">
        <w:rPr>
          <w:rFonts w:ascii="Arial" w:hAnsi="Arial" w:cs="Arial"/>
          <w:color w:val="FF0000"/>
          <w:sz w:val="24"/>
          <w:szCs w:val="24"/>
          <w:lang w:val="en-US"/>
        </w:rPr>
        <w:t xml:space="preserve"> </w:t>
      </w:r>
      <w:r w:rsidRPr="00966863">
        <w:rPr>
          <w:rFonts w:ascii="Arial" w:hAnsi="Arial" w:cs="Arial"/>
          <w:sz w:val="24"/>
          <w:szCs w:val="24"/>
          <w:lang w:val="en-US"/>
        </w:rPr>
        <w:t>other colleagues did not share th</w:t>
      </w:r>
      <w:r w:rsidR="003A106A">
        <w:rPr>
          <w:rFonts w:ascii="Arial" w:hAnsi="Arial" w:cs="Arial"/>
          <w:sz w:val="24"/>
          <w:szCs w:val="24"/>
          <w:lang w:val="en-US"/>
        </w:rPr>
        <w:t>is</w:t>
      </w:r>
      <w:r w:rsidRPr="00966863">
        <w:rPr>
          <w:rFonts w:ascii="Arial" w:hAnsi="Arial" w:cs="Arial"/>
          <w:sz w:val="24"/>
          <w:szCs w:val="24"/>
          <w:lang w:val="en-US"/>
        </w:rPr>
        <w:t xml:space="preserve"> opinion</w:t>
      </w:r>
      <w:r w:rsidR="00EA51C8">
        <w:rPr>
          <w:rFonts w:ascii="Arial" w:hAnsi="Arial" w:cs="Arial"/>
          <w:sz w:val="24"/>
          <w:szCs w:val="24"/>
          <w:lang w:val="en-US"/>
        </w:rPr>
        <w:t xml:space="preserve"> did</w:t>
      </w:r>
      <w:r w:rsidRPr="00B468FE">
        <w:rPr>
          <w:rFonts w:ascii="Arial" w:hAnsi="Arial" w:cs="Arial"/>
          <w:color w:val="FF0000"/>
          <w:sz w:val="24"/>
          <w:szCs w:val="24"/>
          <w:lang w:val="en-US"/>
        </w:rPr>
        <w:t xml:space="preserve"> </w:t>
      </w:r>
      <w:r w:rsidRPr="007A5865">
        <w:rPr>
          <w:rFonts w:ascii="Arial" w:hAnsi="Arial" w:cs="Arial"/>
          <w:sz w:val="24"/>
          <w:szCs w:val="24"/>
          <w:lang w:val="en-US"/>
        </w:rPr>
        <w:t>Rodley</w:t>
      </w:r>
      <w:r w:rsidR="00EA51C8">
        <w:rPr>
          <w:rFonts w:ascii="Arial" w:hAnsi="Arial" w:cs="Arial"/>
          <w:sz w:val="24"/>
          <w:szCs w:val="24"/>
          <w:lang w:val="en-US"/>
        </w:rPr>
        <w:t xml:space="preserve"> drop</w:t>
      </w:r>
      <w:r>
        <w:rPr>
          <w:rFonts w:ascii="Arial" w:hAnsi="Arial" w:cs="Arial"/>
          <w:sz w:val="24"/>
          <w:szCs w:val="24"/>
          <w:lang w:val="en-US"/>
        </w:rPr>
        <w:t xml:space="preserve"> any further investigation.</w:t>
      </w:r>
      <w:r w:rsidR="000E3105">
        <w:rPr>
          <w:rFonts w:ascii="Arial" w:hAnsi="Arial" w:cs="Arial"/>
          <w:sz w:val="24"/>
          <w:szCs w:val="24"/>
          <w:lang w:val="en-US"/>
        </w:rPr>
        <w:t xml:space="preserve"> </w:t>
      </w:r>
    </w:p>
    <w:p w14:paraId="738E3FDA" w14:textId="47FAE130" w:rsidR="005E5194" w:rsidRPr="00D014C9" w:rsidRDefault="004A07C0" w:rsidP="00401E4C">
      <w:pPr>
        <w:spacing w:line="480" w:lineRule="auto"/>
        <w:rPr>
          <w:rFonts w:ascii="Arial" w:hAnsi="Arial" w:cs="Arial"/>
          <w:sz w:val="24"/>
          <w:szCs w:val="24"/>
          <w:lang w:val="en-US"/>
        </w:rPr>
      </w:pPr>
      <w:r w:rsidRPr="004A07C0">
        <w:rPr>
          <w:rFonts w:ascii="Arial" w:hAnsi="Arial" w:cs="Arial"/>
          <w:sz w:val="24"/>
          <w:szCs w:val="24"/>
          <w:lang w:val="en-US"/>
        </w:rPr>
        <w:t>It is obvious that</w:t>
      </w:r>
      <w:r w:rsidR="007C3DA8" w:rsidRPr="007C3DA8">
        <w:rPr>
          <w:rFonts w:ascii="Arial" w:hAnsi="Arial" w:cs="Arial"/>
          <w:color w:val="FF0000"/>
          <w:sz w:val="24"/>
          <w:szCs w:val="24"/>
          <w:lang w:val="en-US"/>
        </w:rPr>
        <w:t xml:space="preserve"> </w:t>
      </w:r>
      <w:r w:rsidRPr="004A07C0">
        <w:rPr>
          <w:rFonts w:ascii="Arial" w:hAnsi="Arial" w:cs="Arial"/>
          <w:sz w:val="24"/>
          <w:szCs w:val="24"/>
          <w:lang w:val="en-US"/>
        </w:rPr>
        <w:t>although</w:t>
      </w:r>
      <w:r w:rsidR="007C3DA8" w:rsidRPr="004A07C0">
        <w:rPr>
          <w:rFonts w:ascii="Arial" w:hAnsi="Arial" w:cs="Arial"/>
          <w:sz w:val="24"/>
          <w:szCs w:val="24"/>
          <w:lang w:val="en-US"/>
        </w:rPr>
        <w:t xml:space="preserve"> severability may be </w:t>
      </w:r>
      <w:r w:rsidRPr="004A07C0">
        <w:rPr>
          <w:rFonts w:ascii="Arial" w:hAnsi="Arial" w:cs="Arial"/>
          <w:sz w:val="24"/>
          <w:szCs w:val="24"/>
          <w:lang w:val="en-US"/>
        </w:rPr>
        <w:t>regarded</w:t>
      </w:r>
      <w:r w:rsidRPr="00B55554">
        <w:rPr>
          <w:rFonts w:ascii="Arial" w:hAnsi="Arial" w:cs="Arial"/>
          <w:sz w:val="24"/>
          <w:szCs w:val="24"/>
          <w:lang w:val="en-US"/>
        </w:rPr>
        <w:t xml:space="preserve"> as</w:t>
      </w:r>
      <w:r w:rsidR="007C3DA8" w:rsidRPr="00B55554">
        <w:rPr>
          <w:rFonts w:ascii="Arial" w:hAnsi="Arial" w:cs="Arial"/>
          <w:sz w:val="24"/>
          <w:szCs w:val="24"/>
          <w:lang w:val="en-US"/>
        </w:rPr>
        <w:t xml:space="preserve"> a </w:t>
      </w:r>
      <w:r w:rsidRPr="00B55554">
        <w:rPr>
          <w:rFonts w:ascii="Arial" w:hAnsi="Arial" w:cs="Arial"/>
          <w:sz w:val="24"/>
          <w:szCs w:val="24"/>
          <w:lang w:val="en-US"/>
        </w:rPr>
        <w:t>lawful</w:t>
      </w:r>
      <w:r w:rsidR="007C3DA8" w:rsidRPr="00B55554">
        <w:rPr>
          <w:rFonts w:ascii="Arial" w:hAnsi="Arial" w:cs="Arial"/>
          <w:sz w:val="24"/>
          <w:szCs w:val="24"/>
          <w:lang w:val="en-US"/>
        </w:rPr>
        <w:t xml:space="preserve"> </w:t>
      </w:r>
      <w:r w:rsidRPr="00B55554">
        <w:rPr>
          <w:rFonts w:ascii="Arial" w:hAnsi="Arial" w:cs="Arial"/>
          <w:sz w:val="24"/>
          <w:szCs w:val="24"/>
          <w:lang w:val="en-US"/>
        </w:rPr>
        <w:t>choice</w:t>
      </w:r>
      <w:r w:rsidR="007C3DA8" w:rsidRPr="00B55554">
        <w:rPr>
          <w:rFonts w:ascii="Arial" w:hAnsi="Arial" w:cs="Arial"/>
          <w:sz w:val="24"/>
          <w:szCs w:val="24"/>
          <w:lang w:val="en-US"/>
        </w:rPr>
        <w:t xml:space="preserve"> for international courts </w:t>
      </w:r>
      <w:r w:rsidR="00B55554" w:rsidRPr="00B55554">
        <w:rPr>
          <w:rFonts w:ascii="Arial" w:hAnsi="Arial" w:cs="Arial"/>
          <w:sz w:val="24"/>
          <w:szCs w:val="24"/>
          <w:lang w:val="en-US"/>
        </w:rPr>
        <w:t>handling an</w:t>
      </w:r>
      <w:r w:rsidR="007C3DA8" w:rsidRPr="00B55554">
        <w:rPr>
          <w:rFonts w:ascii="Arial" w:hAnsi="Arial" w:cs="Arial"/>
          <w:sz w:val="24"/>
          <w:szCs w:val="24"/>
          <w:lang w:val="en-US"/>
        </w:rPr>
        <w:t xml:space="preserve"> incompatible reservation</w:t>
      </w:r>
      <w:r w:rsidR="00B55554" w:rsidRPr="00B55554">
        <w:rPr>
          <w:rFonts w:ascii="Arial" w:hAnsi="Arial" w:cs="Arial"/>
          <w:sz w:val="24"/>
          <w:szCs w:val="24"/>
          <w:lang w:val="en-US"/>
        </w:rPr>
        <w:t xml:space="preserve"> submitted to them</w:t>
      </w:r>
      <w:r w:rsidR="007C3DA8" w:rsidRPr="00B55554">
        <w:rPr>
          <w:rFonts w:ascii="Arial" w:hAnsi="Arial" w:cs="Arial"/>
          <w:sz w:val="24"/>
          <w:szCs w:val="24"/>
          <w:lang w:val="en-US"/>
        </w:rPr>
        <w:t>,</w:t>
      </w:r>
      <w:r w:rsidR="00F02CB2">
        <w:rPr>
          <w:rFonts w:ascii="Arial" w:hAnsi="Arial" w:cs="Arial"/>
          <w:sz w:val="24"/>
          <w:szCs w:val="24"/>
          <w:lang w:val="en-US"/>
        </w:rPr>
        <w:t xml:space="preserve"> there is no evidence yet of an emerging</w:t>
      </w:r>
      <w:r w:rsidR="007C3DA8" w:rsidRPr="007C3DA8">
        <w:rPr>
          <w:rFonts w:ascii="Arial" w:hAnsi="Arial" w:cs="Arial"/>
          <w:color w:val="FF0000"/>
          <w:sz w:val="24"/>
          <w:szCs w:val="24"/>
          <w:lang w:val="en-US"/>
        </w:rPr>
        <w:t xml:space="preserve"> </w:t>
      </w:r>
      <w:r w:rsidR="007C3DA8" w:rsidRPr="00EA6330">
        <w:rPr>
          <w:rFonts w:ascii="Arial" w:hAnsi="Arial" w:cs="Arial"/>
          <w:sz w:val="24"/>
          <w:szCs w:val="24"/>
          <w:lang w:val="en-US"/>
        </w:rPr>
        <w:t xml:space="preserve">customary international norm </w:t>
      </w:r>
      <w:r w:rsidR="00EA6330" w:rsidRPr="00EA6330">
        <w:rPr>
          <w:rFonts w:ascii="Arial" w:hAnsi="Arial" w:cs="Arial"/>
          <w:sz w:val="24"/>
          <w:szCs w:val="24"/>
          <w:lang w:val="en-US"/>
        </w:rPr>
        <w:t>favouring</w:t>
      </w:r>
      <w:r w:rsidR="007C3DA8" w:rsidRPr="00EA6330">
        <w:rPr>
          <w:rFonts w:ascii="Arial" w:hAnsi="Arial" w:cs="Arial"/>
          <w:sz w:val="24"/>
          <w:szCs w:val="24"/>
          <w:lang w:val="en-US"/>
        </w:rPr>
        <w:t xml:space="preserve"> </w:t>
      </w:r>
      <w:r w:rsidR="00EA6330" w:rsidRPr="00EA6330">
        <w:rPr>
          <w:rFonts w:ascii="Arial" w:hAnsi="Arial" w:cs="Arial"/>
          <w:sz w:val="24"/>
          <w:szCs w:val="24"/>
          <w:lang w:val="en-US"/>
        </w:rPr>
        <w:t>the severability of</w:t>
      </w:r>
      <w:r w:rsidR="007C3DA8" w:rsidRPr="00EA6330">
        <w:rPr>
          <w:rFonts w:ascii="Arial" w:hAnsi="Arial" w:cs="Arial"/>
          <w:sz w:val="24"/>
          <w:szCs w:val="24"/>
          <w:lang w:val="en-US"/>
        </w:rPr>
        <w:t xml:space="preserve"> invalid reservations.</w:t>
      </w:r>
      <w:r w:rsidR="00027887" w:rsidRPr="00EA6330">
        <w:rPr>
          <w:rStyle w:val="FootnoteReference"/>
          <w:rFonts w:ascii="Arial" w:hAnsi="Arial" w:cs="Arial"/>
          <w:sz w:val="24"/>
          <w:szCs w:val="24"/>
          <w:lang w:val="en-US"/>
        </w:rPr>
        <w:footnoteReference w:id="214"/>
      </w:r>
      <w:r w:rsidR="007C3DA8" w:rsidRPr="007C3DA8">
        <w:rPr>
          <w:rFonts w:ascii="Arial" w:hAnsi="Arial" w:cs="Arial"/>
          <w:color w:val="FF0000"/>
          <w:sz w:val="24"/>
          <w:szCs w:val="24"/>
          <w:lang w:val="en-US"/>
        </w:rPr>
        <w:t xml:space="preserve"> </w:t>
      </w:r>
      <w:r w:rsidR="00EA6330" w:rsidRPr="00EA6330">
        <w:rPr>
          <w:rFonts w:ascii="Arial" w:hAnsi="Arial" w:cs="Arial"/>
          <w:sz w:val="24"/>
          <w:szCs w:val="24"/>
          <w:lang w:val="en-US"/>
        </w:rPr>
        <w:t>However, it could be more accurate to argue</w:t>
      </w:r>
      <w:r w:rsidR="008026A8">
        <w:rPr>
          <w:rFonts w:ascii="Arial" w:hAnsi="Arial" w:cs="Arial"/>
          <w:sz w:val="24"/>
          <w:szCs w:val="24"/>
          <w:lang w:val="en-US"/>
        </w:rPr>
        <w:t xml:space="preserve"> that the in</w:t>
      </w:r>
      <w:r w:rsidR="008026A8" w:rsidRPr="008026A8">
        <w:rPr>
          <w:rFonts w:ascii="Arial" w:hAnsi="Arial" w:cs="Arial"/>
          <w:sz w:val="24"/>
          <w:szCs w:val="24"/>
          <w:lang w:val="en-US"/>
        </w:rPr>
        <w:t>consistent</w:t>
      </w:r>
      <w:r w:rsidR="00EA6330" w:rsidRPr="008026A8">
        <w:rPr>
          <w:rFonts w:ascii="Arial" w:hAnsi="Arial" w:cs="Arial"/>
          <w:sz w:val="24"/>
          <w:szCs w:val="24"/>
          <w:lang w:val="en-US"/>
        </w:rPr>
        <w:t xml:space="preserve"> </w:t>
      </w:r>
      <w:r w:rsidR="007C3DA8" w:rsidRPr="008026A8">
        <w:rPr>
          <w:rFonts w:ascii="Arial" w:hAnsi="Arial" w:cs="Arial"/>
          <w:sz w:val="24"/>
          <w:szCs w:val="24"/>
          <w:lang w:val="en-US"/>
        </w:rPr>
        <w:t xml:space="preserve">state and judicial practice </w:t>
      </w:r>
      <w:r w:rsidR="008026A8" w:rsidRPr="008026A8">
        <w:rPr>
          <w:rFonts w:ascii="Arial" w:hAnsi="Arial" w:cs="Arial"/>
          <w:sz w:val="24"/>
          <w:szCs w:val="24"/>
          <w:lang w:val="en-US"/>
        </w:rPr>
        <w:t>indicates</w:t>
      </w:r>
      <w:r w:rsidR="007C3DA8" w:rsidRPr="008026A8">
        <w:rPr>
          <w:rFonts w:ascii="Arial" w:hAnsi="Arial" w:cs="Arial"/>
          <w:sz w:val="24"/>
          <w:szCs w:val="24"/>
          <w:lang w:val="en-US"/>
        </w:rPr>
        <w:t xml:space="preserve"> that ‘the severability issue, even when considered by a court, is more an issue for political judgment (in the best sense of the term) than for legal analysis’.</w:t>
      </w:r>
      <w:r w:rsidR="00637C4B" w:rsidRPr="008026A8">
        <w:rPr>
          <w:rStyle w:val="FootnoteReference"/>
          <w:rFonts w:ascii="Arial" w:hAnsi="Arial" w:cs="Arial"/>
          <w:sz w:val="24"/>
          <w:szCs w:val="24"/>
          <w:lang w:val="en-US"/>
        </w:rPr>
        <w:footnoteReference w:id="215"/>
      </w:r>
      <w:r w:rsidR="00D014C9">
        <w:rPr>
          <w:rFonts w:ascii="Arial" w:hAnsi="Arial" w:cs="Arial"/>
          <w:sz w:val="24"/>
          <w:szCs w:val="24"/>
          <w:lang w:val="en-US"/>
        </w:rPr>
        <w:t xml:space="preserve"> </w:t>
      </w:r>
      <w:r w:rsidR="00DE4554" w:rsidRPr="00A34D67">
        <w:rPr>
          <w:rFonts w:ascii="Arial" w:hAnsi="Arial" w:cs="Arial"/>
          <w:sz w:val="24"/>
          <w:szCs w:val="24"/>
        </w:rPr>
        <w:t>Severance of invalid reservations to human rights treaties remains a debated issue in international law, but it is still generally thought to be the ‘optimal remedy’.</w:t>
      </w:r>
      <w:r w:rsidR="00DE4554" w:rsidRPr="00A34D67">
        <w:rPr>
          <w:rStyle w:val="FootnoteReference"/>
          <w:rFonts w:ascii="Arial" w:hAnsi="Arial" w:cs="Arial"/>
          <w:sz w:val="24"/>
          <w:szCs w:val="24"/>
        </w:rPr>
        <w:footnoteReference w:id="216"/>
      </w:r>
    </w:p>
    <w:p w14:paraId="1F8F94D7" w14:textId="77777777" w:rsidR="00F319DF" w:rsidRPr="00A34D67" w:rsidRDefault="00F319DF" w:rsidP="00401E4C">
      <w:pPr>
        <w:numPr>
          <w:ilvl w:val="0"/>
          <w:numId w:val="25"/>
        </w:numPr>
        <w:spacing w:line="480" w:lineRule="auto"/>
        <w:rPr>
          <w:rFonts w:ascii="Arial" w:hAnsi="Arial" w:cs="Arial"/>
          <w:b/>
          <w:sz w:val="24"/>
          <w:szCs w:val="24"/>
        </w:rPr>
      </w:pPr>
      <w:r w:rsidRPr="00A34D67">
        <w:rPr>
          <w:rFonts w:ascii="Arial" w:hAnsi="Arial" w:cs="Arial"/>
          <w:b/>
          <w:sz w:val="24"/>
          <w:szCs w:val="24"/>
        </w:rPr>
        <w:t>Is there a new law of reservations in general international law that is based on both the traditional and human rights approaches?</w:t>
      </w:r>
    </w:p>
    <w:p w14:paraId="34EC5504" w14:textId="13D3A264" w:rsidR="00BB0B35" w:rsidRPr="00A34D67" w:rsidRDefault="00BB0B35" w:rsidP="00401E4C">
      <w:pPr>
        <w:tabs>
          <w:tab w:val="left" w:pos="1701"/>
        </w:tabs>
        <w:spacing w:line="480" w:lineRule="auto"/>
        <w:rPr>
          <w:rFonts w:ascii="Arial" w:hAnsi="Arial" w:cs="Arial"/>
          <w:sz w:val="24"/>
          <w:szCs w:val="24"/>
          <w:lang w:val="en-US"/>
        </w:rPr>
      </w:pPr>
      <w:r w:rsidRPr="00A34D67">
        <w:rPr>
          <w:rFonts w:ascii="Arial" w:hAnsi="Arial" w:cs="Arial"/>
          <w:sz w:val="24"/>
          <w:szCs w:val="24"/>
          <w:lang w:val="en-US"/>
        </w:rPr>
        <w:t xml:space="preserve">By the </w:t>
      </w:r>
      <w:r w:rsidR="00BD0173" w:rsidRPr="00A34D67">
        <w:rPr>
          <w:rFonts w:ascii="Arial" w:hAnsi="Arial" w:cs="Arial"/>
          <w:sz w:val="24"/>
          <w:szCs w:val="24"/>
          <w:lang w:val="en-US"/>
        </w:rPr>
        <w:t xml:space="preserve">end of the </w:t>
      </w:r>
      <w:r w:rsidRPr="00A34D67">
        <w:rPr>
          <w:rFonts w:ascii="Arial" w:hAnsi="Arial" w:cs="Arial"/>
          <w:sz w:val="24"/>
          <w:szCs w:val="24"/>
          <w:lang w:val="en-US"/>
        </w:rPr>
        <w:t>1990s,</w:t>
      </w:r>
      <w:r w:rsidRPr="00A34D67">
        <w:rPr>
          <w:rFonts w:ascii="Arial" w:hAnsi="Arial" w:cs="Arial"/>
          <w:color w:val="FF0000"/>
          <w:sz w:val="24"/>
          <w:szCs w:val="24"/>
          <w:lang w:val="en-US"/>
        </w:rPr>
        <w:t xml:space="preserve"> </w:t>
      </w:r>
      <w:r w:rsidR="000069CF" w:rsidRPr="00A34D67">
        <w:rPr>
          <w:rFonts w:ascii="Arial" w:hAnsi="Arial" w:cs="Arial"/>
          <w:sz w:val="24"/>
          <w:szCs w:val="24"/>
          <w:lang w:val="en-US"/>
        </w:rPr>
        <w:t xml:space="preserve">the provisions of the Vienna Convention concerning reservations had been plainly exposed as </w:t>
      </w:r>
      <w:r w:rsidR="009F6891" w:rsidRPr="00A34D67">
        <w:rPr>
          <w:rFonts w:ascii="Arial" w:hAnsi="Arial" w:cs="Arial"/>
          <w:sz w:val="24"/>
          <w:szCs w:val="24"/>
          <w:lang w:val="en-US"/>
        </w:rPr>
        <w:t xml:space="preserve">both </w:t>
      </w:r>
      <w:r w:rsidR="000069CF" w:rsidRPr="00A34D67">
        <w:rPr>
          <w:rFonts w:ascii="Arial" w:hAnsi="Arial" w:cs="Arial"/>
          <w:sz w:val="24"/>
          <w:szCs w:val="24"/>
          <w:lang w:val="en-US"/>
        </w:rPr>
        <w:t>antiquated and inadequate</w:t>
      </w:r>
      <w:r w:rsidRPr="00A34D67">
        <w:rPr>
          <w:rFonts w:ascii="Arial" w:hAnsi="Arial" w:cs="Arial"/>
          <w:sz w:val="24"/>
          <w:szCs w:val="24"/>
          <w:lang w:val="en-US"/>
        </w:rPr>
        <w:t xml:space="preserve">. </w:t>
      </w:r>
      <w:r w:rsidR="00825BDD" w:rsidRPr="00A34D67">
        <w:rPr>
          <w:rFonts w:ascii="Arial" w:hAnsi="Arial" w:cs="Arial"/>
          <w:sz w:val="24"/>
          <w:szCs w:val="24"/>
          <w:lang w:val="en-US"/>
        </w:rPr>
        <w:t>The bias of the Convention’s provisions “give an unacceptable advantage to a reserving state”.</w:t>
      </w:r>
      <w:r w:rsidR="00825BDD" w:rsidRPr="00A34D67">
        <w:rPr>
          <w:rStyle w:val="FootnoteReference"/>
          <w:rFonts w:ascii="Arial" w:hAnsi="Arial" w:cs="Arial"/>
          <w:sz w:val="24"/>
          <w:szCs w:val="24"/>
          <w:lang w:val="en-US"/>
        </w:rPr>
        <w:footnoteReference w:id="217"/>
      </w:r>
      <w:r w:rsidR="00825BDD" w:rsidRPr="00A34D67">
        <w:rPr>
          <w:rFonts w:ascii="Arial" w:hAnsi="Arial" w:cs="Arial"/>
          <w:sz w:val="24"/>
          <w:szCs w:val="24"/>
          <w:lang w:val="en-US"/>
        </w:rPr>
        <w:t xml:space="preserve"> </w:t>
      </w:r>
      <w:r w:rsidR="000069CF" w:rsidRPr="00A34D67">
        <w:rPr>
          <w:rFonts w:ascii="Arial" w:hAnsi="Arial" w:cs="Arial"/>
          <w:sz w:val="24"/>
          <w:szCs w:val="24"/>
          <w:lang w:val="en-US"/>
        </w:rPr>
        <w:t>Following the HRC’s</w:t>
      </w:r>
      <w:r w:rsidR="000069CF" w:rsidRPr="00A34D67">
        <w:rPr>
          <w:rFonts w:ascii="Arial" w:hAnsi="Arial" w:cs="Arial"/>
          <w:color w:val="FF0000"/>
          <w:sz w:val="24"/>
          <w:szCs w:val="24"/>
          <w:lang w:val="en-US"/>
        </w:rPr>
        <w:t xml:space="preserve"> </w:t>
      </w:r>
      <w:r w:rsidR="00081807" w:rsidRPr="00A34D67">
        <w:rPr>
          <w:rFonts w:ascii="Arial" w:hAnsi="Arial" w:cs="Arial"/>
          <w:sz w:val="24"/>
          <w:szCs w:val="24"/>
          <w:lang w:val="en-US"/>
        </w:rPr>
        <w:t>futile</w:t>
      </w:r>
      <w:r w:rsidRPr="00A34D67">
        <w:rPr>
          <w:rFonts w:ascii="Arial" w:hAnsi="Arial" w:cs="Arial"/>
          <w:sz w:val="24"/>
          <w:szCs w:val="24"/>
          <w:lang w:val="en-US"/>
        </w:rPr>
        <w:t xml:space="preserve"> attempt in 1994</w:t>
      </w:r>
      <w:r w:rsidR="001309B4" w:rsidRPr="00A34D67">
        <w:rPr>
          <w:rStyle w:val="FootnoteReference"/>
          <w:rFonts w:ascii="Arial" w:hAnsi="Arial" w:cs="Arial"/>
          <w:sz w:val="24"/>
          <w:szCs w:val="24"/>
          <w:lang w:val="en-US"/>
        </w:rPr>
        <w:footnoteReference w:id="218"/>
      </w:r>
      <w:r w:rsidR="00081807" w:rsidRPr="00A34D67">
        <w:rPr>
          <w:rFonts w:ascii="Arial" w:hAnsi="Arial" w:cs="Arial"/>
          <w:sz w:val="24"/>
          <w:szCs w:val="24"/>
          <w:lang w:val="en-US"/>
        </w:rPr>
        <w:t xml:space="preserve"> to assert authority over the decision-making process for</w:t>
      </w:r>
      <w:r w:rsidRPr="00A34D67">
        <w:rPr>
          <w:rFonts w:ascii="Arial" w:hAnsi="Arial" w:cs="Arial"/>
          <w:sz w:val="24"/>
          <w:szCs w:val="24"/>
          <w:lang w:val="en-US"/>
        </w:rPr>
        <w:t xml:space="preserve"> </w:t>
      </w:r>
      <w:r w:rsidR="00081807" w:rsidRPr="00A34D67">
        <w:rPr>
          <w:rFonts w:ascii="Arial" w:hAnsi="Arial" w:cs="Arial"/>
          <w:sz w:val="24"/>
          <w:szCs w:val="24"/>
          <w:lang w:val="en-US"/>
        </w:rPr>
        <w:t>determining</w:t>
      </w:r>
      <w:r w:rsidR="00081807" w:rsidRPr="00A34D67">
        <w:rPr>
          <w:rFonts w:ascii="Arial" w:hAnsi="Arial" w:cs="Arial"/>
          <w:color w:val="FF0000"/>
          <w:sz w:val="24"/>
          <w:szCs w:val="24"/>
          <w:lang w:val="en-US"/>
        </w:rPr>
        <w:t xml:space="preserve"> </w:t>
      </w:r>
      <w:r w:rsidRPr="00A34D67">
        <w:rPr>
          <w:rFonts w:ascii="Arial" w:hAnsi="Arial" w:cs="Arial"/>
          <w:sz w:val="24"/>
          <w:szCs w:val="24"/>
          <w:lang w:val="en-US"/>
        </w:rPr>
        <w:t>the admissibility of reservations to UN human rights treaties</w:t>
      </w:r>
      <w:r w:rsidR="009F6891" w:rsidRPr="00A34D67">
        <w:rPr>
          <w:rFonts w:ascii="Arial" w:hAnsi="Arial" w:cs="Arial"/>
          <w:sz w:val="24"/>
          <w:szCs w:val="24"/>
          <w:lang w:val="en-US"/>
        </w:rPr>
        <w:t>,</w:t>
      </w:r>
      <w:r w:rsidR="00EA2ED3" w:rsidRPr="00A34D67">
        <w:rPr>
          <w:rStyle w:val="FootnoteReference"/>
          <w:rFonts w:ascii="Arial" w:hAnsi="Arial" w:cs="Arial"/>
          <w:sz w:val="24"/>
          <w:szCs w:val="24"/>
          <w:lang w:val="en-US"/>
        </w:rPr>
        <w:footnoteReference w:id="219"/>
      </w:r>
      <w:r w:rsidR="009F6891" w:rsidRPr="00A34D67">
        <w:rPr>
          <w:rFonts w:ascii="Arial" w:hAnsi="Arial" w:cs="Arial"/>
          <w:sz w:val="24"/>
          <w:szCs w:val="24"/>
          <w:lang w:val="en-US"/>
        </w:rPr>
        <w:t xml:space="preserve"> which was met with fierce resistance by</w:t>
      </w:r>
      <w:r w:rsidR="00B70140" w:rsidRPr="00A34D67">
        <w:rPr>
          <w:rFonts w:ascii="Arial" w:hAnsi="Arial" w:cs="Arial"/>
          <w:sz w:val="24"/>
          <w:szCs w:val="24"/>
          <w:lang w:val="en-US"/>
        </w:rPr>
        <w:t xml:space="preserve"> the UK, </w:t>
      </w:r>
      <w:r w:rsidR="009F6891" w:rsidRPr="00A34D67">
        <w:rPr>
          <w:rFonts w:ascii="Arial" w:hAnsi="Arial" w:cs="Arial"/>
          <w:sz w:val="24"/>
          <w:szCs w:val="24"/>
          <w:lang w:val="en-US"/>
        </w:rPr>
        <w:t>the USA</w:t>
      </w:r>
      <w:r w:rsidR="00EA2ED3" w:rsidRPr="00A34D67">
        <w:rPr>
          <w:rFonts w:ascii="Arial" w:hAnsi="Arial" w:cs="Arial"/>
          <w:sz w:val="24"/>
          <w:szCs w:val="24"/>
          <w:lang w:val="en-US"/>
        </w:rPr>
        <w:t xml:space="preserve"> and several other nations,</w:t>
      </w:r>
      <w:r w:rsidR="00A91C92" w:rsidRPr="00A34D67">
        <w:rPr>
          <w:rStyle w:val="FootnoteReference"/>
          <w:rFonts w:ascii="Arial" w:hAnsi="Arial" w:cs="Arial"/>
          <w:sz w:val="24"/>
          <w:szCs w:val="24"/>
          <w:lang w:val="en-US"/>
        </w:rPr>
        <w:footnoteReference w:id="220"/>
      </w:r>
      <w:r w:rsidR="00EA2ED3" w:rsidRPr="00A34D67">
        <w:rPr>
          <w:rFonts w:ascii="Arial" w:hAnsi="Arial" w:cs="Arial"/>
          <w:sz w:val="24"/>
          <w:szCs w:val="24"/>
          <w:lang w:val="en-US"/>
        </w:rPr>
        <w:t xml:space="preserve"> it was apparent that </w:t>
      </w:r>
      <w:r w:rsidR="000D7520" w:rsidRPr="00A34D67">
        <w:rPr>
          <w:rFonts w:ascii="Arial" w:hAnsi="Arial" w:cs="Arial"/>
          <w:sz w:val="24"/>
          <w:szCs w:val="24"/>
          <w:lang w:val="en-US"/>
        </w:rPr>
        <w:t xml:space="preserve">‘the law on reservations was not carved </w:t>
      </w:r>
      <w:r w:rsidR="00EB2CF6" w:rsidRPr="00A34D67">
        <w:rPr>
          <w:rFonts w:ascii="Arial" w:hAnsi="Arial" w:cs="Arial"/>
          <w:sz w:val="24"/>
          <w:szCs w:val="24"/>
          <w:lang w:val="en-US"/>
        </w:rPr>
        <w:t>in stone’</w:t>
      </w:r>
      <w:r w:rsidR="002E5C10" w:rsidRPr="00A34D67">
        <w:rPr>
          <w:rStyle w:val="FootnoteReference"/>
          <w:rFonts w:ascii="Arial" w:hAnsi="Arial" w:cs="Arial"/>
          <w:sz w:val="24"/>
          <w:szCs w:val="24"/>
          <w:lang w:val="en-US"/>
        </w:rPr>
        <w:footnoteReference w:id="221"/>
      </w:r>
      <w:r w:rsidR="00EB2CF6" w:rsidRPr="00A34D67">
        <w:rPr>
          <w:rFonts w:ascii="Arial" w:hAnsi="Arial" w:cs="Arial"/>
          <w:sz w:val="24"/>
          <w:szCs w:val="24"/>
          <w:lang w:val="en-US"/>
        </w:rPr>
        <w:t xml:space="preserve"> and therefore </w:t>
      </w:r>
      <w:r w:rsidR="000D7520" w:rsidRPr="00A34D67">
        <w:rPr>
          <w:rFonts w:ascii="Arial" w:hAnsi="Arial" w:cs="Arial"/>
          <w:sz w:val="24"/>
          <w:szCs w:val="24"/>
          <w:lang w:val="en-US"/>
        </w:rPr>
        <w:t xml:space="preserve">required a substantial </w:t>
      </w:r>
      <w:r w:rsidR="002E5C10" w:rsidRPr="00A34D67">
        <w:rPr>
          <w:rFonts w:ascii="Arial" w:hAnsi="Arial" w:cs="Arial"/>
          <w:sz w:val="24"/>
          <w:szCs w:val="24"/>
          <w:lang w:val="en-US"/>
        </w:rPr>
        <w:t>rethink</w:t>
      </w:r>
      <w:r w:rsidR="00EA2ED3" w:rsidRPr="00A34D67">
        <w:rPr>
          <w:rFonts w:ascii="Arial" w:hAnsi="Arial" w:cs="Arial"/>
          <w:sz w:val="24"/>
          <w:szCs w:val="24"/>
          <w:lang w:val="en-US"/>
        </w:rPr>
        <w:t>.</w:t>
      </w:r>
      <w:r w:rsidR="00F06858" w:rsidRPr="00A34D67">
        <w:rPr>
          <w:rFonts w:ascii="Arial" w:hAnsi="Arial" w:cs="Arial"/>
          <w:sz w:val="24"/>
          <w:szCs w:val="24"/>
          <w:lang w:val="en-US"/>
        </w:rPr>
        <w:t xml:space="preserve"> The ILC took it upon themselves to commission Special Rapporteur Alain Pellet to examine</w:t>
      </w:r>
      <w:r w:rsidR="00F06858"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reservations to multilateral treaties. </w:t>
      </w:r>
      <w:r w:rsidR="00F06858" w:rsidRPr="00A34D67">
        <w:rPr>
          <w:rFonts w:ascii="Arial" w:hAnsi="Arial" w:cs="Arial"/>
          <w:sz w:val="24"/>
          <w:szCs w:val="24"/>
          <w:lang w:val="en-US"/>
        </w:rPr>
        <w:t>His findings reflected a decade</w:t>
      </w:r>
      <w:r w:rsidR="001B144C" w:rsidRPr="00A34D67">
        <w:rPr>
          <w:rFonts w:ascii="Arial" w:hAnsi="Arial" w:cs="Arial"/>
          <w:sz w:val="24"/>
          <w:szCs w:val="24"/>
          <w:lang w:val="en-US"/>
        </w:rPr>
        <w:t>’s worth</w:t>
      </w:r>
      <w:r w:rsidR="00F06858" w:rsidRPr="00A34D67">
        <w:rPr>
          <w:rFonts w:ascii="Arial" w:hAnsi="Arial" w:cs="Arial"/>
          <w:sz w:val="24"/>
          <w:szCs w:val="24"/>
          <w:lang w:val="en-US"/>
        </w:rPr>
        <w:t xml:space="preserve"> of reflection and reassessment o</w:t>
      </w:r>
      <w:r w:rsidR="001B144C" w:rsidRPr="00A34D67">
        <w:rPr>
          <w:rFonts w:ascii="Arial" w:hAnsi="Arial" w:cs="Arial"/>
          <w:sz w:val="24"/>
          <w:szCs w:val="24"/>
          <w:lang w:val="en-US"/>
        </w:rPr>
        <w:t>f</w:t>
      </w:r>
      <w:r w:rsidR="00F06858" w:rsidRPr="00A34D67">
        <w:rPr>
          <w:rFonts w:ascii="Arial" w:hAnsi="Arial" w:cs="Arial"/>
          <w:sz w:val="24"/>
          <w:szCs w:val="24"/>
          <w:lang w:val="en-US"/>
        </w:rPr>
        <w:t xml:space="preserve"> the traditional position of reservations to human rights treaties in international law.</w:t>
      </w:r>
    </w:p>
    <w:p w14:paraId="693391D4" w14:textId="590EC0C1" w:rsidR="00EA32E4" w:rsidRDefault="006B73E7" w:rsidP="00401E4C">
      <w:pPr>
        <w:tabs>
          <w:tab w:val="left" w:pos="1701"/>
        </w:tabs>
        <w:spacing w:line="480" w:lineRule="auto"/>
        <w:rPr>
          <w:rFonts w:ascii="Arial" w:hAnsi="Arial" w:cs="Arial"/>
          <w:sz w:val="24"/>
          <w:szCs w:val="24"/>
        </w:rPr>
      </w:pPr>
      <w:r w:rsidRPr="00A34D67">
        <w:rPr>
          <w:rFonts w:ascii="Arial" w:hAnsi="Arial" w:cs="Arial"/>
          <w:sz w:val="24"/>
          <w:szCs w:val="24"/>
        </w:rPr>
        <w:t xml:space="preserve">This chapter will address the notion that a new law of reservations has emerged in general international law, as an amalgamation of both the traditional </w:t>
      </w:r>
      <w:r w:rsidR="001E0B7E" w:rsidRPr="00A34D67">
        <w:rPr>
          <w:rFonts w:ascii="Arial" w:hAnsi="Arial" w:cs="Arial"/>
          <w:sz w:val="24"/>
          <w:szCs w:val="24"/>
        </w:rPr>
        <w:t xml:space="preserve">Vienna Convention regime </w:t>
      </w:r>
      <w:r w:rsidRPr="00A34D67">
        <w:rPr>
          <w:rFonts w:ascii="Arial" w:hAnsi="Arial" w:cs="Arial"/>
          <w:sz w:val="24"/>
          <w:szCs w:val="24"/>
        </w:rPr>
        <w:t xml:space="preserve">and </w:t>
      </w:r>
      <w:r w:rsidR="001E0B7E" w:rsidRPr="00A34D67">
        <w:rPr>
          <w:rFonts w:ascii="Arial" w:hAnsi="Arial" w:cs="Arial"/>
          <w:sz w:val="24"/>
          <w:szCs w:val="24"/>
        </w:rPr>
        <w:t xml:space="preserve">the newer </w:t>
      </w:r>
      <w:r w:rsidRPr="00A34D67">
        <w:rPr>
          <w:rFonts w:ascii="Arial" w:hAnsi="Arial" w:cs="Arial"/>
          <w:sz w:val="24"/>
          <w:szCs w:val="24"/>
        </w:rPr>
        <w:t>human rights approach</w:t>
      </w:r>
      <w:r w:rsidR="0091714F" w:rsidRPr="00A34D67">
        <w:rPr>
          <w:rFonts w:ascii="Arial" w:hAnsi="Arial" w:cs="Arial"/>
          <w:sz w:val="24"/>
          <w:szCs w:val="24"/>
        </w:rPr>
        <w:t xml:space="preserve">. </w:t>
      </w:r>
      <w:r w:rsidR="00EA32E4" w:rsidRPr="00A34D67">
        <w:rPr>
          <w:rFonts w:ascii="Arial" w:hAnsi="Arial" w:cs="Arial"/>
          <w:sz w:val="24"/>
          <w:szCs w:val="24"/>
        </w:rPr>
        <w:t xml:space="preserve">And if </w:t>
      </w:r>
      <w:r w:rsidR="002C3AD7" w:rsidRPr="00A34D67">
        <w:rPr>
          <w:rFonts w:ascii="Arial" w:hAnsi="Arial" w:cs="Arial"/>
          <w:sz w:val="24"/>
          <w:szCs w:val="24"/>
        </w:rPr>
        <w:t>not</w:t>
      </w:r>
      <w:r w:rsidR="00EA32E4" w:rsidRPr="00A34D67">
        <w:rPr>
          <w:rFonts w:ascii="Arial" w:hAnsi="Arial" w:cs="Arial"/>
          <w:sz w:val="24"/>
          <w:szCs w:val="24"/>
        </w:rPr>
        <w:t xml:space="preserve">, </w:t>
      </w:r>
      <w:r w:rsidR="001E0B7E" w:rsidRPr="00A34D67">
        <w:rPr>
          <w:rFonts w:ascii="Arial" w:hAnsi="Arial" w:cs="Arial"/>
          <w:sz w:val="24"/>
          <w:szCs w:val="24"/>
        </w:rPr>
        <w:t>we must ask ourselves whether</w:t>
      </w:r>
      <w:r w:rsidR="00EA32E4" w:rsidRPr="00A34D67">
        <w:rPr>
          <w:rFonts w:ascii="Arial" w:hAnsi="Arial" w:cs="Arial"/>
          <w:sz w:val="24"/>
          <w:szCs w:val="24"/>
        </w:rPr>
        <w:t xml:space="preserve"> it </w:t>
      </w:r>
      <w:r w:rsidR="001E0B7E" w:rsidRPr="00A34D67">
        <w:rPr>
          <w:rFonts w:ascii="Arial" w:hAnsi="Arial" w:cs="Arial"/>
          <w:sz w:val="24"/>
          <w:szCs w:val="24"/>
        </w:rPr>
        <w:t xml:space="preserve">is </w:t>
      </w:r>
      <w:r w:rsidR="00EA32E4" w:rsidRPr="00A34D67">
        <w:rPr>
          <w:rFonts w:ascii="Arial" w:hAnsi="Arial" w:cs="Arial"/>
          <w:sz w:val="24"/>
          <w:szCs w:val="24"/>
        </w:rPr>
        <w:t>possible to reconcile the</w:t>
      </w:r>
      <w:r w:rsidR="001E2AE5" w:rsidRPr="00A34D67">
        <w:rPr>
          <w:rFonts w:ascii="Arial" w:hAnsi="Arial" w:cs="Arial"/>
          <w:sz w:val="24"/>
          <w:szCs w:val="24"/>
        </w:rPr>
        <w:t>se</w:t>
      </w:r>
      <w:r w:rsidR="00EA32E4" w:rsidRPr="00A34D67">
        <w:rPr>
          <w:rFonts w:ascii="Arial" w:hAnsi="Arial" w:cs="Arial"/>
          <w:sz w:val="24"/>
          <w:szCs w:val="24"/>
        </w:rPr>
        <w:t xml:space="preserve"> two methods at all</w:t>
      </w:r>
      <w:r w:rsidR="002C3AD7" w:rsidRPr="00A34D67">
        <w:rPr>
          <w:rFonts w:ascii="Arial" w:hAnsi="Arial" w:cs="Arial"/>
          <w:sz w:val="24"/>
          <w:szCs w:val="24"/>
        </w:rPr>
        <w:t>?</w:t>
      </w:r>
    </w:p>
    <w:p w14:paraId="5C6066E8" w14:textId="77777777" w:rsidR="00CB0F87" w:rsidRPr="00A34D67" w:rsidRDefault="00CB0F87" w:rsidP="00401E4C">
      <w:pPr>
        <w:tabs>
          <w:tab w:val="left" w:pos="1701"/>
        </w:tabs>
        <w:spacing w:line="480" w:lineRule="auto"/>
        <w:rPr>
          <w:rFonts w:ascii="Arial" w:hAnsi="Arial" w:cs="Arial"/>
          <w:b/>
          <w:sz w:val="24"/>
          <w:szCs w:val="24"/>
        </w:rPr>
      </w:pPr>
    </w:p>
    <w:p w14:paraId="696BFC96" w14:textId="42A47820" w:rsidR="00EA32E4" w:rsidRPr="00046113" w:rsidRDefault="00046113" w:rsidP="00401E4C">
      <w:pPr>
        <w:pStyle w:val="ListParagraph"/>
        <w:numPr>
          <w:ilvl w:val="1"/>
          <w:numId w:val="27"/>
        </w:numPr>
        <w:tabs>
          <w:tab w:val="left" w:pos="1701"/>
        </w:tabs>
        <w:spacing w:line="480" w:lineRule="auto"/>
        <w:rPr>
          <w:rFonts w:ascii="Arial" w:hAnsi="Arial" w:cs="Arial"/>
          <w:b/>
          <w:sz w:val="24"/>
          <w:szCs w:val="24"/>
        </w:rPr>
      </w:pPr>
      <w:r>
        <w:rPr>
          <w:rFonts w:ascii="Arial" w:hAnsi="Arial" w:cs="Arial"/>
          <w:b/>
          <w:sz w:val="24"/>
          <w:szCs w:val="24"/>
        </w:rPr>
        <w:t xml:space="preserve">    </w:t>
      </w:r>
      <w:r w:rsidR="006201E4" w:rsidRPr="00046113">
        <w:rPr>
          <w:rFonts w:ascii="Arial" w:hAnsi="Arial" w:cs="Arial"/>
          <w:b/>
          <w:sz w:val="24"/>
          <w:szCs w:val="24"/>
        </w:rPr>
        <w:t xml:space="preserve">Is it possible to reconcile the two approaches? </w:t>
      </w:r>
    </w:p>
    <w:p w14:paraId="11BA083B" w14:textId="5118C82E" w:rsidR="00005A5E" w:rsidRPr="00A34D67" w:rsidRDefault="00CB78F1" w:rsidP="00401E4C">
      <w:pPr>
        <w:spacing w:line="480" w:lineRule="auto"/>
        <w:rPr>
          <w:rFonts w:ascii="Arial" w:hAnsi="Arial" w:cs="Arial"/>
          <w:sz w:val="24"/>
          <w:szCs w:val="24"/>
        </w:rPr>
      </w:pPr>
      <w:r w:rsidRPr="00A34D67">
        <w:rPr>
          <w:rFonts w:ascii="Arial" w:hAnsi="Arial" w:cs="Arial"/>
          <w:sz w:val="24"/>
          <w:szCs w:val="24"/>
        </w:rPr>
        <w:t>In spite of the previous evidence to the contrary, there is no</w:t>
      </w:r>
      <w:r w:rsidR="0096683D">
        <w:rPr>
          <w:rFonts w:ascii="Arial" w:hAnsi="Arial" w:cs="Arial"/>
          <w:sz w:val="24"/>
          <w:szCs w:val="24"/>
        </w:rPr>
        <w:t xml:space="preserve"> reason to suggest that a conflict</w:t>
      </w:r>
      <w:r w:rsidRPr="00A34D67">
        <w:rPr>
          <w:rFonts w:ascii="Arial" w:hAnsi="Arial" w:cs="Arial"/>
          <w:sz w:val="24"/>
          <w:szCs w:val="24"/>
        </w:rPr>
        <w:t xml:space="preserve"> would arise between the provisions of the Vienna Convention and an emerging human rights treaty approach to reservations.</w:t>
      </w:r>
      <w:r w:rsidRPr="00A34D67">
        <w:rPr>
          <w:rStyle w:val="FootnoteReference"/>
          <w:rFonts w:ascii="Arial" w:hAnsi="Arial" w:cs="Arial"/>
          <w:sz w:val="24"/>
          <w:szCs w:val="24"/>
        </w:rPr>
        <w:footnoteReference w:id="222"/>
      </w:r>
      <w:r w:rsidRPr="00A34D67">
        <w:rPr>
          <w:rFonts w:ascii="Arial" w:hAnsi="Arial" w:cs="Arial"/>
          <w:sz w:val="24"/>
          <w:szCs w:val="24"/>
        </w:rPr>
        <w:t xml:space="preserve"> There are a number of solutions to such incompatibilities. </w:t>
      </w:r>
      <w:r w:rsidR="00005A5E" w:rsidRPr="00A34D67">
        <w:rPr>
          <w:rFonts w:ascii="Arial" w:hAnsi="Arial" w:cs="Arial"/>
          <w:sz w:val="24"/>
          <w:szCs w:val="24"/>
        </w:rPr>
        <w:t>For instance, Article 4 emphasises that the Vienna Convention possesses no retroactive effect</w:t>
      </w:r>
      <w:r w:rsidR="00F73FF6" w:rsidRPr="00A34D67">
        <w:rPr>
          <w:rFonts w:ascii="Arial" w:hAnsi="Arial" w:cs="Arial"/>
          <w:sz w:val="24"/>
          <w:szCs w:val="24"/>
        </w:rPr>
        <w:t xml:space="preserve"> o</w:t>
      </w:r>
      <w:r w:rsidR="007917CB" w:rsidRPr="00A34D67">
        <w:rPr>
          <w:rFonts w:ascii="Arial" w:hAnsi="Arial" w:cs="Arial"/>
          <w:sz w:val="24"/>
          <w:szCs w:val="24"/>
        </w:rPr>
        <w:t>ver</w:t>
      </w:r>
      <w:r w:rsidR="00F73FF6" w:rsidRPr="00A34D67">
        <w:rPr>
          <w:rFonts w:ascii="Arial" w:hAnsi="Arial" w:cs="Arial"/>
          <w:sz w:val="24"/>
          <w:szCs w:val="24"/>
        </w:rPr>
        <w:t xml:space="preserve"> treaties ‘concluded by States after the entry into force</w:t>
      </w:r>
      <w:r w:rsidR="007917CB" w:rsidRPr="00A34D67">
        <w:rPr>
          <w:rFonts w:ascii="Arial" w:hAnsi="Arial" w:cs="Arial"/>
          <w:sz w:val="24"/>
          <w:szCs w:val="24"/>
        </w:rPr>
        <w:t xml:space="preserve">’ of the Vienna Convention ‘with regard to such </w:t>
      </w:r>
      <w:r w:rsidR="00D326D5" w:rsidRPr="00A34D67">
        <w:rPr>
          <w:rFonts w:ascii="Arial" w:hAnsi="Arial" w:cs="Arial"/>
          <w:sz w:val="24"/>
          <w:szCs w:val="24"/>
        </w:rPr>
        <w:t>S</w:t>
      </w:r>
      <w:r w:rsidR="007917CB" w:rsidRPr="00A34D67">
        <w:rPr>
          <w:rFonts w:ascii="Arial" w:hAnsi="Arial" w:cs="Arial"/>
          <w:sz w:val="24"/>
          <w:szCs w:val="24"/>
        </w:rPr>
        <w:t>tates’.</w:t>
      </w:r>
      <w:r w:rsidR="001D497A" w:rsidRPr="00A34D67">
        <w:rPr>
          <w:rStyle w:val="FootnoteReference"/>
          <w:rFonts w:ascii="Arial" w:hAnsi="Arial" w:cs="Arial"/>
          <w:sz w:val="24"/>
          <w:szCs w:val="24"/>
        </w:rPr>
        <w:footnoteReference w:id="223"/>
      </w:r>
      <w:r w:rsidR="00117F02" w:rsidRPr="00A34D67">
        <w:rPr>
          <w:rFonts w:ascii="Arial" w:hAnsi="Arial" w:cs="Arial"/>
          <w:sz w:val="24"/>
          <w:szCs w:val="24"/>
        </w:rPr>
        <w:t xml:space="preserve"> Not only does this particular wording indicate that the Convention reflects </w:t>
      </w:r>
      <w:r w:rsidR="00631ECA" w:rsidRPr="00A34D67">
        <w:rPr>
          <w:rFonts w:ascii="Arial" w:hAnsi="Arial" w:cs="Arial"/>
          <w:sz w:val="24"/>
          <w:szCs w:val="24"/>
        </w:rPr>
        <w:t>relevant</w:t>
      </w:r>
      <w:r w:rsidR="00117F02" w:rsidRPr="00A34D67">
        <w:rPr>
          <w:rFonts w:ascii="Arial" w:hAnsi="Arial" w:cs="Arial"/>
          <w:sz w:val="24"/>
          <w:szCs w:val="24"/>
        </w:rPr>
        <w:t xml:space="preserve"> </w:t>
      </w:r>
      <w:r w:rsidR="00C62095" w:rsidRPr="00A34D67">
        <w:rPr>
          <w:rFonts w:ascii="Arial" w:hAnsi="Arial" w:cs="Arial"/>
          <w:sz w:val="24"/>
          <w:szCs w:val="24"/>
        </w:rPr>
        <w:t>norms</w:t>
      </w:r>
      <w:r w:rsidR="00117F02" w:rsidRPr="00A34D67">
        <w:rPr>
          <w:rFonts w:ascii="Arial" w:hAnsi="Arial" w:cs="Arial"/>
          <w:sz w:val="24"/>
          <w:szCs w:val="24"/>
        </w:rPr>
        <w:t xml:space="preserve"> of customary international law</w:t>
      </w:r>
      <w:r w:rsidR="00C62095" w:rsidRPr="00A34D67">
        <w:rPr>
          <w:rFonts w:ascii="Arial" w:hAnsi="Arial" w:cs="Arial"/>
          <w:sz w:val="24"/>
          <w:szCs w:val="24"/>
        </w:rPr>
        <w:t>,</w:t>
      </w:r>
      <w:r w:rsidR="00C62095" w:rsidRPr="00A34D67">
        <w:rPr>
          <w:rStyle w:val="FootnoteReference"/>
          <w:rFonts w:ascii="Arial" w:hAnsi="Arial" w:cs="Arial"/>
          <w:sz w:val="24"/>
          <w:szCs w:val="24"/>
        </w:rPr>
        <w:footnoteReference w:id="224"/>
      </w:r>
      <w:r w:rsidR="00235F71" w:rsidRPr="00A34D67">
        <w:rPr>
          <w:rFonts w:ascii="Arial" w:hAnsi="Arial" w:cs="Arial"/>
          <w:sz w:val="24"/>
          <w:szCs w:val="24"/>
        </w:rPr>
        <w:t xml:space="preserve"> but </w:t>
      </w:r>
      <w:r w:rsidR="007E2A92" w:rsidRPr="00A34D67">
        <w:rPr>
          <w:rFonts w:ascii="Arial" w:hAnsi="Arial" w:cs="Arial"/>
          <w:sz w:val="24"/>
          <w:szCs w:val="24"/>
        </w:rPr>
        <w:t xml:space="preserve">it also </w:t>
      </w:r>
      <w:r w:rsidR="005931BB" w:rsidRPr="00A34D67">
        <w:rPr>
          <w:rFonts w:ascii="Arial" w:hAnsi="Arial" w:cs="Arial"/>
          <w:sz w:val="24"/>
          <w:szCs w:val="24"/>
        </w:rPr>
        <w:t>mean</w:t>
      </w:r>
      <w:r w:rsidR="007E2A92" w:rsidRPr="00A34D67">
        <w:rPr>
          <w:rFonts w:ascii="Arial" w:hAnsi="Arial" w:cs="Arial"/>
          <w:sz w:val="24"/>
          <w:szCs w:val="24"/>
        </w:rPr>
        <w:t>s</w:t>
      </w:r>
      <w:r w:rsidR="005931BB" w:rsidRPr="00A34D67">
        <w:rPr>
          <w:rFonts w:ascii="Arial" w:hAnsi="Arial" w:cs="Arial"/>
          <w:sz w:val="24"/>
          <w:szCs w:val="24"/>
        </w:rPr>
        <w:t xml:space="preserve"> that </w:t>
      </w:r>
      <w:r w:rsidR="000A1FCA" w:rsidRPr="00A34D67">
        <w:rPr>
          <w:rFonts w:ascii="Arial" w:hAnsi="Arial" w:cs="Arial"/>
          <w:sz w:val="24"/>
          <w:szCs w:val="24"/>
        </w:rPr>
        <w:t xml:space="preserve">the </w:t>
      </w:r>
      <w:r w:rsidR="007142F5" w:rsidRPr="00A34D67">
        <w:rPr>
          <w:rFonts w:ascii="Arial" w:hAnsi="Arial" w:cs="Arial"/>
          <w:sz w:val="24"/>
          <w:szCs w:val="24"/>
        </w:rPr>
        <w:t xml:space="preserve">human rights treaty </w:t>
      </w:r>
      <w:r w:rsidR="000A1FCA" w:rsidRPr="00A34D67">
        <w:rPr>
          <w:rFonts w:ascii="Arial" w:hAnsi="Arial" w:cs="Arial"/>
          <w:sz w:val="24"/>
          <w:szCs w:val="24"/>
        </w:rPr>
        <w:t xml:space="preserve">rules related to reservations </w:t>
      </w:r>
      <w:r w:rsidR="007142F5" w:rsidRPr="00A34D67">
        <w:rPr>
          <w:rFonts w:ascii="Arial" w:hAnsi="Arial" w:cs="Arial"/>
          <w:sz w:val="24"/>
          <w:szCs w:val="24"/>
        </w:rPr>
        <w:t xml:space="preserve">would be dependent on the </w:t>
      </w:r>
      <w:r w:rsidR="000A1FCA" w:rsidRPr="00A34D67">
        <w:rPr>
          <w:rFonts w:ascii="Arial" w:hAnsi="Arial" w:cs="Arial"/>
          <w:sz w:val="24"/>
          <w:szCs w:val="24"/>
        </w:rPr>
        <w:t xml:space="preserve">timing of entry into force of any particular </w:t>
      </w:r>
      <w:r w:rsidR="007142F5" w:rsidRPr="00A34D67">
        <w:rPr>
          <w:rFonts w:ascii="Arial" w:hAnsi="Arial" w:cs="Arial"/>
          <w:sz w:val="24"/>
          <w:szCs w:val="24"/>
        </w:rPr>
        <w:t xml:space="preserve">State </w:t>
      </w:r>
      <w:r w:rsidR="000A1FCA" w:rsidRPr="00A34D67">
        <w:rPr>
          <w:rFonts w:ascii="Arial" w:hAnsi="Arial" w:cs="Arial"/>
          <w:sz w:val="24"/>
          <w:szCs w:val="24"/>
        </w:rPr>
        <w:t>treaty</w:t>
      </w:r>
      <w:r w:rsidR="007142F5" w:rsidRPr="00A34D67">
        <w:rPr>
          <w:rFonts w:ascii="Arial" w:hAnsi="Arial" w:cs="Arial"/>
          <w:sz w:val="24"/>
          <w:szCs w:val="24"/>
        </w:rPr>
        <w:t xml:space="preserve">. </w:t>
      </w:r>
      <w:r w:rsidR="004C664C" w:rsidRPr="00A34D67">
        <w:rPr>
          <w:rFonts w:ascii="Arial" w:hAnsi="Arial" w:cs="Arial"/>
          <w:sz w:val="24"/>
          <w:szCs w:val="24"/>
        </w:rPr>
        <w:t>For instance, t</w:t>
      </w:r>
      <w:r w:rsidR="007E2A92" w:rsidRPr="00A34D67">
        <w:rPr>
          <w:rFonts w:ascii="Arial" w:hAnsi="Arial" w:cs="Arial"/>
          <w:sz w:val="24"/>
          <w:szCs w:val="24"/>
        </w:rPr>
        <w:t xml:space="preserve">he timing of the Convention’s entry in force </w:t>
      </w:r>
      <w:r w:rsidR="004C664C" w:rsidRPr="00A34D67">
        <w:rPr>
          <w:rFonts w:ascii="Arial" w:hAnsi="Arial" w:cs="Arial"/>
          <w:sz w:val="24"/>
          <w:szCs w:val="24"/>
        </w:rPr>
        <w:t xml:space="preserve">took place </w:t>
      </w:r>
      <w:r w:rsidR="007E2A92" w:rsidRPr="00A34D67">
        <w:rPr>
          <w:rFonts w:ascii="Arial" w:hAnsi="Arial" w:cs="Arial"/>
          <w:sz w:val="24"/>
          <w:szCs w:val="24"/>
        </w:rPr>
        <w:t>in 1980</w:t>
      </w:r>
      <w:r w:rsidR="004C664C" w:rsidRPr="00A34D67">
        <w:rPr>
          <w:rFonts w:ascii="Arial" w:hAnsi="Arial" w:cs="Arial"/>
          <w:sz w:val="24"/>
          <w:szCs w:val="24"/>
        </w:rPr>
        <w:t xml:space="preserve">, following </w:t>
      </w:r>
      <w:r w:rsidR="007E2A92" w:rsidRPr="00A34D67">
        <w:rPr>
          <w:rFonts w:ascii="Arial" w:hAnsi="Arial" w:cs="Arial"/>
          <w:sz w:val="24"/>
          <w:szCs w:val="24"/>
        </w:rPr>
        <w:t xml:space="preserve">the ICCPR and its (first) </w:t>
      </w:r>
      <w:r w:rsidR="007E2A92" w:rsidRPr="00A34D67">
        <w:rPr>
          <w:rFonts w:ascii="Arial" w:hAnsi="Arial" w:cs="Arial"/>
          <w:i/>
          <w:sz w:val="24"/>
          <w:szCs w:val="24"/>
        </w:rPr>
        <w:t>Optional Protocol</w:t>
      </w:r>
      <w:r w:rsidR="004C664C" w:rsidRPr="00A34D67">
        <w:rPr>
          <w:rFonts w:ascii="Arial" w:hAnsi="Arial" w:cs="Arial"/>
          <w:sz w:val="24"/>
          <w:szCs w:val="24"/>
        </w:rPr>
        <w:t>.</w:t>
      </w:r>
      <w:r w:rsidR="007E2A92" w:rsidRPr="00A34D67">
        <w:rPr>
          <w:rStyle w:val="FootnoteReference"/>
          <w:rFonts w:ascii="Arial" w:hAnsi="Arial" w:cs="Arial"/>
          <w:sz w:val="24"/>
          <w:szCs w:val="24"/>
        </w:rPr>
        <w:footnoteReference w:id="225"/>
      </w:r>
    </w:p>
    <w:p w14:paraId="3F9638C9" w14:textId="0A84D708" w:rsidR="00F64BA5" w:rsidRPr="00A34D67" w:rsidRDefault="00F64BA5" w:rsidP="00401E4C">
      <w:pPr>
        <w:spacing w:line="480" w:lineRule="auto"/>
        <w:rPr>
          <w:rFonts w:ascii="Arial" w:hAnsi="Arial" w:cs="Arial"/>
          <w:sz w:val="24"/>
          <w:szCs w:val="24"/>
        </w:rPr>
      </w:pPr>
      <w:r w:rsidRPr="00A34D67">
        <w:rPr>
          <w:rFonts w:ascii="Arial" w:hAnsi="Arial" w:cs="Arial"/>
          <w:sz w:val="24"/>
          <w:szCs w:val="24"/>
        </w:rPr>
        <w:t xml:space="preserve">A holistic reading of Article 1 </w:t>
      </w:r>
      <w:r w:rsidR="005A1D0C" w:rsidRPr="00A34D67">
        <w:rPr>
          <w:rFonts w:ascii="Arial" w:hAnsi="Arial" w:cs="Arial"/>
          <w:sz w:val="24"/>
          <w:szCs w:val="24"/>
        </w:rPr>
        <w:t xml:space="preserve">reveals that </w:t>
      </w:r>
      <w:r w:rsidR="00DF0ED5" w:rsidRPr="00A34D67">
        <w:rPr>
          <w:rFonts w:ascii="Arial" w:hAnsi="Arial" w:cs="Arial"/>
          <w:sz w:val="24"/>
          <w:szCs w:val="24"/>
        </w:rPr>
        <w:t xml:space="preserve">the provisions of the Convention have been drafted to mirror the </w:t>
      </w:r>
      <w:r w:rsidR="00B01B15" w:rsidRPr="00A34D67">
        <w:rPr>
          <w:rFonts w:ascii="Arial" w:hAnsi="Arial" w:cs="Arial"/>
          <w:sz w:val="24"/>
          <w:szCs w:val="24"/>
        </w:rPr>
        <w:t>functioning</w:t>
      </w:r>
      <w:r w:rsidR="00DF0ED5" w:rsidRPr="00A34D67">
        <w:rPr>
          <w:rFonts w:ascii="Arial" w:hAnsi="Arial" w:cs="Arial"/>
          <w:sz w:val="24"/>
          <w:szCs w:val="24"/>
        </w:rPr>
        <w:t xml:space="preserve"> of a multilateral treaty between </w:t>
      </w:r>
      <w:r w:rsidR="00B01B15" w:rsidRPr="00A34D67">
        <w:rPr>
          <w:rFonts w:ascii="Arial" w:hAnsi="Arial" w:cs="Arial"/>
          <w:sz w:val="24"/>
          <w:szCs w:val="24"/>
        </w:rPr>
        <w:t xml:space="preserve">self-interested </w:t>
      </w:r>
      <w:r w:rsidR="004245CE">
        <w:rPr>
          <w:rFonts w:ascii="Arial" w:hAnsi="Arial" w:cs="Arial"/>
          <w:sz w:val="24"/>
          <w:szCs w:val="24"/>
        </w:rPr>
        <w:t>s</w:t>
      </w:r>
      <w:r w:rsidR="00DF0ED5" w:rsidRPr="00A34D67">
        <w:rPr>
          <w:rFonts w:ascii="Arial" w:hAnsi="Arial" w:cs="Arial"/>
          <w:sz w:val="24"/>
          <w:szCs w:val="24"/>
        </w:rPr>
        <w:t xml:space="preserve">tates in </w:t>
      </w:r>
      <w:r w:rsidR="00B01B15" w:rsidRPr="00A34D67">
        <w:rPr>
          <w:rFonts w:ascii="Arial" w:hAnsi="Arial" w:cs="Arial"/>
          <w:sz w:val="24"/>
          <w:szCs w:val="24"/>
        </w:rPr>
        <w:t>certain scenarios</w:t>
      </w:r>
      <w:r w:rsidR="0077174A" w:rsidRPr="00A34D67">
        <w:rPr>
          <w:rFonts w:ascii="Arial" w:hAnsi="Arial" w:cs="Arial"/>
          <w:sz w:val="24"/>
          <w:szCs w:val="24"/>
        </w:rPr>
        <w:t>. These circumstances</w:t>
      </w:r>
      <w:r w:rsidR="00DF0ED5" w:rsidRPr="00A34D67">
        <w:rPr>
          <w:rFonts w:ascii="Arial" w:hAnsi="Arial" w:cs="Arial"/>
          <w:sz w:val="24"/>
          <w:szCs w:val="24"/>
        </w:rPr>
        <w:t xml:space="preserve"> </w:t>
      </w:r>
      <w:r w:rsidR="000060A4" w:rsidRPr="00A34D67">
        <w:rPr>
          <w:rFonts w:ascii="Arial" w:hAnsi="Arial" w:cs="Arial"/>
          <w:sz w:val="24"/>
          <w:szCs w:val="24"/>
        </w:rPr>
        <w:t>involve</w:t>
      </w:r>
      <w:r w:rsidR="00DF0ED5" w:rsidRPr="00A34D67">
        <w:rPr>
          <w:rFonts w:ascii="Arial" w:hAnsi="Arial" w:cs="Arial"/>
          <w:sz w:val="24"/>
          <w:szCs w:val="24"/>
        </w:rPr>
        <w:t xml:space="preserve"> no third parties</w:t>
      </w:r>
      <w:r w:rsidR="000060A4" w:rsidRPr="00A34D67">
        <w:rPr>
          <w:rFonts w:ascii="Arial" w:hAnsi="Arial" w:cs="Arial"/>
          <w:sz w:val="24"/>
          <w:szCs w:val="24"/>
        </w:rPr>
        <w:t>’</w:t>
      </w:r>
      <w:r w:rsidR="00535ABA" w:rsidRPr="00A34D67">
        <w:rPr>
          <w:rFonts w:ascii="Arial" w:hAnsi="Arial" w:cs="Arial"/>
          <w:sz w:val="24"/>
          <w:szCs w:val="24"/>
        </w:rPr>
        <w:t xml:space="preserve"> </w:t>
      </w:r>
      <w:r w:rsidR="000060A4" w:rsidRPr="00A34D67">
        <w:rPr>
          <w:rFonts w:ascii="Arial" w:hAnsi="Arial" w:cs="Arial"/>
          <w:sz w:val="24"/>
          <w:szCs w:val="24"/>
        </w:rPr>
        <w:t xml:space="preserve">obligations </w:t>
      </w:r>
      <w:r w:rsidR="00DF0ED5" w:rsidRPr="00A34D67">
        <w:rPr>
          <w:rFonts w:ascii="Arial" w:hAnsi="Arial" w:cs="Arial"/>
          <w:sz w:val="24"/>
          <w:szCs w:val="24"/>
        </w:rPr>
        <w:t xml:space="preserve">and </w:t>
      </w:r>
      <w:r w:rsidR="000060A4" w:rsidRPr="00A34D67">
        <w:rPr>
          <w:rFonts w:ascii="Arial" w:hAnsi="Arial" w:cs="Arial"/>
          <w:sz w:val="24"/>
          <w:szCs w:val="24"/>
        </w:rPr>
        <w:t xml:space="preserve">occur </w:t>
      </w:r>
      <w:r w:rsidR="00535ABA" w:rsidRPr="00A34D67">
        <w:rPr>
          <w:rFonts w:ascii="Arial" w:hAnsi="Arial" w:cs="Arial"/>
          <w:sz w:val="24"/>
          <w:szCs w:val="24"/>
        </w:rPr>
        <w:t>‘</w:t>
      </w:r>
      <w:r w:rsidR="00DF0ED5" w:rsidRPr="00A34D67">
        <w:rPr>
          <w:rFonts w:ascii="Arial" w:hAnsi="Arial" w:cs="Arial"/>
          <w:sz w:val="24"/>
          <w:szCs w:val="24"/>
        </w:rPr>
        <w:t>where the treaty does not establish an independent international mechanism for its application and interpretation’.</w:t>
      </w:r>
      <w:r w:rsidR="0084366F" w:rsidRPr="00A34D67">
        <w:rPr>
          <w:rStyle w:val="FootnoteReference"/>
          <w:rFonts w:ascii="Arial" w:hAnsi="Arial" w:cs="Arial"/>
          <w:sz w:val="24"/>
          <w:szCs w:val="24"/>
        </w:rPr>
        <w:footnoteReference w:id="226"/>
      </w:r>
      <w:r w:rsidR="00535ABA" w:rsidRPr="00A34D67">
        <w:rPr>
          <w:rFonts w:ascii="Arial" w:hAnsi="Arial" w:cs="Arial"/>
          <w:color w:val="FF0000"/>
          <w:sz w:val="24"/>
          <w:szCs w:val="24"/>
        </w:rPr>
        <w:t xml:space="preserve"> </w:t>
      </w:r>
      <w:r w:rsidR="00535ABA" w:rsidRPr="00A34D67">
        <w:rPr>
          <w:rFonts w:ascii="Arial" w:hAnsi="Arial" w:cs="Arial"/>
          <w:sz w:val="24"/>
          <w:szCs w:val="24"/>
        </w:rPr>
        <w:t xml:space="preserve">This </w:t>
      </w:r>
      <w:r w:rsidR="00C34BFC" w:rsidRPr="00A34D67">
        <w:rPr>
          <w:rFonts w:ascii="Arial" w:hAnsi="Arial" w:cs="Arial"/>
          <w:sz w:val="24"/>
          <w:szCs w:val="24"/>
        </w:rPr>
        <w:t xml:space="preserve">interpretation </w:t>
      </w:r>
      <w:r w:rsidR="00535ABA" w:rsidRPr="00A34D67">
        <w:rPr>
          <w:rFonts w:ascii="Arial" w:hAnsi="Arial" w:cs="Arial"/>
          <w:sz w:val="24"/>
          <w:szCs w:val="24"/>
        </w:rPr>
        <w:t>still permits enough scope for customised treaty rules to be implemented</w:t>
      </w:r>
      <w:r w:rsidR="0084366F" w:rsidRPr="00A34D67">
        <w:rPr>
          <w:rFonts w:ascii="Arial" w:hAnsi="Arial" w:cs="Arial"/>
          <w:sz w:val="24"/>
          <w:szCs w:val="24"/>
        </w:rPr>
        <w:t xml:space="preserve"> </w:t>
      </w:r>
      <w:r w:rsidR="00E361D7" w:rsidRPr="00A34D67">
        <w:rPr>
          <w:rFonts w:ascii="Arial" w:hAnsi="Arial" w:cs="Arial"/>
          <w:sz w:val="24"/>
          <w:szCs w:val="24"/>
        </w:rPr>
        <w:t>for non-</w:t>
      </w:r>
      <w:r w:rsidR="0084366F" w:rsidRPr="00A34D67">
        <w:rPr>
          <w:rFonts w:ascii="Arial" w:hAnsi="Arial" w:cs="Arial"/>
          <w:sz w:val="24"/>
          <w:szCs w:val="24"/>
        </w:rPr>
        <w:t>multilateral treaties.</w:t>
      </w:r>
      <w:r w:rsidR="00C34BFC" w:rsidRPr="00A34D67">
        <w:rPr>
          <w:rFonts w:ascii="Arial" w:hAnsi="Arial" w:cs="Arial"/>
          <w:sz w:val="24"/>
          <w:szCs w:val="24"/>
        </w:rPr>
        <w:t xml:space="preserve"> For instance, if we examine Article 20, paragraph 3</w:t>
      </w:r>
      <w:r w:rsidR="00AE778B" w:rsidRPr="00A34D67">
        <w:rPr>
          <w:rFonts w:ascii="Arial" w:hAnsi="Arial" w:cs="Arial"/>
          <w:sz w:val="24"/>
          <w:szCs w:val="24"/>
        </w:rPr>
        <w:t>, we see that</w:t>
      </w:r>
      <w:r w:rsidR="00C34BFC" w:rsidRPr="00A34D67">
        <w:rPr>
          <w:rFonts w:ascii="Arial" w:hAnsi="Arial" w:cs="Arial"/>
          <w:sz w:val="24"/>
          <w:szCs w:val="24"/>
        </w:rPr>
        <w:t>:</w:t>
      </w:r>
    </w:p>
    <w:p w14:paraId="508F8237" w14:textId="2735F2B4" w:rsidR="00C34BFC" w:rsidRPr="00A34D67" w:rsidRDefault="00C34BFC" w:rsidP="00401E4C">
      <w:pPr>
        <w:spacing w:line="480" w:lineRule="auto"/>
        <w:ind w:left="851" w:right="752"/>
        <w:rPr>
          <w:rFonts w:ascii="Arial" w:hAnsi="Arial" w:cs="Arial"/>
          <w:sz w:val="24"/>
          <w:szCs w:val="24"/>
        </w:rPr>
      </w:pPr>
      <w:r w:rsidRPr="00A34D67">
        <w:rPr>
          <w:rFonts w:ascii="Arial" w:hAnsi="Arial" w:cs="Arial"/>
          <w:sz w:val="24"/>
          <w:szCs w:val="24"/>
        </w:rPr>
        <w:t>‘When a treaty is a constituent instrument of an international organisation and unless it otherwise provides, a reservation requires the acceptance of the competent organ of that organisation.’</w:t>
      </w:r>
      <w:r w:rsidR="00276BFF" w:rsidRPr="00A34D67">
        <w:rPr>
          <w:rStyle w:val="FootnoteReference"/>
          <w:rFonts w:ascii="Arial" w:hAnsi="Arial" w:cs="Arial"/>
          <w:sz w:val="24"/>
          <w:szCs w:val="24"/>
        </w:rPr>
        <w:footnoteReference w:id="227"/>
      </w:r>
    </w:p>
    <w:p w14:paraId="6117B435" w14:textId="019E08F6" w:rsidR="00AE778B" w:rsidRPr="00A34D67" w:rsidRDefault="00755D7F" w:rsidP="00401E4C">
      <w:pPr>
        <w:spacing w:line="480" w:lineRule="auto"/>
        <w:ind w:right="752"/>
        <w:rPr>
          <w:rFonts w:ascii="Arial" w:hAnsi="Arial" w:cs="Arial"/>
          <w:sz w:val="24"/>
          <w:szCs w:val="24"/>
        </w:rPr>
      </w:pPr>
      <w:r w:rsidRPr="00A34D67">
        <w:rPr>
          <w:rFonts w:ascii="Arial" w:hAnsi="Arial" w:cs="Arial"/>
          <w:sz w:val="24"/>
          <w:szCs w:val="24"/>
        </w:rPr>
        <w:t xml:space="preserve">A positivist </w:t>
      </w:r>
      <w:r w:rsidR="00E33267" w:rsidRPr="00A34D67">
        <w:rPr>
          <w:rFonts w:ascii="Arial" w:hAnsi="Arial" w:cs="Arial"/>
          <w:sz w:val="24"/>
          <w:szCs w:val="24"/>
        </w:rPr>
        <w:t>reconciliation</w:t>
      </w:r>
      <w:r w:rsidRPr="00A34D67">
        <w:rPr>
          <w:rFonts w:ascii="Arial" w:hAnsi="Arial" w:cs="Arial"/>
          <w:sz w:val="24"/>
          <w:szCs w:val="24"/>
        </w:rPr>
        <w:t xml:space="preserve"> would declare this </w:t>
      </w:r>
      <w:r w:rsidR="00820CB0" w:rsidRPr="00A34D67">
        <w:rPr>
          <w:rFonts w:ascii="Arial" w:hAnsi="Arial" w:cs="Arial"/>
          <w:sz w:val="24"/>
          <w:szCs w:val="24"/>
        </w:rPr>
        <w:t xml:space="preserve">legal condition to be solely </w:t>
      </w:r>
      <w:r w:rsidR="008B0047" w:rsidRPr="00A34D67">
        <w:rPr>
          <w:rFonts w:ascii="Arial" w:hAnsi="Arial" w:cs="Arial"/>
          <w:sz w:val="24"/>
          <w:szCs w:val="24"/>
        </w:rPr>
        <w:t xml:space="preserve">applicable to </w:t>
      </w:r>
      <w:r w:rsidR="00820CB0" w:rsidRPr="00A34D67">
        <w:rPr>
          <w:rFonts w:ascii="Arial" w:hAnsi="Arial" w:cs="Arial"/>
          <w:sz w:val="24"/>
          <w:szCs w:val="24"/>
        </w:rPr>
        <w:t>independent</w:t>
      </w:r>
      <w:r w:rsidR="00820CB0" w:rsidRPr="00A34D67">
        <w:rPr>
          <w:rFonts w:ascii="Arial" w:hAnsi="Arial" w:cs="Arial"/>
          <w:color w:val="FF0000"/>
          <w:sz w:val="24"/>
          <w:szCs w:val="24"/>
        </w:rPr>
        <w:t xml:space="preserve"> </w:t>
      </w:r>
      <w:r w:rsidR="008B0047" w:rsidRPr="00A34D67">
        <w:rPr>
          <w:rFonts w:ascii="Arial" w:hAnsi="Arial" w:cs="Arial"/>
          <w:sz w:val="24"/>
          <w:szCs w:val="24"/>
        </w:rPr>
        <w:t>human rights treaties</w:t>
      </w:r>
      <w:r w:rsidR="008D42F2" w:rsidRPr="00A34D67">
        <w:rPr>
          <w:rFonts w:ascii="Arial" w:hAnsi="Arial" w:cs="Arial"/>
          <w:sz w:val="24"/>
          <w:szCs w:val="24"/>
        </w:rPr>
        <w:t xml:space="preserve"> (such as the ICCPR and its two Optional Protocols)</w:t>
      </w:r>
      <w:r w:rsidR="00463002" w:rsidRPr="00A34D67">
        <w:rPr>
          <w:rStyle w:val="FootnoteReference"/>
          <w:rFonts w:ascii="Arial" w:hAnsi="Arial" w:cs="Arial"/>
          <w:sz w:val="24"/>
          <w:szCs w:val="24"/>
        </w:rPr>
        <w:footnoteReference w:id="228"/>
      </w:r>
      <w:r w:rsidR="008B0047" w:rsidRPr="00A34D67">
        <w:rPr>
          <w:rFonts w:ascii="Arial" w:hAnsi="Arial" w:cs="Arial"/>
          <w:sz w:val="24"/>
          <w:szCs w:val="24"/>
        </w:rPr>
        <w:t xml:space="preserve"> </w:t>
      </w:r>
      <w:r w:rsidR="00E33267" w:rsidRPr="00A34D67">
        <w:rPr>
          <w:rFonts w:ascii="Arial" w:hAnsi="Arial" w:cs="Arial"/>
          <w:sz w:val="24"/>
          <w:szCs w:val="24"/>
        </w:rPr>
        <w:t>by comparison</w:t>
      </w:r>
      <w:r w:rsidR="008B0047" w:rsidRPr="00A34D67">
        <w:rPr>
          <w:rFonts w:ascii="Arial" w:hAnsi="Arial" w:cs="Arial"/>
          <w:color w:val="FF0000"/>
          <w:sz w:val="24"/>
          <w:szCs w:val="24"/>
        </w:rPr>
        <w:t xml:space="preserve"> </w:t>
      </w:r>
      <w:r w:rsidR="008B0047" w:rsidRPr="00A34D67">
        <w:rPr>
          <w:rFonts w:ascii="Arial" w:hAnsi="Arial" w:cs="Arial"/>
          <w:sz w:val="24"/>
          <w:szCs w:val="24"/>
        </w:rPr>
        <w:t xml:space="preserve">to the </w:t>
      </w:r>
      <w:r w:rsidR="0069709B" w:rsidRPr="00A34D67">
        <w:rPr>
          <w:rFonts w:ascii="Arial" w:hAnsi="Arial" w:cs="Arial"/>
          <w:sz w:val="24"/>
          <w:szCs w:val="24"/>
        </w:rPr>
        <w:t>international</w:t>
      </w:r>
      <w:r w:rsidR="008B0047" w:rsidRPr="00A34D67">
        <w:rPr>
          <w:rFonts w:ascii="Arial" w:hAnsi="Arial" w:cs="Arial"/>
          <w:sz w:val="24"/>
          <w:szCs w:val="24"/>
        </w:rPr>
        <w:t xml:space="preserve"> </w:t>
      </w:r>
      <w:r w:rsidR="0069709B" w:rsidRPr="00A34D67">
        <w:rPr>
          <w:rFonts w:ascii="Arial" w:hAnsi="Arial" w:cs="Arial"/>
          <w:sz w:val="24"/>
          <w:szCs w:val="24"/>
        </w:rPr>
        <w:t>establishment t</w:t>
      </w:r>
      <w:r w:rsidR="008B0047" w:rsidRPr="00A34D67">
        <w:rPr>
          <w:rFonts w:ascii="Arial" w:hAnsi="Arial" w:cs="Arial"/>
          <w:sz w:val="24"/>
          <w:szCs w:val="24"/>
        </w:rPr>
        <w:t xml:space="preserve">hat </w:t>
      </w:r>
      <w:r w:rsidR="0069709B" w:rsidRPr="00A34D67">
        <w:rPr>
          <w:rFonts w:ascii="Arial" w:hAnsi="Arial" w:cs="Arial"/>
          <w:sz w:val="24"/>
          <w:szCs w:val="24"/>
        </w:rPr>
        <w:t>earlier</w:t>
      </w:r>
      <w:r w:rsidR="008B0047" w:rsidRPr="00A34D67">
        <w:rPr>
          <w:rFonts w:ascii="Arial" w:hAnsi="Arial" w:cs="Arial"/>
          <w:sz w:val="24"/>
          <w:szCs w:val="24"/>
        </w:rPr>
        <w:t xml:space="preserve"> </w:t>
      </w:r>
      <w:r w:rsidR="0069709B" w:rsidRPr="00A34D67">
        <w:rPr>
          <w:rFonts w:ascii="Arial" w:hAnsi="Arial" w:cs="Arial"/>
          <w:sz w:val="24"/>
          <w:szCs w:val="24"/>
        </w:rPr>
        <w:t>‘</w:t>
      </w:r>
      <w:r w:rsidR="008B0047" w:rsidRPr="00A34D67">
        <w:rPr>
          <w:rFonts w:ascii="Arial" w:hAnsi="Arial" w:cs="Arial"/>
          <w:sz w:val="24"/>
          <w:szCs w:val="24"/>
        </w:rPr>
        <w:t>adopted the text of the treaty for ratification by States</w:t>
      </w:r>
      <w:r w:rsidR="008D42F2" w:rsidRPr="00A34D67">
        <w:rPr>
          <w:rFonts w:ascii="Arial" w:hAnsi="Arial" w:cs="Arial"/>
          <w:sz w:val="24"/>
          <w:szCs w:val="24"/>
        </w:rPr>
        <w:t>’</w:t>
      </w:r>
      <w:r w:rsidR="008D42F2" w:rsidRPr="00A34D67">
        <w:rPr>
          <w:rStyle w:val="FootnoteReference"/>
          <w:rFonts w:ascii="Arial" w:hAnsi="Arial" w:cs="Arial"/>
          <w:sz w:val="24"/>
          <w:szCs w:val="24"/>
        </w:rPr>
        <w:footnoteReference w:id="229"/>
      </w:r>
      <w:r w:rsidR="008B0047" w:rsidRPr="00A34D67">
        <w:rPr>
          <w:rFonts w:ascii="Arial" w:hAnsi="Arial" w:cs="Arial"/>
          <w:sz w:val="24"/>
          <w:szCs w:val="24"/>
        </w:rPr>
        <w:t xml:space="preserve"> and any reservation</w:t>
      </w:r>
      <w:r w:rsidR="008D42F2" w:rsidRPr="00A34D67">
        <w:rPr>
          <w:rFonts w:ascii="Arial" w:hAnsi="Arial" w:cs="Arial"/>
          <w:sz w:val="24"/>
          <w:szCs w:val="24"/>
        </w:rPr>
        <w:t>s to the treaty</w:t>
      </w:r>
      <w:r w:rsidR="008B0047" w:rsidRPr="00A34D67">
        <w:rPr>
          <w:rFonts w:ascii="Arial" w:hAnsi="Arial" w:cs="Arial"/>
          <w:sz w:val="24"/>
          <w:szCs w:val="24"/>
        </w:rPr>
        <w:t xml:space="preserve"> would </w:t>
      </w:r>
      <w:r w:rsidR="008D42F2" w:rsidRPr="00A34D67">
        <w:rPr>
          <w:rFonts w:ascii="Arial" w:hAnsi="Arial" w:cs="Arial"/>
          <w:sz w:val="24"/>
          <w:szCs w:val="24"/>
        </w:rPr>
        <w:t>need to be recognised by an independent organ, such as</w:t>
      </w:r>
      <w:r w:rsidR="008B0047" w:rsidRPr="00A34D67">
        <w:rPr>
          <w:rFonts w:ascii="Arial" w:hAnsi="Arial" w:cs="Arial"/>
          <w:sz w:val="24"/>
          <w:szCs w:val="24"/>
        </w:rPr>
        <w:t xml:space="preserve"> the Human Rights Committee.</w:t>
      </w:r>
      <w:r w:rsidR="008D42F2" w:rsidRPr="00A34D67">
        <w:rPr>
          <w:rFonts w:ascii="Arial" w:hAnsi="Arial" w:cs="Arial"/>
          <w:color w:val="FF0000"/>
          <w:sz w:val="24"/>
          <w:szCs w:val="24"/>
        </w:rPr>
        <w:t xml:space="preserve"> </w:t>
      </w:r>
      <w:r w:rsidR="008B0047" w:rsidRPr="00A34D67">
        <w:rPr>
          <w:rFonts w:ascii="Arial" w:hAnsi="Arial" w:cs="Arial"/>
          <w:sz w:val="24"/>
          <w:szCs w:val="24"/>
        </w:rPr>
        <w:t xml:space="preserve">By contrast, an alternative method </w:t>
      </w:r>
      <w:r w:rsidR="00DB5848" w:rsidRPr="00A34D67">
        <w:rPr>
          <w:rFonts w:ascii="Arial" w:hAnsi="Arial" w:cs="Arial"/>
          <w:sz w:val="24"/>
          <w:szCs w:val="24"/>
        </w:rPr>
        <w:t>that uses</w:t>
      </w:r>
      <w:r w:rsidR="008B0047" w:rsidRPr="00A34D67">
        <w:rPr>
          <w:rFonts w:ascii="Arial" w:hAnsi="Arial" w:cs="Arial"/>
          <w:sz w:val="24"/>
          <w:szCs w:val="24"/>
        </w:rPr>
        <w:t xml:space="preserve"> a less positivist attitude </w:t>
      </w:r>
      <w:r w:rsidR="00E33267" w:rsidRPr="00A34D67">
        <w:rPr>
          <w:rFonts w:ascii="Arial" w:hAnsi="Arial" w:cs="Arial"/>
          <w:sz w:val="24"/>
          <w:szCs w:val="24"/>
        </w:rPr>
        <w:t>would deem Articles 20(3) and 21 to not be in accordance with parallel rules of customary international law</w:t>
      </w:r>
      <w:r w:rsidR="00EA32E4" w:rsidRPr="00A34D67">
        <w:rPr>
          <w:rFonts w:ascii="Arial" w:hAnsi="Arial" w:cs="Arial"/>
          <w:sz w:val="24"/>
          <w:szCs w:val="24"/>
        </w:rPr>
        <w:t xml:space="preserve"> and incompatible with multilateral treaties between States for the benefit of third parties</w:t>
      </w:r>
      <w:r w:rsidR="00E33267" w:rsidRPr="00A34D67">
        <w:rPr>
          <w:rFonts w:ascii="Arial" w:hAnsi="Arial" w:cs="Arial"/>
          <w:sz w:val="24"/>
          <w:szCs w:val="24"/>
        </w:rPr>
        <w:t xml:space="preserve">.  </w:t>
      </w:r>
    </w:p>
    <w:p w14:paraId="70D08203" w14:textId="5F1A8F4F" w:rsidR="00805C49" w:rsidRDefault="00EA32E4" w:rsidP="00401E4C">
      <w:pPr>
        <w:spacing w:line="480" w:lineRule="auto"/>
        <w:ind w:right="752"/>
        <w:rPr>
          <w:rFonts w:ascii="Arial" w:hAnsi="Arial" w:cs="Arial"/>
          <w:sz w:val="24"/>
          <w:szCs w:val="24"/>
        </w:rPr>
      </w:pPr>
      <w:r w:rsidRPr="00A34D67">
        <w:rPr>
          <w:rFonts w:ascii="Arial" w:hAnsi="Arial" w:cs="Arial"/>
          <w:sz w:val="24"/>
          <w:szCs w:val="24"/>
        </w:rPr>
        <w:t>A</w:t>
      </w:r>
      <w:r w:rsidR="00876E40">
        <w:rPr>
          <w:rFonts w:ascii="Arial" w:hAnsi="Arial" w:cs="Arial"/>
          <w:sz w:val="24"/>
          <w:szCs w:val="24"/>
        </w:rPr>
        <w:t>nother</w:t>
      </w:r>
      <w:r w:rsidRPr="00A34D67">
        <w:rPr>
          <w:rFonts w:ascii="Arial" w:hAnsi="Arial" w:cs="Arial"/>
          <w:sz w:val="24"/>
          <w:szCs w:val="24"/>
        </w:rPr>
        <w:t xml:space="preserve"> method of reconciliation between the two approaches </w:t>
      </w:r>
      <w:r w:rsidR="001E0B7E" w:rsidRPr="00A34D67">
        <w:rPr>
          <w:rFonts w:ascii="Arial" w:hAnsi="Arial" w:cs="Arial"/>
          <w:sz w:val="24"/>
          <w:szCs w:val="24"/>
        </w:rPr>
        <w:t xml:space="preserve">could be achieved </w:t>
      </w:r>
      <w:r w:rsidR="00F46963" w:rsidRPr="00A34D67">
        <w:rPr>
          <w:rFonts w:ascii="Arial" w:hAnsi="Arial" w:cs="Arial"/>
          <w:sz w:val="24"/>
          <w:szCs w:val="24"/>
        </w:rPr>
        <w:t xml:space="preserve">on the basis of the Vienna Convention’s non-regulation of the effects of impermissible reservations. </w:t>
      </w:r>
      <w:r w:rsidR="00426C88" w:rsidRPr="00A34D67">
        <w:rPr>
          <w:rFonts w:ascii="Arial" w:hAnsi="Arial" w:cs="Arial"/>
          <w:sz w:val="24"/>
          <w:szCs w:val="24"/>
        </w:rPr>
        <w:t>In its place</w:t>
      </w:r>
      <w:r w:rsidR="00F46963" w:rsidRPr="00A34D67">
        <w:rPr>
          <w:rFonts w:ascii="Arial" w:hAnsi="Arial" w:cs="Arial"/>
          <w:sz w:val="24"/>
          <w:szCs w:val="24"/>
        </w:rPr>
        <w:t>,</w:t>
      </w:r>
      <w:r w:rsidR="00F46963" w:rsidRPr="00A34D67">
        <w:rPr>
          <w:rFonts w:ascii="Arial" w:hAnsi="Arial" w:cs="Arial"/>
          <w:color w:val="FF0000"/>
          <w:sz w:val="24"/>
          <w:szCs w:val="24"/>
        </w:rPr>
        <w:t xml:space="preserve"> </w:t>
      </w:r>
      <w:r w:rsidR="00426C88" w:rsidRPr="00A34D67">
        <w:rPr>
          <w:rFonts w:ascii="Arial" w:hAnsi="Arial" w:cs="Arial"/>
          <w:sz w:val="24"/>
          <w:szCs w:val="24"/>
        </w:rPr>
        <w:t>Articles 19, 20 and 21 outline the Convention’s provisions</w:t>
      </w:r>
      <w:r w:rsidR="00F46963" w:rsidRPr="00A34D67">
        <w:rPr>
          <w:rFonts w:ascii="Arial" w:hAnsi="Arial" w:cs="Arial"/>
          <w:sz w:val="24"/>
          <w:szCs w:val="24"/>
        </w:rPr>
        <w:t xml:space="preserve"> for the permissibility of reservations by States</w:t>
      </w:r>
      <w:r w:rsidR="00426C88" w:rsidRPr="00A34D67">
        <w:rPr>
          <w:rFonts w:ascii="Arial" w:hAnsi="Arial" w:cs="Arial"/>
          <w:sz w:val="24"/>
          <w:szCs w:val="24"/>
        </w:rPr>
        <w:t>,</w:t>
      </w:r>
      <w:r w:rsidR="001842DF" w:rsidRPr="00A34D67">
        <w:rPr>
          <w:rStyle w:val="FootnoteReference"/>
          <w:rFonts w:ascii="Arial" w:hAnsi="Arial" w:cs="Arial"/>
          <w:sz w:val="24"/>
          <w:szCs w:val="24"/>
        </w:rPr>
        <w:footnoteReference w:id="230"/>
      </w:r>
      <w:r w:rsidR="00426C88" w:rsidRPr="00A34D67">
        <w:rPr>
          <w:rFonts w:ascii="Arial" w:hAnsi="Arial" w:cs="Arial"/>
          <w:sz w:val="24"/>
          <w:szCs w:val="24"/>
        </w:rPr>
        <w:t xml:space="preserve"> the legal effect of such permissible reservations</w:t>
      </w:r>
      <w:r w:rsidR="002B1A7D" w:rsidRPr="00A34D67">
        <w:rPr>
          <w:rFonts w:ascii="Arial" w:hAnsi="Arial" w:cs="Arial"/>
          <w:sz w:val="24"/>
          <w:szCs w:val="24"/>
        </w:rPr>
        <w:t xml:space="preserve"> made ‘in accordance with articles 19, 20 and 23’</w:t>
      </w:r>
      <w:r w:rsidR="002B1A7D" w:rsidRPr="00A34D67">
        <w:rPr>
          <w:rStyle w:val="FootnoteReference"/>
          <w:rFonts w:ascii="Arial" w:hAnsi="Arial" w:cs="Arial"/>
          <w:sz w:val="24"/>
          <w:szCs w:val="24"/>
        </w:rPr>
        <w:footnoteReference w:id="231"/>
      </w:r>
      <w:r w:rsidR="002B1A7D" w:rsidRPr="00A34D67">
        <w:rPr>
          <w:rFonts w:ascii="Arial" w:hAnsi="Arial" w:cs="Arial"/>
          <w:sz w:val="24"/>
          <w:szCs w:val="24"/>
        </w:rPr>
        <w:t xml:space="preserve"> </w:t>
      </w:r>
      <w:r w:rsidR="00426C88" w:rsidRPr="00A34D67">
        <w:rPr>
          <w:rFonts w:ascii="Arial" w:hAnsi="Arial" w:cs="Arial"/>
          <w:sz w:val="24"/>
          <w:szCs w:val="24"/>
        </w:rPr>
        <w:t xml:space="preserve">and </w:t>
      </w:r>
      <w:r w:rsidR="001842DF" w:rsidRPr="00A34D67">
        <w:rPr>
          <w:rFonts w:ascii="Arial" w:hAnsi="Arial" w:cs="Arial"/>
          <w:sz w:val="24"/>
          <w:szCs w:val="24"/>
        </w:rPr>
        <w:t xml:space="preserve">also </w:t>
      </w:r>
      <w:r w:rsidR="00F46963" w:rsidRPr="00A34D67">
        <w:rPr>
          <w:rFonts w:ascii="Arial" w:hAnsi="Arial" w:cs="Arial"/>
          <w:sz w:val="24"/>
          <w:szCs w:val="24"/>
        </w:rPr>
        <w:t>regula</w:t>
      </w:r>
      <w:r w:rsidR="0026493A" w:rsidRPr="00A34D67">
        <w:rPr>
          <w:rFonts w:ascii="Arial" w:hAnsi="Arial" w:cs="Arial"/>
          <w:sz w:val="24"/>
          <w:szCs w:val="24"/>
        </w:rPr>
        <w:t>te</w:t>
      </w:r>
      <w:r w:rsidR="00F46963" w:rsidRPr="00A34D67">
        <w:rPr>
          <w:rFonts w:ascii="Arial" w:hAnsi="Arial" w:cs="Arial"/>
          <w:sz w:val="24"/>
          <w:szCs w:val="24"/>
        </w:rPr>
        <w:t xml:space="preserve"> the re</w:t>
      </w:r>
      <w:r w:rsidR="002B1A7D" w:rsidRPr="00A34D67">
        <w:rPr>
          <w:rFonts w:ascii="Arial" w:hAnsi="Arial" w:cs="Arial"/>
          <w:sz w:val="24"/>
          <w:szCs w:val="24"/>
        </w:rPr>
        <w:t>sponses</w:t>
      </w:r>
      <w:r w:rsidR="00F46963" w:rsidRPr="00A34D67">
        <w:rPr>
          <w:rFonts w:ascii="Arial" w:hAnsi="Arial" w:cs="Arial"/>
          <w:sz w:val="24"/>
          <w:szCs w:val="24"/>
        </w:rPr>
        <w:t xml:space="preserve"> </w:t>
      </w:r>
      <w:r w:rsidR="00B3770E" w:rsidRPr="00A34D67">
        <w:rPr>
          <w:rFonts w:ascii="Arial" w:hAnsi="Arial" w:cs="Arial"/>
          <w:sz w:val="24"/>
          <w:szCs w:val="24"/>
        </w:rPr>
        <w:t xml:space="preserve">by other States to </w:t>
      </w:r>
      <w:r w:rsidR="00365D63" w:rsidRPr="00A34D67">
        <w:rPr>
          <w:rFonts w:ascii="Arial" w:hAnsi="Arial" w:cs="Arial"/>
          <w:sz w:val="24"/>
          <w:szCs w:val="24"/>
        </w:rPr>
        <w:t>permissible reservations</w:t>
      </w:r>
      <w:r w:rsidR="002B1A7D" w:rsidRPr="00A34D67">
        <w:rPr>
          <w:rFonts w:ascii="Arial" w:hAnsi="Arial" w:cs="Arial"/>
          <w:sz w:val="24"/>
          <w:szCs w:val="24"/>
        </w:rPr>
        <w:t>.</w:t>
      </w:r>
      <w:r w:rsidR="002B1A7D" w:rsidRPr="00A34D67">
        <w:rPr>
          <w:rStyle w:val="FootnoteReference"/>
          <w:rFonts w:ascii="Arial" w:hAnsi="Arial" w:cs="Arial"/>
          <w:sz w:val="24"/>
          <w:szCs w:val="24"/>
        </w:rPr>
        <w:footnoteReference w:id="232"/>
      </w:r>
      <w:r w:rsidR="002B1A7D" w:rsidRPr="00A34D67">
        <w:rPr>
          <w:rFonts w:ascii="Arial" w:hAnsi="Arial" w:cs="Arial"/>
          <w:sz w:val="24"/>
          <w:szCs w:val="24"/>
        </w:rPr>
        <w:t xml:space="preserve"> </w:t>
      </w:r>
      <w:r w:rsidR="00E665F5" w:rsidRPr="00A34D67">
        <w:rPr>
          <w:rFonts w:ascii="Arial" w:hAnsi="Arial" w:cs="Arial"/>
          <w:sz w:val="24"/>
          <w:szCs w:val="24"/>
        </w:rPr>
        <w:t>Positivists would swiftly deduce that Article 19 prohibits reservations that are ‘incompatible with the object and purpose of’ human rights treaties.</w:t>
      </w:r>
      <w:r w:rsidR="00E665F5" w:rsidRPr="00A34D67">
        <w:rPr>
          <w:rStyle w:val="FootnoteReference"/>
          <w:rFonts w:ascii="Arial" w:hAnsi="Arial" w:cs="Arial"/>
          <w:sz w:val="24"/>
          <w:szCs w:val="24"/>
        </w:rPr>
        <w:footnoteReference w:id="233"/>
      </w:r>
      <w:r w:rsidR="00B65A14" w:rsidRPr="00A34D67">
        <w:rPr>
          <w:rFonts w:ascii="Arial" w:hAnsi="Arial" w:cs="Arial"/>
          <w:sz w:val="24"/>
          <w:szCs w:val="24"/>
        </w:rPr>
        <w:t xml:space="preserve"> However, if we look past the positivist approach, we will see that the Vienna Convention actually reflects customary international law rules by creating appropriate </w:t>
      </w:r>
      <w:r w:rsidR="00E75AFB" w:rsidRPr="00A34D67">
        <w:rPr>
          <w:rFonts w:ascii="Arial" w:hAnsi="Arial" w:cs="Arial"/>
          <w:sz w:val="24"/>
          <w:szCs w:val="24"/>
        </w:rPr>
        <w:t>space</w:t>
      </w:r>
      <w:r w:rsidR="00B65A14" w:rsidRPr="00A34D67">
        <w:rPr>
          <w:rFonts w:ascii="Arial" w:hAnsi="Arial" w:cs="Arial"/>
          <w:sz w:val="24"/>
          <w:szCs w:val="24"/>
        </w:rPr>
        <w:t xml:space="preserve"> for the </w:t>
      </w:r>
      <w:r w:rsidR="00DE5D93" w:rsidRPr="00A34D67">
        <w:rPr>
          <w:rFonts w:ascii="Arial" w:hAnsi="Arial" w:cs="Arial"/>
          <w:sz w:val="24"/>
          <w:szCs w:val="24"/>
        </w:rPr>
        <w:t>penalties</w:t>
      </w:r>
      <w:r w:rsidR="00B65A14" w:rsidRPr="00A34D67">
        <w:rPr>
          <w:rFonts w:ascii="Arial" w:hAnsi="Arial" w:cs="Arial"/>
          <w:sz w:val="24"/>
          <w:szCs w:val="24"/>
        </w:rPr>
        <w:t xml:space="preserve"> of impermissible reservations.</w:t>
      </w:r>
    </w:p>
    <w:p w14:paraId="54EF16E2" w14:textId="3D844F3B" w:rsidR="00CB34F7" w:rsidRPr="00A34D67" w:rsidRDefault="000115F4" w:rsidP="00401E4C">
      <w:pPr>
        <w:pStyle w:val="ListParagraph"/>
        <w:numPr>
          <w:ilvl w:val="1"/>
          <w:numId w:val="27"/>
        </w:numPr>
        <w:tabs>
          <w:tab w:val="left" w:pos="1701"/>
        </w:tabs>
        <w:spacing w:line="480" w:lineRule="auto"/>
        <w:ind w:left="1560" w:hanging="567"/>
        <w:rPr>
          <w:rFonts w:ascii="Arial" w:hAnsi="Arial" w:cs="Arial"/>
          <w:b/>
          <w:sz w:val="24"/>
          <w:szCs w:val="24"/>
        </w:rPr>
      </w:pPr>
      <w:r w:rsidRPr="00A34D67">
        <w:rPr>
          <w:rFonts w:ascii="Arial" w:hAnsi="Arial" w:cs="Arial"/>
          <w:b/>
          <w:sz w:val="24"/>
          <w:szCs w:val="24"/>
        </w:rPr>
        <w:t xml:space="preserve">Has such </w:t>
      </w:r>
      <w:r w:rsidR="001C53E1" w:rsidRPr="00A34D67">
        <w:rPr>
          <w:rFonts w:ascii="Arial" w:hAnsi="Arial" w:cs="Arial"/>
          <w:b/>
          <w:sz w:val="24"/>
          <w:szCs w:val="24"/>
        </w:rPr>
        <w:t>reconciliation</w:t>
      </w:r>
      <w:r w:rsidRPr="00A34D67">
        <w:rPr>
          <w:rFonts w:ascii="Arial" w:hAnsi="Arial" w:cs="Arial"/>
          <w:b/>
          <w:sz w:val="24"/>
          <w:szCs w:val="24"/>
        </w:rPr>
        <w:t xml:space="preserve"> taken place?</w:t>
      </w:r>
    </w:p>
    <w:p w14:paraId="1E01FA18" w14:textId="6C77E3F4" w:rsidR="001C53E1" w:rsidRPr="00A134FC" w:rsidRDefault="001C53E1" w:rsidP="00401E4C">
      <w:pPr>
        <w:tabs>
          <w:tab w:val="left" w:pos="1701"/>
        </w:tabs>
        <w:spacing w:line="480" w:lineRule="auto"/>
        <w:rPr>
          <w:rFonts w:ascii="Arial" w:hAnsi="Arial" w:cs="Arial"/>
          <w:color w:val="008000"/>
          <w:sz w:val="24"/>
          <w:szCs w:val="24"/>
        </w:rPr>
      </w:pPr>
      <w:r w:rsidRPr="00DC032E">
        <w:rPr>
          <w:rFonts w:ascii="Arial" w:hAnsi="Arial" w:cs="Arial"/>
          <w:sz w:val="24"/>
          <w:szCs w:val="24"/>
        </w:rPr>
        <w:t>It is clear that</w:t>
      </w:r>
      <w:r w:rsidR="00BB172E" w:rsidRPr="00DC032E">
        <w:rPr>
          <w:rFonts w:ascii="Arial" w:hAnsi="Arial" w:cs="Arial"/>
          <w:sz w:val="24"/>
          <w:szCs w:val="24"/>
        </w:rPr>
        <w:t xml:space="preserve"> there is still</w:t>
      </w:r>
      <w:r w:rsidR="007135DE" w:rsidRPr="00DC032E">
        <w:rPr>
          <w:rFonts w:ascii="Arial" w:hAnsi="Arial" w:cs="Arial"/>
          <w:sz w:val="24"/>
          <w:szCs w:val="24"/>
        </w:rPr>
        <w:t xml:space="preserve"> an incontrovertible</w:t>
      </w:r>
      <w:r w:rsidR="008227D4" w:rsidRPr="00DC032E">
        <w:rPr>
          <w:rFonts w:ascii="Arial" w:hAnsi="Arial" w:cs="Arial"/>
          <w:sz w:val="24"/>
          <w:szCs w:val="24"/>
        </w:rPr>
        <w:t xml:space="preserve"> dichotomy between the emerging human rights </w:t>
      </w:r>
      <w:r w:rsidR="002666E5" w:rsidRPr="00DC032E">
        <w:rPr>
          <w:rFonts w:ascii="Arial" w:hAnsi="Arial" w:cs="Arial"/>
          <w:sz w:val="24"/>
          <w:szCs w:val="24"/>
        </w:rPr>
        <w:t>method</w:t>
      </w:r>
      <w:r w:rsidR="008227D4" w:rsidRPr="00DC032E">
        <w:rPr>
          <w:rFonts w:ascii="Arial" w:hAnsi="Arial" w:cs="Arial"/>
          <w:sz w:val="24"/>
          <w:szCs w:val="24"/>
        </w:rPr>
        <w:t xml:space="preserve"> and the previous Vienna Convention regime</w:t>
      </w:r>
      <w:r w:rsidR="007F00A2" w:rsidRPr="00DC032E">
        <w:rPr>
          <w:rFonts w:ascii="Arial" w:hAnsi="Arial" w:cs="Arial"/>
          <w:sz w:val="24"/>
          <w:szCs w:val="24"/>
        </w:rPr>
        <w:t xml:space="preserve"> under international law</w:t>
      </w:r>
      <w:r w:rsidR="00A134FC" w:rsidRPr="00DC032E">
        <w:rPr>
          <w:rFonts w:ascii="Arial" w:hAnsi="Arial" w:cs="Arial"/>
          <w:sz w:val="24"/>
          <w:szCs w:val="24"/>
        </w:rPr>
        <w:t>.</w:t>
      </w:r>
      <w:r w:rsidR="00A134FC">
        <w:rPr>
          <w:rFonts w:ascii="Arial" w:hAnsi="Arial" w:cs="Arial"/>
          <w:color w:val="008000"/>
          <w:sz w:val="24"/>
          <w:szCs w:val="24"/>
        </w:rPr>
        <w:t xml:space="preserve"> </w:t>
      </w:r>
      <w:r w:rsidR="003817E6">
        <w:rPr>
          <w:rFonts w:ascii="Arial" w:hAnsi="Arial" w:cs="Arial"/>
          <w:sz w:val="24"/>
          <w:szCs w:val="24"/>
        </w:rPr>
        <w:t>However, p</w:t>
      </w:r>
      <w:r w:rsidR="00C962FD" w:rsidRPr="00A34D67">
        <w:rPr>
          <w:rFonts w:ascii="Arial" w:hAnsi="Arial" w:cs="Arial"/>
          <w:sz w:val="24"/>
          <w:szCs w:val="24"/>
        </w:rPr>
        <w:t xml:space="preserve">lenty of scope remains for reconciliation between the two approaches. It is important to note that if measures are taken to find a common ground between the Vienna Convention regime and the </w:t>
      </w:r>
      <w:r w:rsidR="00C73BEE">
        <w:rPr>
          <w:rFonts w:ascii="Arial" w:hAnsi="Arial" w:cs="Arial"/>
          <w:sz w:val="24"/>
          <w:szCs w:val="24"/>
        </w:rPr>
        <w:t xml:space="preserve">newer </w:t>
      </w:r>
      <w:r w:rsidR="00C962FD" w:rsidRPr="00A34D67">
        <w:rPr>
          <w:rFonts w:ascii="Arial" w:hAnsi="Arial" w:cs="Arial"/>
          <w:sz w:val="24"/>
          <w:szCs w:val="24"/>
        </w:rPr>
        <w:t>human rights treaty approach to reservations, then they must recognise the custom of ‘regional human rights courts and of global-level human rights treaty bodies’.</w:t>
      </w:r>
      <w:r w:rsidR="00C962FD" w:rsidRPr="00A34D67">
        <w:rPr>
          <w:rStyle w:val="FootnoteReference"/>
          <w:rFonts w:ascii="Arial" w:hAnsi="Arial" w:cs="Arial"/>
          <w:sz w:val="24"/>
          <w:szCs w:val="24"/>
        </w:rPr>
        <w:footnoteReference w:id="234"/>
      </w:r>
      <w:r w:rsidR="00C962FD" w:rsidRPr="00A34D67">
        <w:rPr>
          <w:rFonts w:ascii="Arial" w:hAnsi="Arial" w:cs="Arial"/>
          <w:sz w:val="24"/>
          <w:szCs w:val="24"/>
        </w:rPr>
        <w:t xml:space="preserve"> </w:t>
      </w:r>
      <w:r w:rsidR="002263CB">
        <w:rPr>
          <w:rFonts w:ascii="Arial" w:hAnsi="Arial" w:cs="Arial"/>
          <w:sz w:val="24"/>
          <w:szCs w:val="24"/>
        </w:rPr>
        <w:t>But</w:t>
      </w:r>
      <w:r w:rsidR="00C962FD" w:rsidRPr="00A34D67">
        <w:rPr>
          <w:rFonts w:ascii="Arial" w:hAnsi="Arial" w:cs="Arial"/>
          <w:sz w:val="24"/>
          <w:szCs w:val="24"/>
        </w:rPr>
        <w:t xml:space="preserve">, this contention is fundamentally flawed, on the basis of both the Convention’s explicit </w:t>
      </w:r>
      <w:r w:rsidR="001F4FDD" w:rsidRPr="00A34D67">
        <w:rPr>
          <w:rFonts w:ascii="Arial" w:hAnsi="Arial" w:cs="Arial"/>
          <w:sz w:val="24"/>
          <w:szCs w:val="24"/>
        </w:rPr>
        <w:t>provisions</w:t>
      </w:r>
      <w:r w:rsidR="00C962FD" w:rsidRPr="00A34D67">
        <w:rPr>
          <w:rFonts w:ascii="Arial" w:hAnsi="Arial" w:cs="Arial"/>
          <w:sz w:val="24"/>
          <w:szCs w:val="24"/>
        </w:rPr>
        <w:t xml:space="preserve"> concerning reservations and the ability of States to object to impermissible reservations made by other States at their own discretio</w:t>
      </w:r>
      <w:r w:rsidR="00C962FD" w:rsidRPr="00143637">
        <w:rPr>
          <w:rFonts w:ascii="Arial" w:hAnsi="Arial" w:cs="Arial"/>
          <w:sz w:val="24"/>
          <w:szCs w:val="24"/>
        </w:rPr>
        <w:t>n.</w:t>
      </w:r>
      <w:r w:rsidR="00A134FC" w:rsidRPr="00143637">
        <w:rPr>
          <w:rFonts w:ascii="Arial" w:hAnsi="Arial" w:cs="Arial"/>
          <w:color w:val="008000"/>
          <w:sz w:val="24"/>
          <w:szCs w:val="24"/>
        </w:rPr>
        <w:t xml:space="preserve"> </w:t>
      </w:r>
      <w:r w:rsidR="00A134FC" w:rsidRPr="007B1E10">
        <w:rPr>
          <w:rFonts w:ascii="Arial" w:hAnsi="Arial" w:cs="Arial"/>
          <w:sz w:val="24"/>
          <w:szCs w:val="24"/>
        </w:rPr>
        <w:t>We are therefore compelled to speculate as to whether the emerging human rights approach has become part of international law.</w:t>
      </w:r>
    </w:p>
    <w:p w14:paraId="5E930FF9" w14:textId="00327945" w:rsidR="00576132" w:rsidRPr="00A34D67" w:rsidRDefault="00576132" w:rsidP="00401E4C">
      <w:pPr>
        <w:spacing w:line="480" w:lineRule="auto"/>
        <w:rPr>
          <w:rFonts w:ascii="Arial" w:hAnsi="Arial" w:cs="Arial"/>
          <w:color w:val="FF0000"/>
          <w:sz w:val="24"/>
          <w:szCs w:val="24"/>
          <w:lang w:val="en-US"/>
        </w:rPr>
      </w:pPr>
      <w:r w:rsidRPr="00A34D67">
        <w:rPr>
          <w:rFonts w:ascii="Arial" w:hAnsi="Arial" w:cs="Arial"/>
          <w:sz w:val="24"/>
          <w:szCs w:val="24"/>
          <w:lang w:val="en-US"/>
        </w:rPr>
        <w:t xml:space="preserve">After reading Articles 19-22 of the Convention in light of the ICJ’s Advisory Opinion of </w:t>
      </w:r>
      <w:r w:rsidRPr="00A34D67">
        <w:rPr>
          <w:rFonts w:ascii="Arial" w:hAnsi="Arial" w:cs="Arial"/>
          <w:i/>
          <w:sz w:val="24"/>
          <w:szCs w:val="24"/>
          <w:lang w:val="en-US"/>
        </w:rPr>
        <w:t xml:space="preserve">Reservation to the Genocide </w:t>
      </w:r>
      <w:r w:rsidRPr="00A34D67">
        <w:rPr>
          <w:rFonts w:ascii="Arial" w:hAnsi="Arial" w:cs="Arial"/>
          <w:sz w:val="24"/>
          <w:szCs w:val="24"/>
          <w:lang w:val="en-US"/>
        </w:rPr>
        <w:t>Convention, the ILC 2011 Guide therefore tells us</w:t>
      </w:r>
      <w:r w:rsidRPr="00A34D67">
        <w:rPr>
          <w:rFonts w:ascii="Arial" w:hAnsi="Arial" w:cs="Arial"/>
          <w:color w:val="FF0000"/>
          <w:sz w:val="24"/>
          <w:szCs w:val="24"/>
          <w:lang w:val="en-US"/>
        </w:rPr>
        <w:t xml:space="preserve"> </w:t>
      </w:r>
      <w:r w:rsidRPr="00A34D67">
        <w:rPr>
          <w:rFonts w:ascii="Arial" w:hAnsi="Arial" w:cs="Arial"/>
          <w:sz w:val="24"/>
          <w:szCs w:val="24"/>
          <w:lang w:val="en-US"/>
        </w:rPr>
        <w:t>‘an existential story of international law as a unified system as opposed to a set of fragmented sub-regimes’.</w:t>
      </w:r>
      <w:r w:rsidRPr="00A34D67">
        <w:rPr>
          <w:rStyle w:val="FootnoteReference"/>
          <w:rFonts w:ascii="Arial" w:hAnsi="Arial" w:cs="Arial"/>
          <w:sz w:val="24"/>
          <w:szCs w:val="24"/>
          <w:lang w:val="en-US"/>
        </w:rPr>
        <w:footnoteReference w:id="235"/>
      </w:r>
      <w:r w:rsidRPr="00A34D67">
        <w:rPr>
          <w:rFonts w:ascii="Arial" w:hAnsi="Arial" w:cs="Arial"/>
          <w:color w:val="FF0000"/>
          <w:sz w:val="24"/>
          <w:szCs w:val="24"/>
          <w:lang w:val="en-US"/>
        </w:rPr>
        <w:t xml:space="preserve"> </w:t>
      </w:r>
      <w:r w:rsidR="00A07444" w:rsidRPr="00A34D67">
        <w:rPr>
          <w:rFonts w:ascii="Arial" w:hAnsi="Arial" w:cs="Arial"/>
          <w:sz w:val="24"/>
          <w:szCs w:val="24"/>
          <w:lang w:val="en-US"/>
        </w:rPr>
        <w:t>The Guide implies</w:t>
      </w:r>
      <w:r w:rsidRPr="00A34D67">
        <w:rPr>
          <w:rFonts w:ascii="Arial" w:hAnsi="Arial" w:cs="Arial"/>
          <w:sz w:val="24"/>
          <w:szCs w:val="24"/>
          <w:lang w:val="en-US"/>
        </w:rPr>
        <w:t xml:space="preserve"> </w:t>
      </w:r>
      <w:r w:rsidR="00A07444" w:rsidRPr="00A34D67">
        <w:rPr>
          <w:rFonts w:ascii="Arial" w:hAnsi="Arial" w:cs="Arial"/>
          <w:sz w:val="24"/>
          <w:szCs w:val="24"/>
          <w:lang w:val="en-US"/>
        </w:rPr>
        <w:t xml:space="preserve">that it </w:t>
      </w:r>
      <w:r w:rsidRPr="00A34D67">
        <w:rPr>
          <w:rFonts w:ascii="Arial" w:hAnsi="Arial" w:cs="Arial"/>
          <w:sz w:val="24"/>
          <w:szCs w:val="24"/>
          <w:lang w:val="en-US"/>
        </w:rPr>
        <w:t>is for states to decide at their own discretion whether a specific reservation is incompatible with the treaty’s object and purpose and to resultantly object to it in such scenarios.</w:t>
      </w:r>
      <w:r w:rsidRPr="00A34D67">
        <w:rPr>
          <w:rStyle w:val="FootnoteReference"/>
          <w:rFonts w:ascii="Arial" w:hAnsi="Arial" w:cs="Arial"/>
          <w:sz w:val="24"/>
          <w:szCs w:val="24"/>
          <w:lang w:val="en-US"/>
        </w:rPr>
        <w:footnoteReference w:id="236"/>
      </w:r>
      <w:r w:rsidRPr="00A34D67">
        <w:rPr>
          <w:rFonts w:ascii="Arial" w:hAnsi="Arial" w:cs="Arial"/>
          <w:color w:val="FF0000"/>
          <w:sz w:val="24"/>
          <w:szCs w:val="24"/>
          <w:lang w:val="en-US"/>
        </w:rPr>
        <w:t xml:space="preserve"> </w:t>
      </w:r>
    </w:p>
    <w:p w14:paraId="4AD8AE74" w14:textId="358E4D8D" w:rsidR="00576132" w:rsidRPr="00A34D67" w:rsidRDefault="00C33E87" w:rsidP="00401E4C">
      <w:pPr>
        <w:spacing w:line="480" w:lineRule="auto"/>
        <w:rPr>
          <w:rFonts w:ascii="Arial" w:hAnsi="Arial" w:cs="Arial"/>
          <w:color w:val="FF0000"/>
          <w:sz w:val="24"/>
          <w:szCs w:val="24"/>
          <w:lang w:val="en-US"/>
        </w:rPr>
      </w:pPr>
      <w:r w:rsidRPr="00A34D67">
        <w:rPr>
          <w:rFonts w:ascii="Arial" w:hAnsi="Arial" w:cs="Arial"/>
          <w:sz w:val="24"/>
          <w:szCs w:val="24"/>
          <w:lang w:val="en-US"/>
        </w:rPr>
        <w:t>Although</w:t>
      </w:r>
      <w:r w:rsidRPr="00A34D67">
        <w:rPr>
          <w:rFonts w:ascii="Arial" w:hAnsi="Arial" w:cs="Arial"/>
          <w:color w:val="FF0000"/>
          <w:sz w:val="24"/>
          <w:szCs w:val="24"/>
          <w:lang w:val="en-US"/>
        </w:rPr>
        <w:t xml:space="preserve"> </w:t>
      </w:r>
      <w:r w:rsidRPr="00A34D67">
        <w:rPr>
          <w:rFonts w:ascii="Arial" w:hAnsi="Arial" w:cs="Arial"/>
          <w:sz w:val="24"/>
          <w:szCs w:val="24"/>
          <w:lang w:val="en-US"/>
        </w:rPr>
        <w:t>several human rights treaties ironically refer</w:t>
      </w:r>
      <w:r w:rsidR="001C5FF8" w:rsidRPr="00A34D67">
        <w:rPr>
          <w:rFonts w:ascii="Arial" w:hAnsi="Arial" w:cs="Arial"/>
          <w:sz w:val="24"/>
          <w:szCs w:val="24"/>
          <w:lang w:val="en-US"/>
        </w:rPr>
        <w:t xml:space="preserve"> explicitly </w:t>
      </w:r>
      <w:r w:rsidRPr="00A34D67">
        <w:rPr>
          <w:rFonts w:ascii="Arial" w:hAnsi="Arial" w:cs="Arial"/>
          <w:sz w:val="24"/>
          <w:szCs w:val="24"/>
          <w:lang w:val="en-US"/>
        </w:rPr>
        <w:t xml:space="preserve">to </w:t>
      </w:r>
      <w:r w:rsidR="007D61FA" w:rsidRPr="00A34D67">
        <w:rPr>
          <w:rFonts w:ascii="Arial" w:hAnsi="Arial" w:cs="Arial"/>
          <w:sz w:val="24"/>
          <w:szCs w:val="24"/>
          <w:lang w:val="en-US"/>
        </w:rPr>
        <w:t>this</w:t>
      </w:r>
      <w:r w:rsidRPr="00A34D67">
        <w:rPr>
          <w:rFonts w:ascii="Arial" w:hAnsi="Arial" w:cs="Arial"/>
          <w:sz w:val="24"/>
          <w:szCs w:val="24"/>
          <w:lang w:val="en-US"/>
        </w:rPr>
        <w:t xml:space="preserve"> inter-subjective approach</w:t>
      </w:r>
      <w:r w:rsidR="007D61FA" w:rsidRPr="00A34D67">
        <w:rPr>
          <w:rFonts w:ascii="Arial" w:hAnsi="Arial" w:cs="Arial"/>
          <w:sz w:val="24"/>
          <w:szCs w:val="24"/>
          <w:lang w:val="en-US"/>
        </w:rPr>
        <w:t>,</w:t>
      </w:r>
      <w:r w:rsidR="001F59CC" w:rsidRPr="00A34D67">
        <w:rPr>
          <w:rStyle w:val="FootnoteReference"/>
          <w:rFonts w:ascii="Arial" w:hAnsi="Arial" w:cs="Arial"/>
          <w:sz w:val="24"/>
          <w:szCs w:val="24"/>
          <w:lang w:val="en-US"/>
        </w:rPr>
        <w:footnoteReference w:id="237"/>
      </w:r>
      <w:r w:rsidR="007D61FA" w:rsidRPr="00A34D67">
        <w:rPr>
          <w:rFonts w:ascii="Arial" w:hAnsi="Arial" w:cs="Arial"/>
          <w:sz w:val="24"/>
          <w:szCs w:val="24"/>
          <w:lang w:val="en-US"/>
        </w:rPr>
        <w:t xml:space="preserve"> such a</w:t>
      </w:r>
      <w:r w:rsidRPr="00A34D67">
        <w:rPr>
          <w:rFonts w:ascii="Arial" w:hAnsi="Arial" w:cs="Arial"/>
          <w:sz w:val="24"/>
          <w:szCs w:val="24"/>
          <w:lang w:val="en-US"/>
        </w:rPr>
        <w:t xml:space="preserve"> method</w:t>
      </w:r>
      <w:r w:rsidRPr="00A34D67">
        <w:rPr>
          <w:rFonts w:ascii="Arial" w:hAnsi="Arial" w:cs="Arial"/>
          <w:color w:val="FF0000"/>
          <w:sz w:val="24"/>
          <w:szCs w:val="24"/>
          <w:lang w:val="en-US"/>
        </w:rPr>
        <w:t xml:space="preserve"> </w:t>
      </w:r>
      <w:r w:rsidRPr="00A34D67">
        <w:rPr>
          <w:rFonts w:ascii="Arial" w:hAnsi="Arial" w:cs="Arial"/>
          <w:sz w:val="24"/>
          <w:szCs w:val="24"/>
          <w:lang w:val="en-US"/>
        </w:rPr>
        <w:t>is particularly unattractive</w:t>
      </w:r>
      <w:r w:rsidR="00576132" w:rsidRPr="00A34D67">
        <w:rPr>
          <w:rFonts w:ascii="Arial" w:hAnsi="Arial" w:cs="Arial"/>
          <w:sz w:val="24"/>
          <w:szCs w:val="24"/>
          <w:lang w:val="en-US"/>
        </w:rPr>
        <w:t xml:space="preserve"> </w:t>
      </w:r>
      <w:r w:rsidRPr="00A34D67">
        <w:rPr>
          <w:rFonts w:ascii="Arial" w:hAnsi="Arial" w:cs="Arial"/>
          <w:sz w:val="24"/>
          <w:szCs w:val="24"/>
          <w:lang w:val="en-US"/>
        </w:rPr>
        <w:t>to</w:t>
      </w:r>
      <w:r w:rsidR="00576132" w:rsidRPr="00A34D67">
        <w:rPr>
          <w:rFonts w:ascii="Arial" w:hAnsi="Arial" w:cs="Arial"/>
          <w:sz w:val="24"/>
          <w:szCs w:val="24"/>
          <w:lang w:val="en-US"/>
        </w:rPr>
        <w:t xml:space="preserve"> major multilateral normative </w:t>
      </w:r>
      <w:r w:rsidR="003C2255" w:rsidRPr="00A34D67">
        <w:rPr>
          <w:rFonts w:ascii="Arial" w:hAnsi="Arial" w:cs="Arial"/>
          <w:sz w:val="24"/>
          <w:szCs w:val="24"/>
          <w:lang w:val="en-US"/>
        </w:rPr>
        <w:t xml:space="preserve">human rights </w:t>
      </w:r>
      <w:r w:rsidR="00576132" w:rsidRPr="00A34D67">
        <w:rPr>
          <w:rFonts w:ascii="Arial" w:hAnsi="Arial" w:cs="Arial"/>
          <w:sz w:val="24"/>
          <w:szCs w:val="24"/>
          <w:lang w:val="en-US"/>
        </w:rPr>
        <w:t>treaties</w:t>
      </w:r>
      <w:r w:rsidR="003C2255" w:rsidRPr="00A34D67">
        <w:rPr>
          <w:rFonts w:ascii="Arial" w:hAnsi="Arial" w:cs="Arial"/>
          <w:sz w:val="24"/>
          <w:szCs w:val="24"/>
          <w:lang w:val="en-US"/>
        </w:rPr>
        <w:t>.</w:t>
      </w:r>
      <w:r w:rsidR="00576132" w:rsidRPr="00A34D67">
        <w:rPr>
          <w:rFonts w:ascii="Arial" w:hAnsi="Arial" w:cs="Arial"/>
          <w:color w:val="FF0000"/>
          <w:sz w:val="24"/>
          <w:szCs w:val="24"/>
          <w:lang w:val="en-US"/>
        </w:rPr>
        <w:t xml:space="preserve"> </w:t>
      </w:r>
      <w:r w:rsidR="00BC43CA" w:rsidRPr="00A34D67">
        <w:rPr>
          <w:rFonts w:ascii="Arial" w:hAnsi="Arial" w:cs="Arial"/>
          <w:sz w:val="24"/>
          <w:szCs w:val="24"/>
          <w:lang w:val="en-US"/>
        </w:rPr>
        <w:t>Therefore, i</w:t>
      </w:r>
      <w:r w:rsidR="009A4E14" w:rsidRPr="00A34D67">
        <w:rPr>
          <w:rFonts w:ascii="Arial" w:hAnsi="Arial" w:cs="Arial"/>
          <w:sz w:val="24"/>
          <w:szCs w:val="24"/>
          <w:lang w:val="en-US"/>
        </w:rPr>
        <w:t>n order to maximise human rights</w:t>
      </w:r>
      <w:r w:rsidR="007F2C0C" w:rsidRPr="00A34D67">
        <w:rPr>
          <w:rFonts w:ascii="Arial" w:hAnsi="Arial" w:cs="Arial"/>
          <w:sz w:val="24"/>
          <w:szCs w:val="24"/>
          <w:lang w:val="en-US"/>
        </w:rPr>
        <w:t>’</w:t>
      </w:r>
      <w:r w:rsidR="009A4E14" w:rsidRPr="00A34D67">
        <w:rPr>
          <w:rFonts w:ascii="Arial" w:hAnsi="Arial" w:cs="Arial"/>
          <w:sz w:val="24"/>
          <w:szCs w:val="24"/>
          <w:lang w:val="en-US"/>
        </w:rPr>
        <w:t xml:space="preserve"> protection, c</w:t>
      </w:r>
      <w:r w:rsidR="000D6591" w:rsidRPr="00A34D67">
        <w:rPr>
          <w:rFonts w:ascii="Arial" w:hAnsi="Arial" w:cs="Arial"/>
          <w:sz w:val="24"/>
          <w:szCs w:val="24"/>
          <w:lang w:val="en-US"/>
        </w:rPr>
        <w:t>ourts and treaty bodies should have the authority to</w:t>
      </w:r>
      <w:r w:rsidR="000D6591" w:rsidRPr="00A34D67">
        <w:rPr>
          <w:rFonts w:ascii="Arial" w:hAnsi="Arial" w:cs="Arial"/>
          <w:color w:val="FF0000"/>
          <w:sz w:val="24"/>
          <w:szCs w:val="24"/>
          <w:lang w:val="en-US"/>
        </w:rPr>
        <w:t xml:space="preserve"> </w:t>
      </w:r>
      <w:r w:rsidR="000D6591" w:rsidRPr="00A34D67">
        <w:rPr>
          <w:rFonts w:ascii="Arial" w:hAnsi="Arial" w:cs="Arial"/>
          <w:sz w:val="24"/>
          <w:szCs w:val="24"/>
          <w:lang w:val="en-US"/>
        </w:rPr>
        <w:t>decide</w:t>
      </w:r>
      <w:r w:rsidR="00576132" w:rsidRPr="00A34D67">
        <w:rPr>
          <w:rFonts w:ascii="Arial" w:hAnsi="Arial" w:cs="Arial"/>
          <w:sz w:val="24"/>
          <w:szCs w:val="24"/>
          <w:lang w:val="en-US"/>
        </w:rPr>
        <w:t xml:space="preserve"> whether a reservation is </w:t>
      </w:r>
      <w:r w:rsidR="000D6591" w:rsidRPr="00A34D67">
        <w:rPr>
          <w:rFonts w:ascii="Arial" w:hAnsi="Arial" w:cs="Arial"/>
          <w:sz w:val="24"/>
          <w:szCs w:val="24"/>
          <w:lang w:val="en-US"/>
        </w:rPr>
        <w:t>in</w:t>
      </w:r>
      <w:r w:rsidR="00576132" w:rsidRPr="00A34D67">
        <w:rPr>
          <w:rFonts w:ascii="Arial" w:hAnsi="Arial" w:cs="Arial"/>
          <w:sz w:val="24"/>
          <w:szCs w:val="24"/>
          <w:lang w:val="en-US"/>
        </w:rPr>
        <w:t>compatible with the object and purp</w:t>
      </w:r>
      <w:r w:rsidR="007F2C0C" w:rsidRPr="00A34D67">
        <w:rPr>
          <w:rFonts w:ascii="Arial" w:hAnsi="Arial" w:cs="Arial"/>
          <w:sz w:val="24"/>
          <w:szCs w:val="24"/>
          <w:lang w:val="en-US"/>
        </w:rPr>
        <w:t>ose of the human rights treaty. I</w:t>
      </w:r>
      <w:r w:rsidR="000D6591" w:rsidRPr="00A34D67">
        <w:rPr>
          <w:rFonts w:ascii="Arial" w:hAnsi="Arial" w:cs="Arial"/>
          <w:sz w:val="24"/>
          <w:szCs w:val="24"/>
          <w:lang w:val="en-US"/>
        </w:rPr>
        <w:t>f so, the reservation should be cons</w:t>
      </w:r>
      <w:r w:rsidR="007F2C0C" w:rsidRPr="00A34D67">
        <w:rPr>
          <w:rFonts w:ascii="Arial" w:hAnsi="Arial" w:cs="Arial"/>
          <w:sz w:val="24"/>
          <w:szCs w:val="24"/>
          <w:lang w:val="en-US"/>
        </w:rPr>
        <w:t xml:space="preserve">idered void and also severable, </w:t>
      </w:r>
      <w:r w:rsidR="000D6591" w:rsidRPr="00A34D67">
        <w:rPr>
          <w:rFonts w:ascii="Arial" w:hAnsi="Arial" w:cs="Arial"/>
          <w:sz w:val="24"/>
          <w:szCs w:val="24"/>
          <w:lang w:val="en-US"/>
        </w:rPr>
        <w:t>in order to maintain the binding effect of th</w:t>
      </w:r>
      <w:r w:rsidR="007F2C0C" w:rsidRPr="00A34D67">
        <w:rPr>
          <w:rFonts w:ascii="Arial" w:hAnsi="Arial" w:cs="Arial"/>
          <w:sz w:val="24"/>
          <w:szCs w:val="24"/>
          <w:lang w:val="en-US"/>
        </w:rPr>
        <w:t>e treaty on the reserving state</w:t>
      </w:r>
      <w:r w:rsidR="000D6591" w:rsidRPr="00A34D67">
        <w:rPr>
          <w:rFonts w:ascii="Arial" w:hAnsi="Arial" w:cs="Arial"/>
          <w:sz w:val="24"/>
          <w:szCs w:val="24"/>
          <w:lang w:val="en-US"/>
        </w:rPr>
        <w:t>.</w:t>
      </w:r>
      <w:r w:rsidR="00CD4B20" w:rsidRPr="00A34D67">
        <w:rPr>
          <w:rStyle w:val="FootnoteReference"/>
          <w:rFonts w:ascii="Arial" w:hAnsi="Arial" w:cs="Arial"/>
          <w:sz w:val="24"/>
          <w:szCs w:val="24"/>
          <w:lang w:val="en-US"/>
        </w:rPr>
        <w:footnoteReference w:id="238"/>
      </w:r>
    </w:p>
    <w:p w14:paraId="30336CAB" w14:textId="187076E2" w:rsidR="00576132" w:rsidRPr="00A34D67" w:rsidRDefault="00903D2E" w:rsidP="00401E4C">
      <w:pPr>
        <w:spacing w:line="480" w:lineRule="auto"/>
        <w:rPr>
          <w:rFonts w:ascii="Arial" w:hAnsi="Arial" w:cs="Arial"/>
          <w:sz w:val="24"/>
          <w:szCs w:val="24"/>
          <w:lang w:val="en-US"/>
        </w:rPr>
      </w:pPr>
      <w:r w:rsidRPr="00A34D67">
        <w:rPr>
          <w:rFonts w:ascii="Arial" w:hAnsi="Arial" w:cs="Arial"/>
          <w:sz w:val="24"/>
          <w:szCs w:val="24"/>
          <w:lang w:val="en-US"/>
        </w:rPr>
        <w:t xml:space="preserve">Several </w:t>
      </w:r>
      <w:r w:rsidR="00576132" w:rsidRPr="00A34D67">
        <w:rPr>
          <w:rFonts w:ascii="Arial" w:hAnsi="Arial" w:cs="Arial"/>
          <w:sz w:val="24"/>
          <w:szCs w:val="24"/>
          <w:lang w:val="en-US"/>
        </w:rPr>
        <w:t xml:space="preserve">governments </w:t>
      </w:r>
      <w:r w:rsidRPr="00A34D67">
        <w:rPr>
          <w:rFonts w:ascii="Arial" w:hAnsi="Arial" w:cs="Arial"/>
          <w:sz w:val="24"/>
          <w:szCs w:val="24"/>
          <w:lang w:val="en-US"/>
        </w:rPr>
        <w:t>reacted negatively to this apparent</w:t>
      </w:r>
      <w:r w:rsidRPr="00A34D67">
        <w:rPr>
          <w:rFonts w:ascii="Arial" w:hAnsi="Arial" w:cs="Arial"/>
          <w:color w:val="FF0000"/>
          <w:sz w:val="24"/>
          <w:szCs w:val="24"/>
          <w:lang w:val="en-US"/>
        </w:rPr>
        <w:t xml:space="preserve"> </w:t>
      </w:r>
      <w:r w:rsidR="008F5C18" w:rsidRPr="00A34D67">
        <w:rPr>
          <w:rFonts w:ascii="Arial" w:hAnsi="Arial" w:cs="Arial"/>
          <w:sz w:val="24"/>
          <w:szCs w:val="24"/>
          <w:lang w:val="en-US"/>
        </w:rPr>
        <w:t>usurpation by human rights bodies.</w:t>
      </w:r>
      <w:r w:rsidR="008F5C18" w:rsidRPr="00A34D67">
        <w:rPr>
          <w:rFonts w:ascii="Arial" w:hAnsi="Arial" w:cs="Arial"/>
          <w:color w:val="FF0000"/>
          <w:sz w:val="24"/>
          <w:szCs w:val="24"/>
          <w:lang w:val="en-US"/>
        </w:rPr>
        <w:t xml:space="preserve"> </w:t>
      </w:r>
      <w:r w:rsidR="00576132" w:rsidRPr="00A34D67">
        <w:rPr>
          <w:rFonts w:ascii="Arial" w:hAnsi="Arial" w:cs="Arial"/>
          <w:sz w:val="24"/>
          <w:szCs w:val="24"/>
          <w:lang w:val="en-US"/>
        </w:rPr>
        <w:t xml:space="preserve">The notion that ‘human rights are special’ was </w:t>
      </w:r>
      <w:r w:rsidR="008F5C18" w:rsidRPr="00A34D67">
        <w:rPr>
          <w:rFonts w:ascii="Arial" w:hAnsi="Arial" w:cs="Arial"/>
          <w:sz w:val="24"/>
          <w:szCs w:val="24"/>
          <w:lang w:val="en-US"/>
        </w:rPr>
        <w:t xml:space="preserve">also </w:t>
      </w:r>
      <w:r w:rsidR="00576132" w:rsidRPr="00A34D67">
        <w:rPr>
          <w:rFonts w:ascii="Arial" w:hAnsi="Arial" w:cs="Arial"/>
          <w:sz w:val="24"/>
          <w:szCs w:val="24"/>
          <w:lang w:val="en-US"/>
        </w:rPr>
        <w:t>considered nonsensical by Pellet and the ILC.</w:t>
      </w:r>
      <w:r w:rsidR="00576132" w:rsidRPr="00A34D67">
        <w:rPr>
          <w:rStyle w:val="FootnoteReference"/>
          <w:rFonts w:ascii="Arial" w:hAnsi="Arial" w:cs="Arial"/>
          <w:sz w:val="24"/>
          <w:szCs w:val="24"/>
          <w:lang w:val="en-US"/>
        </w:rPr>
        <w:footnoteReference w:id="239"/>
      </w:r>
      <w:r w:rsidR="00576132" w:rsidRPr="00A34D67">
        <w:rPr>
          <w:rFonts w:ascii="Arial" w:hAnsi="Arial" w:cs="Arial"/>
          <w:sz w:val="24"/>
          <w:szCs w:val="24"/>
          <w:lang w:val="en-US"/>
        </w:rPr>
        <w:t xml:space="preserve"> </w:t>
      </w:r>
      <w:r w:rsidR="008F5C18" w:rsidRPr="00A34D67">
        <w:rPr>
          <w:rFonts w:ascii="Arial" w:hAnsi="Arial" w:cs="Arial"/>
          <w:sz w:val="24"/>
          <w:szCs w:val="24"/>
          <w:lang w:val="en-US"/>
        </w:rPr>
        <w:t>Such a concept</w:t>
      </w:r>
      <w:r w:rsidR="00576132" w:rsidRPr="00A34D67">
        <w:rPr>
          <w:rFonts w:ascii="Arial" w:hAnsi="Arial" w:cs="Arial"/>
          <w:sz w:val="24"/>
          <w:szCs w:val="24"/>
          <w:lang w:val="en-US"/>
        </w:rPr>
        <w:t xml:space="preserve"> is ideologically at odds with the fundamental beliefs of any international lawyer, whatever their attitude towards human rights. </w:t>
      </w:r>
      <w:r w:rsidR="008F5C18" w:rsidRPr="00A34D67">
        <w:rPr>
          <w:rFonts w:ascii="Arial" w:hAnsi="Arial" w:cs="Arial"/>
          <w:sz w:val="24"/>
          <w:szCs w:val="24"/>
          <w:lang w:val="en-US"/>
        </w:rPr>
        <w:t xml:space="preserve">International law would be unable to </w:t>
      </w:r>
      <w:r w:rsidR="009462F4" w:rsidRPr="00A34D67">
        <w:rPr>
          <w:rFonts w:ascii="Arial" w:hAnsi="Arial" w:cs="Arial"/>
          <w:sz w:val="24"/>
          <w:szCs w:val="24"/>
          <w:lang w:val="en-US"/>
        </w:rPr>
        <w:t>endure as a unified structure</w:t>
      </w:r>
      <w:r w:rsidR="008F5C18" w:rsidRPr="00A34D67">
        <w:rPr>
          <w:rFonts w:ascii="Arial" w:hAnsi="Arial" w:cs="Arial"/>
          <w:sz w:val="24"/>
          <w:szCs w:val="24"/>
          <w:lang w:val="en-US"/>
        </w:rPr>
        <w:t xml:space="preserve"> if it leant towards the </w:t>
      </w:r>
      <w:r w:rsidR="009462F4" w:rsidRPr="00A34D67">
        <w:rPr>
          <w:rFonts w:ascii="Arial" w:hAnsi="Arial" w:cs="Arial"/>
          <w:sz w:val="24"/>
          <w:szCs w:val="24"/>
          <w:lang w:val="en-US"/>
        </w:rPr>
        <w:t xml:space="preserve">emerging </w:t>
      </w:r>
      <w:r w:rsidR="008F5C18" w:rsidRPr="00A34D67">
        <w:rPr>
          <w:rFonts w:ascii="Arial" w:hAnsi="Arial" w:cs="Arial"/>
          <w:sz w:val="24"/>
          <w:szCs w:val="24"/>
          <w:lang w:val="en-US"/>
        </w:rPr>
        <w:t>human rights approach, thereby according it a special status</w:t>
      </w:r>
      <w:r w:rsidR="009462F4" w:rsidRPr="00A34D67">
        <w:rPr>
          <w:rFonts w:ascii="Arial" w:hAnsi="Arial" w:cs="Arial"/>
          <w:sz w:val="24"/>
          <w:szCs w:val="24"/>
          <w:lang w:val="en-US"/>
        </w:rPr>
        <w:t xml:space="preserve"> over that of the archaic Vienna Convention regime.</w:t>
      </w:r>
      <w:r w:rsidR="008F5C18" w:rsidRPr="00A34D67">
        <w:rPr>
          <w:rFonts w:ascii="Arial" w:hAnsi="Arial" w:cs="Arial"/>
          <w:sz w:val="24"/>
          <w:szCs w:val="24"/>
          <w:lang w:val="en-US"/>
        </w:rPr>
        <w:t xml:space="preserve"> </w:t>
      </w:r>
      <w:r w:rsidR="00576132" w:rsidRPr="00A34D67">
        <w:rPr>
          <w:rFonts w:ascii="Arial" w:hAnsi="Arial" w:cs="Arial"/>
          <w:sz w:val="24"/>
          <w:szCs w:val="24"/>
          <w:lang w:val="en-US"/>
        </w:rPr>
        <w:t>The academic stalemate o</w:t>
      </w:r>
      <w:r w:rsidR="007A704C" w:rsidRPr="00A34D67">
        <w:rPr>
          <w:rFonts w:ascii="Arial" w:hAnsi="Arial" w:cs="Arial"/>
          <w:sz w:val="24"/>
          <w:szCs w:val="24"/>
          <w:lang w:val="en-US"/>
        </w:rPr>
        <w:t>ver</w:t>
      </w:r>
      <w:r w:rsidR="00576132" w:rsidRPr="00A34D67">
        <w:rPr>
          <w:rFonts w:ascii="Arial" w:hAnsi="Arial" w:cs="Arial"/>
          <w:sz w:val="24"/>
          <w:szCs w:val="24"/>
          <w:lang w:val="en-US"/>
        </w:rPr>
        <w:t xml:space="preserve"> this issue was ‘seemingly insurmountable’.</w:t>
      </w:r>
      <w:r w:rsidR="00576132" w:rsidRPr="00A34D67">
        <w:rPr>
          <w:rStyle w:val="FootnoteReference"/>
          <w:rFonts w:ascii="Arial" w:hAnsi="Arial" w:cs="Arial"/>
          <w:sz w:val="24"/>
          <w:szCs w:val="24"/>
          <w:lang w:val="en-US"/>
        </w:rPr>
        <w:footnoteReference w:id="240"/>
      </w:r>
      <w:r w:rsidR="00576132" w:rsidRPr="00A34D67">
        <w:rPr>
          <w:rFonts w:ascii="Arial" w:hAnsi="Arial" w:cs="Arial"/>
          <w:sz w:val="24"/>
          <w:szCs w:val="24"/>
          <w:lang w:val="en-US"/>
        </w:rPr>
        <w:t xml:space="preserve"> </w:t>
      </w:r>
      <w:r w:rsidR="009462F4" w:rsidRPr="00A34D67">
        <w:rPr>
          <w:rFonts w:ascii="Arial" w:hAnsi="Arial" w:cs="Arial"/>
          <w:sz w:val="24"/>
          <w:szCs w:val="24"/>
          <w:lang w:val="en-US"/>
        </w:rPr>
        <w:t xml:space="preserve">Fragmentation </w:t>
      </w:r>
      <w:r w:rsidR="00FD6853" w:rsidRPr="00A34D67">
        <w:rPr>
          <w:rFonts w:ascii="Arial" w:hAnsi="Arial" w:cs="Arial"/>
          <w:sz w:val="24"/>
          <w:szCs w:val="24"/>
          <w:lang w:val="en-US"/>
        </w:rPr>
        <w:t>began</w:t>
      </w:r>
      <w:r w:rsidR="009462F4" w:rsidRPr="00A34D67">
        <w:rPr>
          <w:rFonts w:ascii="Arial" w:hAnsi="Arial" w:cs="Arial"/>
          <w:sz w:val="24"/>
          <w:szCs w:val="24"/>
          <w:lang w:val="en-US"/>
        </w:rPr>
        <w:t xml:space="preserve"> to look like an increasingly appealing solutio</w:t>
      </w:r>
      <w:r w:rsidR="00F70426">
        <w:rPr>
          <w:rFonts w:ascii="Arial" w:hAnsi="Arial" w:cs="Arial"/>
          <w:sz w:val="24"/>
          <w:szCs w:val="24"/>
          <w:lang w:val="en-US"/>
        </w:rPr>
        <w:t>n.</w:t>
      </w:r>
    </w:p>
    <w:p w14:paraId="1158C896" w14:textId="3F02BAB2" w:rsidR="003225A6" w:rsidRDefault="00576132" w:rsidP="00401E4C">
      <w:pPr>
        <w:spacing w:line="480" w:lineRule="auto"/>
        <w:rPr>
          <w:rFonts w:ascii="Arial" w:hAnsi="Arial" w:cs="Arial"/>
          <w:color w:val="FF0000"/>
          <w:sz w:val="24"/>
          <w:szCs w:val="24"/>
          <w:lang w:val="en-US"/>
        </w:rPr>
      </w:pPr>
      <w:r w:rsidRPr="00A34D67">
        <w:rPr>
          <w:rFonts w:ascii="Arial" w:hAnsi="Arial" w:cs="Arial"/>
          <w:sz w:val="24"/>
          <w:szCs w:val="24"/>
          <w:lang w:val="en-US"/>
        </w:rPr>
        <w:t>However, it is clear that the 2011 Guide has ultimately assimilated much of the human rights-inspired assessment of the Vienna Convention, with regard to impermissible reservations, ‘without giving any ground to the idea of speciality’.</w:t>
      </w:r>
      <w:r w:rsidRPr="00A34D67">
        <w:rPr>
          <w:rStyle w:val="FootnoteReference"/>
          <w:rFonts w:ascii="Arial" w:hAnsi="Arial" w:cs="Arial"/>
          <w:sz w:val="24"/>
          <w:szCs w:val="24"/>
          <w:lang w:val="en-US"/>
        </w:rPr>
        <w:footnoteReference w:id="241"/>
      </w:r>
      <w:r w:rsidRPr="00A34D67">
        <w:rPr>
          <w:rFonts w:ascii="Arial" w:hAnsi="Arial" w:cs="Arial"/>
          <w:color w:val="FF0000"/>
          <w:sz w:val="24"/>
          <w:szCs w:val="24"/>
          <w:lang w:val="en-US"/>
        </w:rPr>
        <w:t xml:space="preserve"> </w:t>
      </w:r>
      <w:r w:rsidRPr="00A34D67">
        <w:rPr>
          <w:rFonts w:ascii="Arial" w:hAnsi="Arial" w:cs="Arial"/>
          <w:sz w:val="24"/>
          <w:szCs w:val="24"/>
          <w:lang w:val="en-US"/>
        </w:rPr>
        <w:t>Despite this system being universally applicable to treaties,</w:t>
      </w:r>
      <w:r w:rsidRPr="00A34D67">
        <w:rPr>
          <w:rFonts w:ascii="Arial" w:hAnsi="Arial" w:cs="Arial"/>
          <w:color w:val="FF0000"/>
          <w:sz w:val="24"/>
          <w:szCs w:val="24"/>
          <w:lang w:val="en-US"/>
        </w:rPr>
        <w:t xml:space="preserve"> </w:t>
      </w:r>
      <w:r w:rsidRPr="00A34D67">
        <w:rPr>
          <w:rFonts w:ascii="Arial" w:hAnsi="Arial" w:cs="Arial"/>
          <w:sz w:val="24"/>
          <w:szCs w:val="24"/>
          <w:lang w:val="en-US"/>
        </w:rPr>
        <w:t>it is a departure from the inter-subjective approach that regards state objections as essential.</w:t>
      </w:r>
      <w:r w:rsidR="00BC3499">
        <w:rPr>
          <w:rStyle w:val="FootnoteReference"/>
          <w:rFonts w:ascii="Arial" w:hAnsi="Arial" w:cs="Arial"/>
          <w:sz w:val="24"/>
          <w:szCs w:val="24"/>
          <w:lang w:val="en-US"/>
        </w:rPr>
        <w:footnoteReference w:id="242"/>
      </w:r>
      <w:r w:rsidRPr="00A34D67">
        <w:rPr>
          <w:rFonts w:ascii="Arial" w:hAnsi="Arial" w:cs="Arial"/>
          <w:color w:val="FF0000"/>
          <w:sz w:val="24"/>
          <w:szCs w:val="24"/>
          <w:lang w:val="en-US"/>
        </w:rPr>
        <w:t xml:space="preserve"> </w:t>
      </w:r>
      <w:r w:rsidRPr="00A34D67">
        <w:rPr>
          <w:rFonts w:ascii="Arial" w:hAnsi="Arial" w:cs="Arial"/>
          <w:sz w:val="24"/>
          <w:szCs w:val="24"/>
          <w:lang w:val="en-US"/>
        </w:rPr>
        <w:t>Invalid reservations are considered a nullity and therefore severable under this method.</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Impermissible reservations can only be severed from a treaty if the reserving </w:t>
      </w:r>
      <w:r w:rsidRPr="00065C1C">
        <w:rPr>
          <w:rFonts w:ascii="Arial" w:hAnsi="Arial" w:cs="Arial"/>
          <w:sz w:val="24"/>
          <w:szCs w:val="24"/>
          <w:lang w:val="en-US"/>
        </w:rPr>
        <w:t xml:space="preserve">state wishes to remain party to the treaty. </w:t>
      </w:r>
      <w:r w:rsidR="003225A6" w:rsidRPr="00065C1C">
        <w:rPr>
          <w:rFonts w:ascii="Arial" w:hAnsi="Arial" w:cs="Arial"/>
          <w:sz w:val="24"/>
          <w:szCs w:val="24"/>
          <w:lang w:val="en-US"/>
        </w:rPr>
        <w:t xml:space="preserve">The </w:t>
      </w:r>
      <w:r w:rsidR="00D3221D">
        <w:rPr>
          <w:rFonts w:ascii="Arial" w:hAnsi="Arial" w:cs="Arial"/>
          <w:sz w:val="24"/>
          <w:szCs w:val="24"/>
          <w:lang w:val="en-US"/>
        </w:rPr>
        <w:t>a</w:t>
      </w:r>
      <w:r w:rsidR="003225A6" w:rsidRPr="00065C1C">
        <w:rPr>
          <w:rFonts w:ascii="Arial" w:hAnsi="Arial" w:cs="Arial"/>
          <w:sz w:val="24"/>
          <w:szCs w:val="24"/>
          <w:lang w:val="en-US"/>
        </w:rPr>
        <w:t>nnex to the ILC Guide 2011 specifies that ‘states and international organizations, as well as monitoring bodies, if they deem it useful, should encourage the withdrawal of reservations, the reconsideration of the need for a reservation or the gradual reduction of the scope of a reservation through partial withdrawals’.</w:t>
      </w:r>
      <w:r w:rsidR="00065C1C" w:rsidRPr="00065C1C">
        <w:rPr>
          <w:rStyle w:val="FootnoteReference"/>
          <w:rFonts w:ascii="Arial" w:hAnsi="Arial" w:cs="Arial"/>
          <w:sz w:val="24"/>
          <w:szCs w:val="24"/>
          <w:lang w:val="en-US"/>
        </w:rPr>
        <w:footnoteReference w:id="243"/>
      </w:r>
    </w:p>
    <w:p w14:paraId="036F4412" w14:textId="3933C01C" w:rsidR="00576132" w:rsidRPr="00A34D67" w:rsidRDefault="00576132" w:rsidP="00401E4C">
      <w:pPr>
        <w:spacing w:line="480" w:lineRule="auto"/>
        <w:rPr>
          <w:rFonts w:ascii="Arial" w:hAnsi="Arial" w:cs="Arial"/>
          <w:sz w:val="24"/>
          <w:szCs w:val="24"/>
          <w:lang w:val="en-US"/>
        </w:rPr>
      </w:pPr>
      <w:r w:rsidRPr="00A34D67">
        <w:rPr>
          <w:rFonts w:ascii="Arial" w:hAnsi="Arial" w:cs="Arial"/>
          <w:sz w:val="24"/>
          <w:szCs w:val="24"/>
          <w:lang w:val="en-US"/>
        </w:rPr>
        <w:t xml:space="preserve">Human rights bodies are not deemed by the </w:t>
      </w:r>
      <w:r w:rsidR="006D3A51">
        <w:rPr>
          <w:rFonts w:ascii="Arial" w:hAnsi="Arial" w:cs="Arial"/>
          <w:sz w:val="24"/>
          <w:szCs w:val="24"/>
          <w:lang w:val="en-US"/>
        </w:rPr>
        <w:t>ILC Guide 2011</w:t>
      </w:r>
      <w:r w:rsidRPr="00A34D67">
        <w:rPr>
          <w:rFonts w:ascii="Arial" w:hAnsi="Arial" w:cs="Arial"/>
          <w:sz w:val="24"/>
          <w:szCs w:val="24"/>
          <w:lang w:val="en-US"/>
        </w:rPr>
        <w:t xml:space="preserve"> to be competent enough to adequately evaluate impermissible reservations, but this judgment does therefore not raise the opinions of, for instance, the HRC to the same status level of that of the European Court of Human Rights.</w:t>
      </w:r>
      <w:r w:rsidRPr="00A34D67">
        <w:rPr>
          <w:rStyle w:val="FootnoteReference"/>
          <w:rFonts w:ascii="Arial" w:hAnsi="Arial" w:cs="Arial"/>
          <w:sz w:val="24"/>
          <w:szCs w:val="24"/>
          <w:lang w:val="en-US"/>
        </w:rPr>
        <w:footnoteReference w:id="244"/>
      </w:r>
      <w:r w:rsidRPr="00A34D67">
        <w:rPr>
          <w:rFonts w:ascii="Arial" w:hAnsi="Arial" w:cs="Arial"/>
          <w:sz w:val="24"/>
          <w:szCs w:val="24"/>
          <w:lang w:val="en-US"/>
        </w:rPr>
        <w:t xml:space="preserve"> It is generally accepted practice, according to the ILC guidelines, that a reserving state may signal its intention to remain party to the treaty within a year of deeming its reservation to be invalid.</w:t>
      </w:r>
      <w:r w:rsidRPr="00A34D67">
        <w:rPr>
          <w:rStyle w:val="FootnoteReference"/>
          <w:rFonts w:ascii="Arial" w:hAnsi="Arial" w:cs="Arial"/>
          <w:sz w:val="24"/>
          <w:szCs w:val="24"/>
          <w:lang w:val="en-US"/>
        </w:rPr>
        <w:footnoteReference w:id="245"/>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If no response is heard (as is commonly the case), then a state can assume that the reservation has expired – effectively creating an </w:t>
      </w:r>
      <w:r w:rsidR="006F7689">
        <w:rPr>
          <w:rFonts w:ascii="Arial" w:hAnsi="Arial" w:cs="Arial"/>
          <w:sz w:val="24"/>
          <w:szCs w:val="24"/>
          <w:lang w:val="en-US"/>
        </w:rPr>
        <w:t>unexpected</w:t>
      </w:r>
      <w:r w:rsidRPr="00A34D67">
        <w:rPr>
          <w:rFonts w:ascii="Arial" w:hAnsi="Arial" w:cs="Arial"/>
          <w:sz w:val="24"/>
          <w:szCs w:val="24"/>
          <w:lang w:val="en-US"/>
        </w:rPr>
        <w:t xml:space="preserve"> compromise.</w:t>
      </w:r>
    </w:p>
    <w:p w14:paraId="32EF57CB" w14:textId="3393B50A" w:rsidR="007B1CCA" w:rsidRPr="00A34D67" w:rsidRDefault="002F4987" w:rsidP="00401E4C">
      <w:pPr>
        <w:spacing w:line="480" w:lineRule="auto"/>
        <w:rPr>
          <w:rFonts w:ascii="Arial" w:hAnsi="Arial" w:cs="Arial"/>
          <w:color w:val="FF0000"/>
          <w:sz w:val="24"/>
          <w:szCs w:val="24"/>
          <w:lang w:val="en-US"/>
        </w:rPr>
      </w:pPr>
      <w:r>
        <w:rPr>
          <w:rFonts w:ascii="Arial" w:hAnsi="Arial" w:cs="Arial"/>
          <w:sz w:val="24"/>
          <w:szCs w:val="24"/>
          <w:lang w:val="en-US"/>
        </w:rPr>
        <w:t>Another</w:t>
      </w:r>
      <w:r w:rsidR="00A5218F" w:rsidRPr="00A34D67">
        <w:rPr>
          <w:rFonts w:ascii="Arial" w:hAnsi="Arial" w:cs="Arial"/>
          <w:sz w:val="24"/>
          <w:szCs w:val="24"/>
          <w:lang w:val="en-US"/>
        </w:rPr>
        <w:t xml:space="preserve"> reconciliatory approach that has emerged in recent years on the international stage is that of ‘the Nordic initiative’.</w:t>
      </w:r>
      <w:r w:rsidR="00A5218F" w:rsidRPr="00A34D67">
        <w:rPr>
          <w:rStyle w:val="FootnoteReference"/>
          <w:rFonts w:ascii="Arial" w:hAnsi="Arial" w:cs="Arial"/>
          <w:sz w:val="24"/>
          <w:szCs w:val="24"/>
          <w:lang w:val="en-US"/>
        </w:rPr>
        <w:footnoteReference w:id="246"/>
      </w:r>
      <w:r w:rsidR="00A5218F" w:rsidRPr="00A34D67">
        <w:rPr>
          <w:rFonts w:ascii="Arial" w:hAnsi="Arial" w:cs="Arial"/>
          <w:color w:val="FF0000"/>
          <w:sz w:val="24"/>
          <w:szCs w:val="24"/>
          <w:lang w:val="en-US"/>
        </w:rPr>
        <w:t xml:space="preserve"> </w:t>
      </w:r>
      <w:r w:rsidR="00A5218F" w:rsidRPr="00A34D67">
        <w:rPr>
          <w:rFonts w:ascii="Arial" w:hAnsi="Arial" w:cs="Arial"/>
          <w:sz w:val="24"/>
          <w:szCs w:val="24"/>
          <w:lang w:val="en-US"/>
        </w:rPr>
        <w:t>The principle relies on the belief that reserving st</w:t>
      </w:r>
      <w:r w:rsidR="00A5218F" w:rsidRPr="009D715A">
        <w:rPr>
          <w:rFonts w:ascii="Arial" w:hAnsi="Arial" w:cs="Arial"/>
          <w:sz w:val="24"/>
          <w:szCs w:val="24"/>
          <w:lang w:val="en-US"/>
        </w:rPr>
        <w:t>ates should not receive special status with regard to objections to reservations.</w:t>
      </w:r>
      <w:r w:rsidR="00A5218F" w:rsidRPr="00A34D67">
        <w:rPr>
          <w:rFonts w:ascii="Arial" w:hAnsi="Arial" w:cs="Arial"/>
          <w:color w:val="FF0000"/>
          <w:sz w:val="24"/>
          <w:szCs w:val="24"/>
          <w:lang w:val="en-US"/>
        </w:rPr>
        <w:t xml:space="preserve"> </w:t>
      </w:r>
      <w:r w:rsidR="00A5218F" w:rsidRPr="00A34D67">
        <w:rPr>
          <w:rFonts w:ascii="Arial" w:hAnsi="Arial" w:cs="Arial"/>
          <w:sz w:val="24"/>
          <w:szCs w:val="24"/>
          <w:lang w:val="en-US"/>
        </w:rPr>
        <w:t>Instead, the Nordic initiative, affirmed by the Council of Europe’s Committee of Ministers,</w:t>
      </w:r>
      <w:r w:rsidR="00A5218F" w:rsidRPr="00A34D67">
        <w:rPr>
          <w:rFonts w:ascii="Arial" w:hAnsi="Arial" w:cs="Arial"/>
          <w:color w:val="FF0000"/>
          <w:sz w:val="24"/>
          <w:szCs w:val="24"/>
          <w:lang w:val="en-US"/>
        </w:rPr>
        <w:t xml:space="preserve"> </w:t>
      </w:r>
      <w:r w:rsidR="00A5218F" w:rsidRPr="00A34D67">
        <w:rPr>
          <w:rFonts w:ascii="Arial" w:hAnsi="Arial" w:cs="Arial"/>
          <w:sz w:val="24"/>
          <w:szCs w:val="24"/>
          <w:lang w:val="en-US"/>
        </w:rPr>
        <w:t>‘suggests that we should tilt the balance of benefits to the advantage of the community interest’ instead of giving the reserving state its own way all the time.</w:t>
      </w:r>
      <w:r w:rsidR="00A5218F" w:rsidRPr="00A34D67">
        <w:rPr>
          <w:rStyle w:val="FootnoteReference"/>
          <w:rFonts w:ascii="Arial" w:hAnsi="Arial" w:cs="Arial"/>
          <w:sz w:val="24"/>
          <w:szCs w:val="24"/>
          <w:lang w:val="en-US"/>
        </w:rPr>
        <w:footnoteReference w:id="247"/>
      </w:r>
      <w:r w:rsidR="00A5218F" w:rsidRPr="00A34D67">
        <w:rPr>
          <w:rFonts w:ascii="Arial" w:hAnsi="Arial" w:cs="Arial"/>
          <w:sz w:val="24"/>
          <w:szCs w:val="24"/>
          <w:lang w:val="en-US"/>
        </w:rPr>
        <w:t xml:space="preserve"> This would create a fairer reservations process to human rights treaties, to prevent reserving states from simply being allowed to receive favourable treatment. Such an approach might involve the presumption that a reserving state has agreed to submit a proposed reservation for review by the other states party to the treaty.</w:t>
      </w:r>
      <w:r w:rsidR="00A5218F" w:rsidRPr="00A34D67">
        <w:rPr>
          <w:rStyle w:val="FootnoteReference"/>
          <w:rFonts w:ascii="Arial" w:hAnsi="Arial" w:cs="Arial"/>
          <w:sz w:val="24"/>
          <w:szCs w:val="24"/>
          <w:lang w:val="en-US"/>
        </w:rPr>
        <w:footnoteReference w:id="248"/>
      </w:r>
      <w:r w:rsidR="0006201F" w:rsidRPr="00A34D67">
        <w:rPr>
          <w:rFonts w:ascii="Arial" w:hAnsi="Arial" w:cs="Arial"/>
          <w:color w:val="FF0000"/>
          <w:sz w:val="24"/>
          <w:szCs w:val="24"/>
          <w:lang w:val="en-US"/>
        </w:rPr>
        <w:t xml:space="preserve"> </w:t>
      </w:r>
    </w:p>
    <w:p w14:paraId="516A299A" w14:textId="32E51903" w:rsidR="00A5218F" w:rsidRPr="00A34D67" w:rsidRDefault="006A24F1" w:rsidP="00401E4C">
      <w:pPr>
        <w:spacing w:line="480" w:lineRule="auto"/>
        <w:rPr>
          <w:rFonts w:ascii="Arial" w:hAnsi="Arial" w:cs="Arial"/>
          <w:color w:val="FF0000"/>
          <w:sz w:val="24"/>
          <w:szCs w:val="24"/>
          <w:lang w:val="en-US"/>
        </w:rPr>
      </w:pPr>
      <w:r w:rsidRPr="00A34D67">
        <w:rPr>
          <w:rFonts w:ascii="Arial" w:hAnsi="Arial" w:cs="Arial"/>
          <w:sz w:val="24"/>
          <w:szCs w:val="24"/>
          <w:lang w:val="en-US"/>
        </w:rPr>
        <w:t>The Nordic I</w:t>
      </w:r>
      <w:r w:rsidR="0006201F" w:rsidRPr="00A34D67">
        <w:rPr>
          <w:rFonts w:ascii="Arial" w:hAnsi="Arial" w:cs="Arial"/>
          <w:sz w:val="24"/>
          <w:szCs w:val="24"/>
          <w:lang w:val="en-US"/>
        </w:rPr>
        <w:t>nitiative</w:t>
      </w:r>
      <w:r w:rsidR="00DC5C8D">
        <w:rPr>
          <w:rFonts w:ascii="Arial" w:hAnsi="Arial" w:cs="Arial"/>
          <w:sz w:val="24"/>
          <w:szCs w:val="24"/>
          <w:lang w:val="en-US"/>
        </w:rPr>
        <w:t>, which</w:t>
      </w:r>
      <w:r w:rsidR="0006201F" w:rsidRPr="00A34D67">
        <w:rPr>
          <w:rFonts w:ascii="Arial" w:hAnsi="Arial" w:cs="Arial"/>
          <w:sz w:val="24"/>
          <w:szCs w:val="24"/>
          <w:lang w:val="en-US"/>
        </w:rPr>
        <w:t xml:space="preserve"> </w:t>
      </w:r>
      <w:r w:rsidR="00E028CC">
        <w:rPr>
          <w:rFonts w:ascii="Arial" w:hAnsi="Arial" w:cs="Arial"/>
          <w:sz w:val="24"/>
          <w:szCs w:val="24"/>
          <w:lang w:val="en-US"/>
        </w:rPr>
        <w:t>acknowledges</w:t>
      </w:r>
      <w:r w:rsidRPr="00A34D67">
        <w:rPr>
          <w:rFonts w:ascii="Arial" w:hAnsi="Arial" w:cs="Arial"/>
          <w:sz w:val="24"/>
          <w:szCs w:val="24"/>
          <w:lang w:val="en-US"/>
        </w:rPr>
        <w:t xml:space="preserve"> the inadequacies of the outdated Vienna Convention regime</w:t>
      </w:r>
      <w:r w:rsidR="00DC5C8D">
        <w:rPr>
          <w:rFonts w:ascii="Arial" w:hAnsi="Arial" w:cs="Arial"/>
          <w:sz w:val="24"/>
          <w:szCs w:val="24"/>
          <w:lang w:val="en-US"/>
        </w:rPr>
        <w:t>,</w:t>
      </w:r>
      <w:r w:rsidR="00C075B5" w:rsidRPr="00A34D67">
        <w:rPr>
          <w:rStyle w:val="FootnoteReference"/>
          <w:rFonts w:ascii="Arial" w:hAnsi="Arial" w:cs="Arial"/>
          <w:sz w:val="24"/>
          <w:szCs w:val="24"/>
          <w:lang w:val="en-US"/>
        </w:rPr>
        <w:footnoteReference w:id="249"/>
      </w:r>
      <w:r w:rsidRPr="00A34D67">
        <w:rPr>
          <w:rFonts w:ascii="Arial" w:hAnsi="Arial" w:cs="Arial"/>
          <w:sz w:val="24"/>
          <w:szCs w:val="24"/>
          <w:lang w:val="en-US"/>
        </w:rPr>
        <w:t xml:space="preserve"> </w:t>
      </w:r>
      <w:r w:rsidR="0006201F" w:rsidRPr="00A34D67">
        <w:rPr>
          <w:rFonts w:ascii="Arial" w:hAnsi="Arial" w:cs="Arial"/>
          <w:sz w:val="24"/>
          <w:szCs w:val="24"/>
          <w:lang w:val="en-US"/>
        </w:rPr>
        <w:t xml:space="preserve">recognises that </w:t>
      </w:r>
      <w:r w:rsidR="003C09B6" w:rsidRPr="00A34D67">
        <w:rPr>
          <w:rFonts w:ascii="Arial" w:hAnsi="Arial" w:cs="Arial"/>
          <w:sz w:val="24"/>
          <w:szCs w:val="24"/>
          <w:lang w:val="en-US"/>
        </w:rPr>
        <w:t>‘</w:t>
      </w:r>
      <w:r w:rsidR="0006201F" w:rsidRPr="00A34D67">
        <w:rPr>
          <w:rFonts w:ascii="Arial" w:hAnsi="Arial" w:cs="Arial"/>
          <w:sz w:val="24"/>
          <w:szCs w:val="24"/>
          <w:lang w:val="en-US"/>
        </w:rPr>
        <w:t>to proclaim that reserving states shall not benefit from their reservations where those are difficult to reconcile with a treaty’s object and purpose</w:t>
      </w:r>
      <w:r w:rsidR="003C09B6" w:rsidRPr="00A34D67">
        <w:rPr>
          <w:rFonts w:ascii="Arial" w:hAnsi="Arial" w:cs="Arial"/>
          <w:sz w:val="24"/>
          <w:szCs w:val="24"/>
          <w:lang w:val="en-US"/>
        </w:rPr>
        <w:t>’</w:t>
      </w:r>
      <w:r w:rsidR="009662CE" w:rsidRPr="00A34D67">
        <w:rPr>
          <w:rStyle w:val="FootnoteReference"/>
          <w:rFonts w:ascii="Arial" w:hAnsi="Arial" w:cs="Arial"/>
          <w:sz w:val="24"/>
          <w:szCs w:val="24"/>
          <w:lang w:val="en-US"/>
        </w:rPr>
        <w:footnoteReference w:id="250"/>
      </w:r>
      <w:r w:rsidR="009662CE" w:rsidRPr="00A34D67">
        <w:rPr>
          <w:rFonts w:ascii="Arial" w:hAnsi="Arial" w:cs="Arial"/>
          <w:sz w:val="24"/>
          <w:szCs w:val="24"/>
          <w:lang w:val="en-US"/>
        </w:rPr>
        <w:t xml:space="preserve"> </w:t>
      </w:r>
      <w:r w:rsidR="003C09B6" w:rsidRPr="00A34D67">
        <w:rPr>
          <w:rFonts w:ascii="Arial" w:hAnsi="Arial" w:cs="Arial"/>
          <w:sz w:val="24"/>
          <w:szCs w:val="24"/>
          <w:lang w:val="en-US"/>
        </w:rPr>
        <w:t>is viewed as a particularly fascinating effort to</w:t>
      </w:r>
      <w:r w:rsidR="003C09B6" w:rsidRPr="00A34D67">
        <w:rPr>
          <w:rFonts w:ascii="Arial" w:hAnsi="Arial" w:cs="Arial"/>
          <w:color w:val="FF0000"/>
          <w:sz w:val="24"/>
          <w:szCs w:val="24"/>
          <w:lang w:val="en-US"/>
        </w:rPr>
        <w:t xml:space="preserve"> </w:t>
      </w:r>
      <w:r w:rsidR="009662CE" w:rsidRPr="00A34D67">
        <w:rPr>
          <w:rFonts w:ascii="Arial" w:hAnsi="Arial" w:cs="Arial"/>
          <w:sz w:val="24"/>
          <w:szCs w:val="24"/>
          <w:lang w:val="en-US"/>
        </w:rPr>
        <w:t>encourage</w:t>
      </w:r>
      <w:r w:rsidR="0006201F" w:rsidRPr="00A34D67">
        <w:rPr>
          <w:rFonts w:ascii="Arial" w:hAnsi="Arial" w:cs="Arial"/>
          <w:sz w:val="24"/>
          <w:szCs w:val="24"/>
          <w:lang w:val="en-US"/>
        </w:rPr>
        <w:t xml:space="preserve"> the </w:t>
      </w:r>
      <w:r w:rsidR="009662CE" w:rsidRPr="00A34D67">
        <w:rPr>
          <w:rFonts w:ascii="Arial" w:hAnsi="Arial" w:cs="Arial"/>
          <w:sz w:val="24"/>
          <w:szCs w:val="24"/>
          <w:lang w:val="en-US"/>
        </w:rPr>
        <w:t>growth</w:t>
      </w:r>
      <w:r w:rsidR="0006201F" w:rsidRPr="00A34D67">
        <w:rPr>
          <w:rFonts w:ascii="Arial" w:hAnsi="Arial" w:cs="Arial"/>
          <w:sz w:val="24"/>
          <w:szCs w:val="24"/>
          <w:lang w:val="en-US"/>
        </w:rPr>
        <w:t xml:space="preserve"> of the law on reservations to treaties</w:t>
      </w:r>
      <w:r w:rsidR="009662CE" w:rsidRPr="00A34D67">
        <w:rPr>
          <w:rFonts w:ascii="Arial" w:hAnsi="Arial" w:cs="Arial"/>
          <w:sz w:val="24"/>
          <w:szCs w:val="24"/>
          <w:lang w:val="en-US"/>
        </w:rPr>
        <w:t>. The supposed contractual nature of treaties is limited.</w:t>
      </w:r>
      <w:r w:rsidR="0006201F" w:rsidRPr="00A34D67">
        <w:rPr>
          <w:rFonts w:ascii="Arial" w:hAnsi="Arial" w:cs="Arial"/>
          <w:sz w:val="24"/>
          <w:szCs w:val="24"/>
          <w:lang w:val="en-US"/>
        </w:rPr>
        <w:t xml:space="preserve"> </w:t>
      </w:r>
      <w:r w:rsidR="00090F4C" w:rsidRPr="00A34D67">
        <w:rPr>
          <w:rFonts w:ascii="Arial" w:hAnsi="Arial" w:cs="Arial"/>
          <w:sz w:val="24"/>
          <w:szCs w:val="24"/>
          <w:lang w:val="en-US"/>
        </w:rPr>
        <w:t>In fact, the Nordic Initiative indicates the insufficiency of</w:t>
      </w:r>
      <w:r w:rsidR="002C511C" w:rsidRPr="00A34D67">
        <w:rPr>
          <w:rFonts w:ascii="Arial" w:hAnsi="Arial" w:cs="Arial"/>
          <w:sz w:val="24"/>
          <w:szCs w:val="24"/>
          <w:lang w:val="en-US"/>
        </w:rPr>
        <w:t xml:space="preserve"> </w:t>
      </w:r>
      <w:r w:rsidR="00512F25" w:rsidRPr="00A34D67">
        <w:rPr>
          <w:rFonts w:ascii="Arial" w:hAnsi="Arial" w:cs="Arial"/>
          <w:sz w:val="24"/>
          <w:szCs w:val="24"/>
          <w:lang w:val="en-US"/>
        </w:rPr>
        <w:t>attempting ‘</w:t>
      </w:r>
      <w:r w:rsidR="0049087F" w:rsidRPr="00A34D67">
        <w:rPr>
          <w:rFonts w:ascii="Arial" w:hAnsi="Arial" w:cs="Arial"/>
          <w:sz w:val="24"/>
          <w:szCs w:val="24"/>
          <w:lang w:val="en-US"/>
        </w:rPr>
        <w:t>to capture all international normative emanations in terms of reciprocity between states,</w:t>
      </w:r>
      <w:r w:rsidR="00512F25" w:rsidRPr="00A34D67">
        <w:rPr>
          <w:rFonts w:ascii="Arial" w:hAnsi="Arial" w:cs="Arial"/>
          <w:sz w:val="24"/>
          <w:szCs w:val="24"/>
          <w:lang w:val="en-US"/>
        </w:rPr>
        <w:t>’</w:t>
      </w:r>
      <w:r w:rsidR="0049087F" w:rsidRPr="00A34D67">
        <w:rPr>
          <w:rFonts w:ascii="Arial" w:hAnsi="Arial" w:cs="Arial"/>
          <w:sz w:val="24"/>
          <w:szCs w:val="24"/>
          <w:lang w:val="en-US"/>
        </w:rPr>
        <w:t xml:space="preserve"> </w:t>
      </w:r>
      <w:r w:rsidR="00512F25" w:rsidRPr="00A34D67">
        <w:rPr>
          <w:rFonts w:ascii="Arial" w:hAnsi="Arial" w:cs="Arial"/>
          <w:sz w:val="24"/>
          <w:szCs w:val="24"/>
          <w:lang w:val="en-US"/>
        </w:rPr>
        <w:t>regardless of precise or diffuse reciprocity</w:t>
      </w:r>
      <w:r w:rsidR="0049087F" w:rsidRPr="00A34D67">
        <w:rPr>
          <w:rFonts w:ascii="Arial" w:hAnsi="Arial" w:cs="Arial"/>
          <w:sz w:val="24"/>
          <w:szCs w:val="24"/>
          <w:lang w:val="en-US"/>
        </w:rPr>
        <w:t>.</w:t>
      </w:r>
      <w:r w:rsidR="00855FDF" w:rsidRPr="00A34D67">
        <w:rPr>
          <w:rStyle w:val="FootnoteReference"/>
          <w:rFonts w:ascii="Arial" w:hAnsi="Arial" w:cs="Arial"/>
          <w:sz w:val="24"/>
          <w:szCs w:val="24"/>
          <w:lang w:val="en-US"/>
        </w:rPr>
        <w:footnoteReference w:id="251"/>
      </w:r>
      <w:r w:rsidR="0049087F" w:rsidRPr="00A34D67">
        <w:rPr>
          <w:rFonts w:ascii="Arial" w:hAnsi="Arial" w:cs="Arial"/>
          <w:sz w:val="24"/>
          <w:szCs w:val="24"/>
          <w:lang w:val="en-US"/>
        </w:rPr>
        <w:t xml:space="preserve"> </w:t>
      </w:r>
      <w:r w:rsidR="007B1CCA" w:rsidRPr="00A34D67">
        <w:rPr>
          <w:rFonts w:ascii="Arial" w:hAnsi="Arial" w:cs="Arial"/>
          <w:sz w:val="24"/>
          <w:szCs w:val="24"/>
          <w:lang w:val="en-US"/>
        </w:rPr>
        <w:t>In its place</w:t>
      </w:r>
      <w:r w:rsidR="0049087F" w:rsidRPr="00A34D67">
        <w:rPr>
          <w:rFonts w:ascii="Arial" w:hAnsi="Arial" w:cs="Arial"/>
          <w:sz w:val="24"/>
          <w:szCs w:val="24"/>
          <w:lang w:val="en-US"/>
        </w:rPr>
        <w:t xml:space="preserve">, </w:t>
      </w:r>
      <w:r w:rsidR="007B1CCA" w:rsidRPr="00A34D67">
        <w:rPr>
          <w:rFonts w:ascii="Arial" w:hAnsi="Arial" w:cs="Arial"/>
          <w:sz w:val="24"/>
          <w:szCs w:val="24"/>
          <w:lang w:val="en-US"/>
        </w:rPr>
        <w:t xml:space="preserve">the principle stresses </w:t>
      </w:r>
      <w:r w:rsidR="0049087F" w:rsidRPr="00A34D67">
        <w:rPr>
          <w:rFonts w:ascii="Arial" w:hAnsi="Arial" w:cs="Arial"/>
          <w:sz w:val="24"/>
          <w:szCs w:val="24"/>
          <w:lang w:val="en-US"/>
        </w:rPr>
        <w:t xml:space="preserve">the </w:t>
      </w:r>
      <w:r w:rsidR="007B1CCA" w:rsidRPr="00A34D67">
        <w:rPr>
          <w:rFonts w:ascii="Arial" w:hAnsi="Arial" w:cs="Arial"/>
          <w:sz w:val="24"/>
          <w:szCs w:val="24"/>
          <w:lang w:val="en-US"/>
        </w:rPr>
        <w:t>honest</w:t>
      </w:r>
      <w:r w:rsidR="0049087F" w:rsidRPr="00A34D67">
        <w:rPr>
          <w:rFonts w:ascii="Arial" w:hAnsi="Arial" w:cs="Arial"/>
          <w:sz w:val="24"/>
          <w:szCs w:val="24"/>
          <w:lang w:val="en-US"/>
        </w:rPr>
        <w:t xml:space="preserve"> </w:t>
      </w:r>
      <w:r w:rsidR="007B1CCA" w:rsidRPr="00A34D67">
        <w:rPr>
          <w:rFonts w:ascii="Arial" w:hAnsi="Arial" w:cs="Arial"/>
          <w:sz w:val="24"/>
          <w:szCs w:val="24"/>
          <w:lang w:val="en-US"/>
        </w:rPr>
        <w:t>foundations</w:t>
      </w:r>
      <w:r w:rsidR="0049087F" w:rsidRPr="00A34D67">
        <w:rPr>
          <w:rFonts w:ascii="Arial" w:hAnsi="Arial" w:cs="Arial"/>
          <w:sz w:val="24"/>
          <w:szCs w:val="24"/>
          <w:lang w:val="en-US"/>
        </w:rPr>
        <w:t xml:space="preserve"> of what </w:t>
      </w:r>
      <w:r w:rsidR="007B1CCA" w:rsidRPr="00A34D67">
        <w:rPr>
          <w:rFonts w:ascii="Arial" w:hAnsi="Arial" w:cs="Arial"/>
          <w:sz w:val="24"/>
          <w:szCs w:val="24"/>
          <w:lang w:val="en-US"/>
        </w:rPr>
        <w:t>appears</w:t>
      </w:r>
      <w:r w:rsidR="0049087F" w:rsidRPr="00A34D67">
        <w:rPr>
          <w:rFonts w:ascii="Arial" w:hAnsi="Arial" w:cs="Arial"/>
          <w:sz w:val="24"/>
          <w:szCs w:val="24"/>
          <w:lang w:val="en-US"/>
        </w:rPr>
        <w:t xml:space="preserve"> to be </w:t>
      </w:r>
      <w:r w:rsidR="007B1CCA" w:rsidRPr="00A34D67">
        <w:rPr>
          <w:rFonts w:ascii="Arial" w:hAnsi="Arial" w:cs="Arial"/>
          <w:sz w:val="24"/>
          <w:szCs w:val="24"/>
          <w:lang w:val="en-US"/>
        </w:rPr>
        <w:t>practical substance</w:t>
      </w:r>
      <w:r w:rsidR="0049087F" w:rsidRPr="00A34D67">
        <w:rPr>
          <w:rFonts w:ascii="Arial" w:hAnsi="Arial" w:cs="Arial"/>
          <w:sz w:val="24"/>
          <w:szCs w:val="24"/>
          <w:lang w:val="en-US"/>
        </w:rPr>
        <w:t>.</w:t>
      </w:r>
      <w:r w:rsidR="0049087F" w:rsidRPr="00A34D67">
        <w:rPr>
          <w:rFonts w:ascii="Arial" w:hAnsi="Arial" w:cs="Arial"/>
          <w:color w:val="FF0000"/>
          <w:sz w:val="24"/>
          <w:szCs w:val="24"/>
          <w:lang w:val="en-US"/>
        </w:rPr>
        <w:t xml:space="preserve"> </w:t>
      </w:r>
    </w:p>
    <w:p w14:paraId="3F523FE6" w14:textId="7DA9BFEF" w:rsidR="00A5218F" w:rsidRPr="00A34D67" w:rsidRDefault="00A5218F" w:rsidP="00401E4C">
      <w:pPr>
        <w:spacing w:line="480" w:lineRule="auto"/>
        <w:ind w:right="752"/>
        <w:rPr>
          <w:rFonts w:ascii="Arial" w:hAnsi="Arial" w:cs="Arial"/>
          <w:sz w:val="24"/>
          <w:szCs w:val="24"/>
          <w:lang w:val="en-US"/>
        </w:rPr>
      </w:pPr>
      <w:r w:rsidRPr="00A34D67">
        <w:rPr>
          <w:rFonts w:ascii="Arial" w:hAnsi="Arial" w:cs="Arial"/>
          <w:sz w:val="24"/>
          <w:szCs w:val="24"/>
          <w:lang w:val="en-US"/>
        </w:rPr>
        <w:t>The impact of the Nordic model on developing law has yet to yield complete realisation.</w:t>
      </w:r>
      <w:r w:rsidRPr="00A34D67">
        <w:rPr>
          <w:rFonts w:ascii="Arial" w:hAnsi="Arial" w:cs="Arial"/>
          <w:color w:val="FF0000"/>
          <w:sz w:val="24"/>
          <w:szCs w:val="24"/>
          <w:lang w:val="en-US"/>
        </w:rPr>
        <w:t xml:space="preserve"> </w:t>
      </w:r>
      <w:r w:rsidRPr="00A34D67">
        <w:rPr>
          <w:rFonts w:ascii="Arial" w:hAnsi="Arial" w:cs="Arial"/>
          <w:sz w:val="24"/>
          <w:szCs w:val="24"/>
          <w:lang w:val="en-US"/>
        </w:rPr>
        <w:t>To date, the ILC has resisted the urge</w:t>
      </w:r>
      <w:r w:rsidRPr="00A34D67">
        <w:rPr>
          <w:rFonts w:ascii="Arial" w:hAnsi="Arial" w:cs="Arial"/>
          <w:color w:val="FF0000"/>
          <w:sz w:val="24"/>
          <w:szCs w:val="24"/>
          <w:lang w:val="en-US"/>
        </w:rPr>
        <w:t xml:space="preserve"> </w:t>
      </w:r>
      <w:r w:rsidRPr="00A34D67">
        <w:rPr>
          <w:rFonts w:ascii="Arial" w:hAnsi="Arial" w:cs="Arial"/>
          <w:sz w:val="24"/>
          <w:szCs w:val="24"/>
          <w:lang w:val="en-US"/>
        </w:rPr>
        <w:t>to entirely o</w:t>
      </w:r>
      <w:r w:rsidR="00560BC4">
        <w:rPr>
          <w:rFonts w:ascii="Arial" w:hAnsi="Arial" w:cs="Arial"/>
          <w:sz w:val="24"/>
          <w:szCs w:val="24"/>
          <w:lang w:val="en-US"/>
        </w:rPr>
        <w:t>verhaul the reservations system</w:t>
      </w:r>
      <w:r w:rsidRPr="00A34D67">
        <w:rPr>
          <w:rFonts w:ascii="Arial" w:hAnsi="Arial" w:cs="Arial"/>
          <w:sz w:val="24"/>
          <w:szCs w:val="24"/>
          <w:lang w:val="en-US"/>
        </w:rPr>
        <w:t xml:space="preserve"> by insisting that the Vienna Convention regime is actually highly flexible and therefore completely fit for purpose.</w:t>
      </w:r>
      <w:r w:rsidR="00682AB2">
        <w:rPr>
          <w:rStyle w:val="FootnoteReference"/>
          <w:rFonts w:ascii="Arial" w:hAnsi="Arial" w:cs="Arial"/>
          <w:sz w:val="24"/>
          <w:szCs w:val="24"/>
          <w:lang w:val="en-US"/>
        </w:rPr>
        <w:footnoteReference w:id="252"/>
      </w:r>
      <w:r w:rsidRPr="00A34D67">
        <w:rPr>
          <w:rFonts w:ascii="Arial" w:hAnsi="Arial" w:cs="Arial"/>
          <w:sz w:val="24"/>
          <w:szCs w:val="24"/>
          <w:lang w:val="en-US"/>
        </w:rPr>
        <w:t xml:space="preserve"> There is some validity to this argument, given that the Vienna regime is adaptable enough to contain a variety of treaties and the fact that it simultaneously allows states to make reservations to treaties in the first place.</w:t>
      </w:r>
      <w:r w:rsidRPr="00A34D67">
        <w:rPr>
          <w:rStyle w:val="FootnoteReference"/>
          <w:rFonts w:ascii="Arial" w:hAnsi="Arial" w:cs="Arial"/>
          <w:sz w:val="24"/>
          <w:szCs w:val="24"/>
          <w:lang w:val="en-US"/>
        </w:rPr>
        <w:footnoteReference w:id="253"/>
      </w:r>
      <w:r w:rsidRPr="00A34D67">
        <w:rPr>
          <w:rFonts w:ascii="Arial" w:hAnsi="Arial" w:cs="Arial"/>
          <w:sz w:val="24"/>
          <w:szCs w:val="24"/>
          <w:lang w:val="en-US"/>
        </w:rPr>
        <w:t xml:space="preserve"> If states are not prepared ‘to limit the possibility of reservations,’</w:t>
      </w:r>
      <w:r w:rsidRPr="00A34D67">
        <w:rPr>
          <w:rStyle w:val="FootnoteReference"/>
          <w:rFonts w:ascii="Arial" w:hAnsi="Arial" w:cs="Arial"/>
          <w:sz w:val="24"/>
          <w:szCs w:val="24"/>
          <w:lang w:val="en-US"/>
        </w:rPr>
        <w:footnoteReference w:id="254"/>
      </w:r>
      <w:r w:rsidRPr="00A34D67">
        <w:rPr>
          <w:rFonts w:ascii="Arial" w:hAnsi="Arial" w:cs="Arial"/>
          <w:sz w:val="24"/>
          <w:szCs w:val="24"/>
          <w:lang w:val="en-US"/>
        </w:rPr>
        <w:t xml:space="preserve"> it is unrealistic to assume that</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the Vienna Convention’s regime is capable of providing the necessary </w:t>
      </w:r>
      <w:r w:rsidRPr="000E2C96">
        <w:rPr>
          <w:rFonts w:ascii="Arial" w:hAnsi="Arial" w:cs="Arial"/>
          <w:sz w:val="24"/>
          <w:szCs w:val="24"/>
          <w:lang w:val="en-US"/>
        </w:rPr>
        <w:t>means</w:t>
      </w:r>
      <w:r w:rsidRPr="00A34D67">
        <w:rPr>
          <w:rFonts w:ascii="Arial" w:hAnsi="Arial" w:cs="Arial"/>
          <w:sz w:val="24"/>
          <w:szCs w:val="24"/>
          <w:lang w:val="en-US"/>
        </w:rPr>
        <w:t xml:space="preserve"> that they are asked to deliver. The law can only go so far with regard to filling the gaps.</w:t>
      </w:r>
      <w:r w:rsidRPr="00A34D67">
        <w:rPr>
          <w:rFonts w:ascii="Arial" w:hAnsi="Arial" w:cs="Arial"/>
          <w:color w:val="FF0000"/>
          <w:sz w:val="24"/>
          <w:szCs w:val="24"/>
          <w:lang w:val="en-US"/>
        </w:rPr>
        <w:t xml:space="preserve"> </w:t>
      </w:r>
      <w:r w:rsidR="003A3517" w:rsidRPr="00A34D67">
        <w:rPr>
          <w:rFonts w:ascii="Arial" w:hAnsi="Arial" w:cs="Arial"/>
          <w:sz w:val="24"/>
          <w:szCs w:val="24"/>
          <w:lang w:val="en-US"/>
        </w:rPr>
        <w:t xml:space="preserve">The concept that the Vienna Convention regime is flexible is still a reasonable position to take, particularly in light of the fact that Pellet may have noticed that a significant rethink of the law of treaties has the potential to reproduce further </w:t>
      </w:r>
      <w:r w:rsidR="0035184B" w:rsidRPr="00A34D67">
        <w:rPr>
          <w:rFonts w:ascii="Arial" w:hAnsi="Arial" w:cs="Arial"/>
          <w:sz w:val="24"/>
          <w:szCs w:val="24"/>
          <w:lang w:val="en-US"/>
        </w:rPr>
        <w:t>vagueness</w:t>
      </w:r>
      <w:r w:rsidR="003A3517" w:rsidRPr="00A34D67">
        <w:rPr>
          <w:rFonts w:ascii="Arial" w:hAnsi="Arial" w:cs="Arial"/>
          <w:sz w:val="24"/>
          <w:szCs w:val="24"/>
          <w:lang w:val="en-US"/>
        </w:rPr>
        <w:t xml:space="preserve"> and perhaps even be counterproductive. </w:t>
      </w:r>
    </w:p>
    <w:p w14:paraId="2E3923F1" w14:textId="50FAB01A" w:rsidR="0055762F" w:rsidRDefault="00A5218F" w:rsidP="00401E4C">
      <w:pPr>
        <w:spacing w:line="480" w:lineRule="auto"/>
        <w:rPr>
          <w:rFonts w:ascii="Arial" w:hAnsi="Arial" w:cs="Arial"/>
          <w:sz w:val="24"/>
          <w:szCs w:val="24"/>
          <w:lang w:val="en-US"/>
        </w:rPr>
      </w:pPr>
      <w:r w:rsidRPr="00A34D67">
        <w:rPr>
          <w:rFonts w:ascii="Arial" w:hAnsi="Arial" w:cs="Arial"/>
          <w:sz w:val="24"/>
          <w:szCs w:val="24"/>
          <w:lang w:val="en-US"/>
        </w:rPr>
        <w:t xml:space="preserve">Pellet and the ILC have consistently shied away from proposing any solutions to the reservations system, which they already deem to be effective. </w:t>
      </w:r>
      <w:r w:rsidR="00DF609C" w:rsidRPr="00A34D67">
        <w:rPr>
          <w:rFonts w:ascii="Arial" w:hAnsi="Arial" w:cs="Arial"/>
          <w:sz w:val="24"/>
          <w:szCs w:val="24"/>
          <w:lang w:val="en-US"/>
        </w:rPr>
        <w:t>However, t</w:t>
      </w:r>
      <w:r w:rsidRPr="00A34D67">
        <w:rPr>
          <w:rFonts w:ascii="Arial" w:hAnsi="Arial" w:cs="Arial"/>
          <w:sz w:val="24"/>
          <w:szCs w:val="24"/>
          <w:lang w:val="en-US"/>
        </w:rPr>
        <w:t>he Nordic Initiative should be commended for having</w:t>
      </w:r>
      <w:r w:rsidR="00DF609C" w:rsidRPr="00A34D67">
        <w:rPr>
          <w:rFonts w:ascii="Arial" w:hAnsi="Arial" w:cs="Arial"/>
          <w:sz w:val="24"/>
          <w:szCs w:val="24"/>
          <w:lang w:val="en-US"/>
        </w:rPr>
        <w:t>, by contrast,</w:t>
      </w:r>
      <w:r w:rsidRPr="00A34D67">
        <w:rPr>
          <w:rFonts w:ascii="Arial" w:hAnsi="Arial" w:cs="Arial"/>
          <w:sz w:val="24"/>
          <w:szCs w:val="24"/>
          <w:lang w:val="en-US"/>
        </w:rPr>
        <w:t xml:space="preserve"> prompted further debate concerning objections to unacceptable reservations.</w:t>
      </w:r>
      <w:r w:rsidRPr="00A34D67">
        <w:rPr>
          <w:rFonts w:ascii="Arial" w:hAnsi="Arial" w:cs="Arial"/>
          <w:color w:val="FF0000"/>
          <w:sz w:val="24"/>
          <w:szCs w:val="24"/>
          <w:lang w:val="en-US"/>
        </w:rPr>
        <w:t xml:space="preserve"> </w:t>
      </w:r>
      <w:r w:rsidR="00DF609C" w:rsidRPr="00A34D67">
        <w:rPr>
          <w:rFonts w:ascii="Arial" w:hAnsi="Arial" w:cs="Arial"/>
          <w:sz w:val="24"/>
          <w:szCs w:val="24"/>
          <w:lang w:val="en-US"/>
        </w:rPr>
        <w:t xml:space="preserve">Consequently, it may be wise to regard the ILC’s preliminary conclusions on reservations as being what they were </w:t>
      </w:r>
      <w:r w:rsidR="00EA4921" w:rsidRPr="00A34D67">
        <w:rPr>
          <w:rFonts w:ascii="Arial" w:hAnsi="Arial" w:cs="Arial"/>
          <w:sz w:val="24"/>
          <w:szCs w:val="24"/>
          <w:lang w:val="en-US"/>
        </w:rPr>
        <w:t xml:space="preserve">originally </w:t>
      </w:r>
      <w:r w:rsidR="00643653">
        <w:rPr>
          <w:rFonts w:ascii="Arial" w:hAnsi="Arial" w:cs="Arial"/>
          <w:sz w:val="24"/>
          <w:szCs w:val="24"/>
          <w:lang w:val="en-US"/>
        </w:rPr>
        <w:t xml:space="preserve">intended to be: </w:t>
      </w:r>
      <w:r w:rsidR="00DF609C" w:rsidRPr="00A34D67">
        <w:rPr>
          <w:rFonts w:ascii="Arial" w:hAnsi="Arial" w:cs="Arial"/>
          <w:sz w:val="24"/>
          <w:szCs w:val="24"/>
          <w:lang w:val="en-US"/>
        </w:rPr>
        <w:t>introductory.</w:t>
      </w:r>
      <w:r w:rsidR="00D50645" w:rsidRPr="00A34D67">
        <w:rPr>
          <w:rStyle w:val="FootnoteReference"/>
          <w:rFonts w:ascii="Arial" w:hAnsi="Arial" w:cs="Arial"/>
          <w:sz w:val="24"/>
          <w:szCs w:val="24"/>
          <w:lang w:val="en-US"/>
        </w:rPr>
        <w:footnoteReference w:id="255"/>
      </w:r>
      <w:r w:rsidR="001C0673" w:rsidRPr="00A34D67">
        <w:rPr>
          <w:rFonts w:ascii="Arial" w:hAnsi="Arial" w:cs="Arial"/>
          <w:sz w:val="24"/>
          <w:szCs w:val="24"/>
          <w:lang w:val="en-US"/>
        </w:rPr>
        <w:t xml:space="preserve"> Th</w:t>
      </w:r>
      <w:r w:rsidR="000B3805" w:rsidRPr="00A34D67">
        <w:rPr>
          <w:rFonts w:ascii="Arial" w:hAnsi="Arial" w:cs="Arial"/>
          <w:sz w:val="24"/>
          <w:szCs w:val="24"/>
          <w:lang w:val="en-US"/>
        </w:rPr>
        <w:t>e</w:t>
      </w:r>
      <w:r w:rsidR="001C0673" w:rsidRPr="00A34D67">
        <w:rPr>
          <w:rFonts w:ascii="Arial" w:hAnsi="Arial" w:cs="Arial"/>
          <w:sz w:val="24"/>
          <w:szCs w:val="24"/>
          <w:lang w:val="en-US"/>
        </w:rPr>
        <w:t xml:space="preserve"> successfulness of this approach has yet to be evidenced</w:t>
      </w:r>
      <w:r w:rsidR="00181A63" w:rsidRPr="00A34D67">
        <w:rPr>
          <w:rFonts w:ascii="Arial" w:hAnsi="Arial" w:cs="Arial"/>
          <w:sz w:val="24"/>
          <w:szCs w:val="24"/>
          <w:lang w:val="en-US"/>
        </w:rPr>
        <w:t>, but</w:t>
      </w:r>
      <w:r w:rsidR="00583D75" w:rsidRPr="00A34D67">
        <w:rPr>
          <w:rFonts w:ascii="Arial" w:hAnsi="Arial" w:cs="Arial"/>
          <w:sz w:val="24"/>
          <w:szCs w:val="24"/>
          <w:lang w:val="en-US"/>
        </w:rPr>
        <w:t xml:space="preserve"> nevertheless,</w:t>
      </w:r>
      <w:r w:rsidR="00181A63" w:rsidRPr="00A34D67">
        <w:rPr>
          <w:rFonts w:ascii="Arial" w:hAnsi="Arial" w:cs="Arial"/>
          <w:sz w:val="24"/>
          <w:szCs w:val="24"/>
          <w:lang w:val="en-US"/>
        </w:rPr>
        <w:t xml:space="preserve"> Pellet and the ILC ought to take a stance on the “no benefit” position regarding the consequences of objections to reservations. </w:t>
      </w:r>
      <w:r w:rsidR="00A046BD" w:rsidRPr="00A34D67">
        <w:rPr>
          <w:rFonts w:ascii="Arial" w:hAnsi="Arial" w:cs="Arial"/>
          <w:sz w:val="24"/>
          <w:szCs w:val="24"/>
          <w:lang w:val="en-US"/>
        </w:rPr>
        <w:t xml:space="preserve">The only way of reaching a desirable outcome is by encouraging this level of discussion at an administrative level. </w:t>
      </w:r>
    </w:p>
    <w:p w14:paraId="2F425491" w14:textId="1EB300D7" w:rsidR="002A21C1" w:rsidRPr="00A34D67" w:rsidRDefault="0055762F" w:rsidP="00401E4C">
      <w:pPr>
        <w:spacing w:line="480" w:lineRule="auto"/>
        <w:rPr>
          <w:rFonts w:ascii="Arial" w:hAnsi="Arial" w:cs="Arial"/>
          <w:color w:val="FF0000"/>
          <w:sz w:val="24"/>
          <w:szCs w:val="24"/>
          <w:lang w:val="en-US"/>
        </w:rPr>
      </w:pPr>
      <w:r w:rsidRPr="00A34D67">
        <w:rPr>
          <w:rFonts w:ascii="Arial" w:hAnsi="Arial" w:cs="Arial"/>
          <w:sz w:val="24"/>
          <w:szCs w:val="24"/>
          <w:lang w:val="en-US"/>
        </w:rPr>
        <w:t xml:space="preserve">A fundamental overhaul of the law of reservations is </w:t>
      </w:r>
      <w:r w:rsidR="00CC6668" w:rsidRPr="00A34D67">
        <w:rPr>
          <w:rFonts w:ascii="Arial" w:hAnsi="Arial" w:cs="Arial"/>
          <w:sz w:val="24"/>
          <w:szCs w:val="24"/>
          <w:lang w:val="en-US"/>
        </w:rPr>
        <w:t xml:space="preserve">clearly </w:t>
      </w:r>
      <w:r w:rsidRPr="00A34D67">
        <w:rPr>
          <w:rFonts w:ascii="Arial" w:hAnsi="Arial" w:cs="Arial"/>
          <w:sz w:val="24"/>
          <w:szCs w:val="24"/>
          <w:lang w:val="en-US"/>
        </w:rPr>
        <w:t>well overdue, with particular regard made towards the need for international legislation or its equivalent that renders reservations an impossibility or, at least, an implausibility.</w:t>
      </w:r>
      <w:r w:rsidRPr="00A34D67">
        <w:rPr>
          <w:rStyle w:val="FootnoteReference"/>
          <w:rFonts w:ascii="Arial" w:hAnsi="Arial" w:cs="Arial"/>
          <w:sz w:val="24"/>
          <w:szCs w:val="24"/>
          <w:lang w:val="en-US"/>
        </w:rPr>
        <w:footnoteReference w:id="256"/>
      </w:r>
      <w:r w:rsidRPr="00A34D67">
        <w:rPr>
          <w:rFonts w:ascii="Arial" w:hAnsi="Arial" w:cs="Arial"/>
          <w:sz w:val="24"/>
          <w:szCs w:val="24"/>
          <w:lang w:val="en-US"/>
        </w:rPr>
        <w:t xml:space="preserve"> Even the notion that treaties are considered to simply be contracts between states, while the truth is that they continually include persons or other actors. This points to the fact that the law of treaties also requires a fundamental rethink, in order to prevent this contractual view of treaties resulting in undesirable results.</w:t>
      </w:r>
      <w:r w:rsidRPr="00A34D67">
        <w:rPr>
          <w:rStyle w:val="FootnoteReference"/>
          <w:rFonts w:ascii="Arial" w:hAnsi="Arial" w:cs="Arial"/>
          <w:sz w:val="24"/>
          <w:szCs w:val="24"/>
          <w:lang w:val="en-US"/>
        </w:rPr>
        <w:footnoteReference w:id="257"/>
      </w:r>
      <w:r w:rsidRPr="00A34D67">
        <w:rPr>
          <w:rFonts w:ascii="Arial" w:hAnsi="Arial" w:cs="Arial"/>
          <w:color w:val="FF0000"/>
          <w:sz w:val="24"/>
          <w:szCs w:val="24"/>
          <w:lang w:val="en-US"/>
        </w:rPr>
        <w:t xml:space="preserve"> </w:t>
      </w:r>
      <w:r w:rsidR="00C13BD3" w:rsidRPr="001B36A2">
        <w:rPr>
          <w:rFonts w:ascii="Arial" w:hAnsi="Arial" w:cs="Arial"/>
          <w:sz w:val="24"/>
          <w:szCs w:val="24"/>
          <w:lang w:val="en-US"/>
        </w:rPr>
        <w:t>However, as Bjorge has observed,</w:t>
      </w:r>
      <w:r w:rsidR="00A46E99" w:rsidRPr="001B36A2">
        <w:rPr>
          <w:rStyle w:val="FootnoteReference"/>
          <w:rFonts w:ascii="Arial" w:hAnsi="Arial" w:cs="Arial"/>
          <w:sz w:val="24"/>
          <w:szCs w:val="24"/>
          <w:lang w:val="en-US"/>
        </w:rPr>
        <w:footnoteReference w:id="258"/>
      </w:r>
      <w:r w:rsidR="00C13BD3" w:rsidRPr="001B36A2">
        <w:rPr>
          <w:rFonts w:ascii="Arial" w:hAnsi="Arial" w:cs="Arial"/>
          <w:sz w:val="24"/>
          <w:szCs w:val="24"/>
          <w:lang w:val="en-US"/>
        </w:rPr>
        <w:t xml:space="preserve"> we must ask ourselves whether the </w:t>
      </w:r>
      <w:r w:rsidR="001B36A2" w:rsidRPr="001B36A2">
        <w:rPr>
          <w:rFonts w:ascii="Arial" w:hAnsi="Arial" w:cs="Arial"/>
          <w:sz w:val="24"/>
          <w:szCs w:val="24"/>
          <w:lang w:val="en-US"/>
        </w:rPr>
        <w:t>resort</w:t>
      </w:r>
      <w:r w:rsidR="00C13BD3" w:rsidRPr="001B36A2">
        <w:rPr>
          <w:rFonts w:ascii="Arial" w:hAnsi="Arial" w:cs="Arial"/>
          <w:sz w:val="24"/>
          <w:szCs w:val="24"/>
          <w:lang w:val="en-US"/>
        </w:rPr>
        <w:t xml:space="preserve"> to the evolution of the interpretation of treaties is actually necessary at all.</w:t>
      </w:r>
      <w:r w:rsidR="00A01614">
        <w:rPr>
          <w:rFonts w:ascii="Arial" w:hAnsi="Arial" w:cs="Arial"/>
          <w:sz w:val="24"/>
          <w:szCs w:val="24"/>
          <w:lang w:val="en-US"/>
        </w:rPr>
        <w:t xml:space="preserve"> Normally, there is no requirement for it, as a plain reading of the text in good faith is often sufficient.</w:t>
      </w:r>
      <w:r w:rsidR="002A21C1">
        <w:rPr>
          <w:rStyle w:val="FootnoteReference"/>
          <w:rFonts w:ascii="Arial" w:hAnsi="Arial" w:cs="Arial"/>
          <w:sz w:val="24"/>
          <w:szCs w:val="24"/>
          <w:lang w:val="en-US"/>
        </w:rPr>
        <w:footnoteReference w:id="259"/>
      </w:r>
      <w:r w:rsidR="00C13BD3" w:rsidRPr="00C13BD3">
        <w:rPr>
          <w:rFonts w:ascii="Arial" w:hAnsi="Arial" w:cs="Arial"/>
          <w:color w:val="FF0000"/>
          <w:sz w:val="24"/>
          <w:szCs w:val="24"/>
          <w:lang w:val="en-US"/>
        </w:rPr>
        <w:t xml:space="preserve"> </w:t>
      </w:r>
    </w:p>
    <w:p w14:paraId="0075A9C5" w14:textId="34EAA04B" w:rsidR="000115F4" w:rsidRPr="00A34D67" w:rsidRDefault="000115F4" w:rsidP="00401E4C">
      <w:pPr>
        <w:pStyle w:val="ListParagraph"/>
        <w:numPr>
          <w:ilvl w:val="1"/>
          <w:numId w:val="27"/>
        </w:numPr>
        <w:tabs>
          <w:tab w:val="left" w:pos="1701"/>
        </w:tabs>
        <w:spacing w:line="480" w:lineRule="auto"/>
        <w:ind w:left="1560" w:hanging="567"/>
        <w:rPr>
          <w:rFonts w:ascii="Arial" w:hAnsi="Arial" w:cs="Arial"/>
          <w:b/>
          <w:sz w:val="24"/>
          <w:szCs w:val="24"/>
        </w:rPr>
      </w:pPr>
      <w:r w:rsidRPr="00A34D67">
        <w:rPr>
          <w:rFonts w:ascii="Arial" w:hAnsi="Arial" w:cs="Arial"/>
          <w:b/>
          <w:sz w:val="24"/>
          <w:szCs w:val="24"/>
        </w:rPr>
        <w:t>Fragmentation</w:t>
      </w:r>
    </w:p>
    <w:p w14:paraId="3B7D004B" w14:textId="1AD38F2A" w:rsidR="00F0355E" w:rsidRPr="00A34D67" w:rsidRDefault="00CB34F7" w:rsidP="00401E4C">
      <w:pPr>
        <w:tabs>
          <w:tab w:val="left" w:pos="1701"/>
        </w:tabs>
        <w:spacing w:line="480" w:lineRule="auto"/>
        <w:rPr>
          <w:rFonts w:ascii="Arial" w:hAnsi="Arial" w:cs="Arial"/>
          <w:b/>
          <w:color w:val="008000"/>
          <w:sz w:val="24"/>
          <w:szCs w:val="24"/>
        </w:rPr>
      </w:pPr>
      <w:r w:rsidRPr="00A34D67">
        <w:rPr>
          <w:rFonts w:ascii="Arial" w:hAnsi="Arial" w:cs="Arial"/>
          <w:sz w:val="24"/>
          <w:szCs w:val="24"/>
        </w:rPr>
        <w:t>Another debate that has reared its head in recent years is the issue of ‘fragmentation’.</w:t>
      </w:r>
      <w:r w:rsidR="009F5F2C" w:rsidRPr="00A34D67">
        <w:rPr>
          <w:rStyle w:val="FootnoteReference"/>
          <w:rFonts w:ascii="Arial" w:hAnsi="Arial" w:cs="Arial"/>
          <w:sz w:val="24"/>
          <w:szCs w:val="24"/>
        </w:rPr>
        <w:footnoteReference w:id="260"/>
      </w:r>
      <w:r w:rsidR="00E41104" w:rsidRPr="00A34D67">
        <w:rPr>
          <w:rFonts w:ascii="Arial" w:hAnsi="Arial" w:cs="Arial"/>
          <w:sz w:val="24"/>
          <w:szCs w:val="24"/>
        </w:rPr>
        <w:t xml:space="preserve"> The notion of fragmentation suggests that international law has produced ‘</w:t>
      </w:r>
      <w:r w:rsidR="00E41104" w:rsidRPr="00A34D67">
        <w:rPr>
          <w:rFonts w:ascii="Arial" w:hAnsi="Arial" w:cs="Arial"/>
          <w:sz w:val="24"/>
          <w:szCs w:val="24"/>
          <w:lang w:val="en-US"/>
        </w:rPr>
        <w:t>a series of sub-fields that have developed according to sub-field-specific doctrines,’</w:t>
      </w:r>
      <w:r w:rsidR="00E77493" w:rsidRPr="00A34D67">
        <w:rPr>
          <w:rStyle w:val="FootnoteReference"/>
          <w:rFonts w:ascii="Arial" w:hAnsi="Arial" w:cs="Arial"/>
          <w:sz w:val="24"/>
          <w:szCs w:val="24"/>
          <w:lang w:val="en-US"/>
        </w:rPr>
        <w:footnoteReference w:id="261"/>
      </w:r>
      <w:r w:rsidR="00E77493" w:rsidRPr="00A34D67">
        <w:rPr>
          <w:rFonts w:ascii="Arial" w:hAnsi="Arial" w:cs="Arial"/>
          <w:b/>
          <w:color w:val="008000"/>
          <w:sz w:val="24"/>
          <w:szCs w:val="24"/>
        </w:rPr>
        <w:t xml:space="preserve"> </w:t>
      </w:r>
      <w:r w:rsidR="00E41104" w:rsidRPr="00A34D67">
        <w:rPr>
          <w:rFonts w:ascii="Arial" w:hAnsi="Arial" w:cs="Arial"/>
          <w:sz w:val="24"/>
          <w:szCs w:val="24"/>
          <w:lang w:val="en-US"/>
        </w:rPr>
        <w:t xml:space="preserve">instead of being in parallel with the </w:t>
      </w:r>
      <w:r w:rsidR="004C2ADB" w:rsidRPr="00A34D67">
        <w:rPr>
          <w:rFonts w:ascii="Arial" w:hAnsi="Arial" w:cs="Arial"/>
          <w:sz w:val="24"/>
          <w:szCs w:val="24"/>
          <w:lang w:val="en-US"/>
        </w:rPr>
        <w:t>conventional</w:t>
      </w:r>
      <w:r w:rsidR="00E41104" w:rsidRPr="00A34D67">
        <w:rPr>
          <w:rFonts w:ascii="Arial" w:hAnsi="Arial" w:cs="Arial"/>
          <w:sz w:val="24"/>
          <w:szCs w:val="24"/>
          <w:lang w:val="en-US"/>
        </w:rPr>
        <w:t xml:space="preserve"> doctrines of general international law.</w:t>
      </w:r>
      <w:r w:rsidR="00E77493">
        <w:rPr>
          <w:rFonts w:ascii="Arial" w:hAnsi="Arial" w:cs="Arial"/>
          <w:b/>
          <w:color w:val="008000"/>
          <w:sz w:val="24"/>
          <w:szCs w:val="24"/>
        </w:rPr>
        <w:t xml:space="preserve"> </w:t>
      </w:r>
      <w:r w:rsidR="00FB227F" w:rsidRPr="00774FBC">
        <w:rPr>
          <w:rFonts w:ascii="Arial" w:hAnsi="Arial" w:cs="Arial"/>
          <w:sz w:val="24"/>
          <w:szCs w:val="24"/>
        </w:rPr>
        <w:t>Sir Nigel Rodley observes that if ones looks closely, there is less fragmentation of international law than one would believe at first glance. Although there are seemingly widely differing approaches by different courts, Rodley contends that they are not so different after all. How fragmented therefore is international law on the issue of reservations?</w:t>
      </w:r>
      <w:r w:rsidR="00FB227F">
        <w:rPr>
          <w:rFonts w:ascii="Arial" w:hAnsi="Arial" w:cs="Arial"/>
          <w:b/>
          <w:color w:val="008000"/>
          <w:sz w:val="24"/>
          <w:szCs w:val="24"/>
        </w:rPr>
        <w:t xml:space="preserve"> </w:t>
      </w:r>
      <w:r w:rsidR="00FB227F">
        <w:rPr>
          <w:rFonts w:ascii="Arial" w:hAnsi="Arial" w:cs="Arial"/>
          <w:sz w:val="24"/>
          <w:szCs w:val="24"/>
        </w:rPr>
        <w:t>C</w:t>
      </w:r>
      <w:r w:rsidR="00F0355E" w:rsidRPr="000079EA">
        <w:rPr>
          <w:rFonts w:ascii="Arial" w:hAnsi="Arial" w:cs="Arial"/>
          <w:sz w:val="24"/>
          <w:szCs w:val="24"/>
        </w:rPr>
        <w:t xml:space="preserve">ould fragmentation </w:t>
      </w:r>
      <w:r w:rsidR="00D05353" w:rsidRPr="000079EA">
        <w:rPr>
          <w:rFonts w:ascii="Arial" w:hAnsi="Arial" w:cs="Arial"/>
          <w:sz w:val="24"/>
          <w:szCs w:val="24"/>
        </w:rPr>
        <w:t>form</w:t>
      </w:r>
      <w:r w:rsidR="00F0355E" w:rsidRPr="000079EA">
        <w:rPr>
          <w:rFonts w:ascii="Arial" w:hAnsi="Arial" w:cs="Arial"/>
          <w:sz w:val="24"/>
          <w:szCs w:val="24"/>
        </w:rPr>
        <w:t xml:space="preserve"> the focus of </w:t>
      </w:r>
      <w:r w:rsidR="006747A4" w:rsidRPr="000079EA">
        <w:rPr>
          <w:rFonts w:ascii="Arial" w:hAnsi="Arial" w:cs="Arial"/>
          <w:sz w:val="24"/>
          <w:szCs w:val="24"/>
        </w:rPr>
        <w:t>a</w:t>
      </w:r>
      <w:r w:rsidR="00F0355E" w:rsidRPr="000079EA">
        <w:rPr>
          <w:rFonts w:ascii="Arial" w:hAnsi="Arial" w:cs="Arial"/>
          <w:sz w:val="24"/>
          <w:szCs w:val="24"/>
        </w:rPr>
        <w:t xml:space="preserve"> new area of law emerging in relation to reservations, which encompasses both the </w:t>
      </w:r>
      <w:r w:rsidR="00A87D4C" w:rsidRPr="000079EA">
        <w:rPr>
          <w:rFonts w:ascii="Arial" w:hAnsi="Arial" w:cs="Arial"/>
          <w:sz w:val="24"/>
          <w:szCs w:val="24"/>
        </w:rPr>
        <w:t>new</w:t>
      </w:r>
      <w:r w:rsidR="00BF345D" w:rsidRPr="000079EA">
        <w:rPr>
          <w:rFonts w:ascii="Arial" w:hAnsi="Arial" w:cs="Arial"/>
          <w:sz w:val="24"/>
          <w:szCs w:val="24"/>
        </w:rPr>
        <w:t>er</w:t>
      </w:r>
      <w:r w:rsidR="006036B7" w:rsidRPr="000079EA">
        <w:rPr>
          <w:rFonts w:ascii="Arial" w:hAnsi="Arial" w:cs="Arial"/>
          <w:sz w:val="24"/>
          <w:szCs w:val="24"/>
        </w:rPr>
        <w:t xml:space="preserve"> </w:t>
      </w:r>
      <w:r w:rsidR="00F0355E" w:rsidRPr="000079EA">
        <w:rPr>
          <w:rFonts w:ascii="Arial" w:hAnsi="Arial" w:cs="Arial"/>
          <w:sz w:val="24"/>
          <w:szCs w:val="24"/>
        </w:rPr>
        <w:t>human rights and traditional approaches?</w:t>
      </w:r>
      <w:r w:rsidR="00F0355E" w:rsidRPr="00A34D67">
        <w:rPr>
          <w:rFonts w:ascii="Arial" w:hAnsi="Arial" w:cs="Arial"/>
          <w:b/>
          <w:color w:val="008000"/>
          <w:sz w:val="24"/>
          <w:szCs w:val="24"/>
        </w:rPr>
        <w:t xml:space="preserve"> </w:t>
      </w:r>
    </w:p>
    <w:p w14:paraId="228B6FFF" w14:textId="600D44B6" w:rsidR="00EE76E9" w:rsidRDefault="00506FE2" w:rsidP="00401E4C">
      <w:pPr>
        <w:tabs>
          <w:tab w:val="left" w:pos="1701"/>
        </w:tabs>
        <w:spacing w:line="480" w:lineRule="auto"/>
        <w:rPr>
          <w:rFonts w:ascii="Arial" w:hAnsi="Arial" w:cs="Arial"/>
          <w:sz w:val="24"/>
          <w:szCs w:val="24"/>
          <w:lang w:val="en-US"/>
        </w:rPr>
      </w:pPr>
      <w:r>
        <w:rPr>
          <w:rFonts w:ascii="Arial" w:hAnsi="Arial" w:cs="Arial"/>
          <w:sz w:val="24"/>
          <w:szCs w:val="24"/>
        </w:rPr>
        <w:t>Many international tribunals and courts</w:t>
      </w:r>
      <w:r w:rsidR="00982334">
        <w:rPr>
          <w:rFonts w:ascii="Arial" w:hAnsi="Arial" w:cs="Arial"/>
          <w:sz w:val="24"/>
          <w:szCs w:val="24"/>
        </w:rPr>
        <w:t xml:space="preserve"> such as the ICJ</w:t>
      </w:r>
      <w:r>
        <w:rPr>
          <w:rFonts w:ascii="Arial" w:hAnsi="Arial" w:cs="Arial"/>
          <w:sz w:val="24"/>
          <w:szCs w:val="24"/>
        </w:rPr>
        <w:t>,</w:t>
      </w:r>
      <w:r w:rsidR="00982334">
        <w:rPr>
          <w:rFonts w:ascii="Arial" w:hAnsi="Arial" w:cs="Arial"/>
          <w:sz w:val="24"/>
          <w:szCs w:val="24"/>
        </w:rPr>
        <w:t xml:space="preserve"> and indeed several central international institutions including the ILC and a number of the UN bodies</w:t>
      </w:r>
      <w:r>
        <w:rPr>
          <w:rFonts w:ascii="Arial" w:hAnsi="Arial" w:cs="Arial"/>
          <w:sz w:val="24"/>
          <w:szCs w:val="24"/>
        </w:rPr>
        <w:t>, have</w:t>
      </w:r>
      <w:r w:rsidR="00262839" w:rsidRPr="00A34D67">
        <w:rPr>
          <w:rFonts w:ascii="Arial" w:hAnsi="Arial" w:cs="Arial"/>
          <w:sz w:val="24"/>
          <w:szCs w:val="24"/>
        </w:rPr>
        <w:t xml:space="preserve"> historically favoured avoiding fragmentation</w:t>
      </w:r>
      <w:r w:rsidR="003041C2" w:rsidRPr="00A34D67">
        <w:rPr>
          <w:rFonts w:ascii="Arial" w:hAnsi="Arial" w:cs="Arial"/>
          <w:sz w:val="24"/>
          <w:szCs w:val="24"/>
        </w:rPr>
        <w:t xml:space="preserve">. </w:t>
      </w:r>
      <w:r w:rsidR="00982334" w:rsidRPr="00982334">
        <w:rPr>
          <w:rFonts w:ascii="Arial" w:hAnsi="Arial" w:cs="Arial"/>
          <w:sz w:val="24"/>
          <w:szCs w:val="24"/>
          <w:lang w:val="en-US"/>
        </w:rPr>
        <w:t>It is their contention that</w:t>
      </w:r>
      <w:r w:rsidR="008E265D" w:rsidRPr="00982334">
        <w:rPr>
          <w:rFonts w:ascii="Arial" w:hAnsi="Arial" w:cs="Arial"/>
          <w:sz w:val="24"/>
          <w:szCs w:val="24"/>
          <w:lang w:val="en-US"/>
        </w:rPr>
        <w:t xml:space="preserve"> </w:t>
      </w:r>
      <w:r w:rsidR="00982334" w:rsidRPr="00982334">
        <w:rPr>
          <w:rFonts w:ascii="Arial" w:hAnsi="Arial" w:cs="Arial"/>
          <w:sz w:val="24"/>
          <w:szCs w:val="24"/>
          <w:lang w:val="en-US"/>
        </w:rPr>
        <w:t xml:space="preserve">it is essential </w:t>
      </w:r>
      <w:r w:rsidR="008E265D" w:rsidRPr="00982334">
        <w:rPr>
          <w:rFonts w:ascii="Arial" w:hAnsi="Arial" w:cs="Arial"/>
          <w:sz w:val="24"/>
          <w:szCs w:val="24"/>
          <w:lang w:val="en-US"/>
        </w:rPr>
        <w:t xml:space="preserve">to </w:t>
      </w:r>
      <w:r w:rsidR="00982334" w:rsidRPr="00982334">
        <w:rPr>
          <w:rFonts w:ascii="Arial" w:hAnsi="Arial" w:cs="Arial"/>
          <w:sz w:val="24"/>
          <w:szCs w:val="24"/>
          <w:lang w:val="en-US"/>
        </w:rPr>
        <w:t>embed</w:t>
      </w:r>
      <w:r w:rsidR="008E265D" w:rsidRPr="00982334">
        <w:rPr>
          <w:rFonts w:ascii="Arial" w:hAnsi="Arial" w:cs="Arial"/>
          <w:sz w:val="24"/>
          <w:szCs w:val="24"/>
          <w:lang w:val="en-US"/>
        </w:rPr>
        <w:t xml:space="preserve"> </w:t>
      </w:r>
      <w:r w:rsidR="00982334" w:rsidRPr="00982334">
        <w:rPr>
          <w:rFonts w:ascii="Arial" w:hAnsi="Arial" w:cs="Arial"/>
          <w:sz w:val="24"/>
          <w:szCs w:val="24"/>
          <w:lang w:val="en-US"/>
        </w:rPr>
        <w:t>international law consistently</w:t>
      </w:r>
      <w:r w:rsidR="000C1038">
        <w:rPr>
          <w:rFonts w:ascii="Arial" w:hAnsi="Arial" w:cs="Arial"/>
          <w:sz w:val="24"/>
          <w:szCs w:val="24"/>
          <w:lang w:val="en-US"/>
        </w:rPr>
        <w:t xml:space="preserve"> as one</w:t>
      </w:r>
      <w:r w:rsidR="00982334">
        <w:rPr>
          <w:rFonts w:ascii="Arial" w:hAnsi="Arial" w:cs="Arial"/>
          <w:color w:val="FF0000"/>
          <w:sz w:val="24"/>
          <w:szCs w:val="24"/>
          <w:lang w:val="en-US"/>
        </w:rPr>
        <w:t xml:space="preserve"> </w:t>
      </w:r>
      <w:r w:rsidR="00440184" w:rsidRPr="00440184">
        <w:rPr>
          <w:rFonts w:ascii="Arial" w:hAnsi="Arial" w:cs="Arial"/>
          <w:sz w:val="24"/>
          <w:szCs w:val="24"/>
          <w:lang w:val="en-US"/>
        </w:rPr>
        <w:t>single</w:t>
      </w:r>
      <w:r w:rsidR="00C948F7">
        <w:rPr>
          <w:rFonts w:ascii="Arial" w:hAnsi="Arial" w:cs="Arial"/>
          <w:sz w:val="24"/>
          <w:szCs w:val="24"/>
          <w:lang w:val="en-US"/>
        </w:rPr>
        <w:t>, unitary</w:t>
      </w:r>
      <w:r w:rsidR="008E265D" w:rsidRPr="00440184">
        <w:rPr>
          <w:rFonts w:ascii="Arial" w:hAnsi="Arial" w:cs="Arial"/>
          <w:sz w:val="24"/>
          <w:szCs w:val="24"/>
          <w:lang w:val="en-US"/>
        </w:rPr>
        <w:t xml:space="preserve"> legal system.</w:t>
      </w:r>
      <w:r w:rsidR="008E265D" w:rsidRPr="008E265D">
        <w:rPr>
          <w:rFonts w:ascii="Arial" w:hAnsi="Arial" w:cs="Arial"/>
          <w:color w:val="FF0000"/>
          <w:sz w:val="24"/>
          <w:szCs w:val="24"/>
          <w:lang w:val="en-US"/>
        </w:rPr>
        <w:t xml:space="preserve"> </w:t>
      </w:r>
      <w:r w:rsidR="00982334" w:rsidRPr="00B105F5">
        <w:rPr>
          <w:rFonts w:ascii="Arial" w:hAnsi="Arial" w:cs="Arial"/>
          <w:sz w:val="24"/>
          <w:szCs w:val="24"/>
          <w:lang w:val="en-US"/>
        </w:rPr>
        <w:t>These</w:t>
      </w:r>
      <w:r w:rsidR="00982334">
        <w:rPr>
          <w:rFonts w:ascii="Arial" w:hAnsi="Arial" w:cs="Arial"/>
          <w:color w:val="FF0000"/>
          <w:sz w:val="24"/>
          <w:szCs w:val="24"/>
          <w:lang w:val="en-US"/>
        </w:rPr>
        <w:t xml:space="preserve"> </w:t>
      </w:r>
      <w:r w:rsidR="00440184" w:rsidRPr="00EE76E9">
        <w:rPr>
          <w:rFonts w:ascii="Arial" w:hAnsi="Arial" w:cs="Arial"/>
          <w:sz w:val="24"/>
          <w:szCs w:val="24"/>
          <w:lang w:val="en-US"/>
        </w:rPr>
        <w:t>observations</w:t>
      </w:r>
      <w:r w:rsidR="008E265D" w:rsidRPr="00EE76E9">
        <w:rPr>
          <w:rFonts w:ascii="Arial" w:hAnsi="Arial" w:cs="Arial"/>
          <w:sz w:val="24"/>
          <w:szCs w:val="24"/>
          <w:lang w:val="en-US"/>
        </w:rPr>
        <w:t xml:space="preserve"> </w:t>
      </w:r>
      <w:r w:rsidR="00440184" w:rsidRPr="00EE76E9">
        <w:rPr>
          <w:rFonts w:ascii="Arial" w:hAnsi="Arial" w:cs="Arial"/>
          <w:sz w:val="24"/>
          <w:szCs w:val="24"/>
          <w:lang w:val="en-US"/>
        </w:rPr>
        <w:t>are useful in reinforcing</w:t>
      </w:r>
      <w:r w:rsidR="008E265D" w:rsidRPr="00EE76E9">
        <w:rPr>
          <w:rFonts w:ascii="Arial" w:hAnsi="Arial" w:cs="Arial"/>
          <w:sz w:val="24"/>
          <w:szCs w:val="24"/>
          <w:lang w:val="en-US"/>
        </w:rPr>
        <w:t xml:space="preserve"> ‘the system</w:t>
      </w:r>
      <w:r w:rsidR="00440184" w:rsidRPr="00EE76E9">
        <w:rPr>
          <w:rFonts w:ascii="Arial" w:hAnsi="Arial" w:cs="Arial"/>
          <w:sz w:val="24"/>
          <w:szCs w:val="24"/>
          <w:lang w:val="en-US"/>
        </w:rPr>
        <w:t>ic nature of international law’</w:t>
      </w:r>
      <w:r w:rsidR="00023787" w:rsidRPr="00EE76E9">
        <w:rPr>
          <w:rStyle w:val="FootnoteReference"/>
          <w:rFonts w:ascii="Arial" w:hAnsi="Arial" w:cs="Arial"/>
          <w:sz w:val="24"/>
          <w:szCs w:val="24"/>
          <w:lang w:val="en-US"/>
        </w:rPr>
        <w:footnoteReference w:id="262"/>
      </w:r>
      <w:r w:rsidR="00023787">
        <w:rPr>
          <w:rFonts w:ascii="Arial" w:hAnsi="Arial" w:cs="Arial"/>
          <w:color w:val="FF0000"/>
          <w:sz w:val="24"/>
          <w:szCs w:val="24"/>
          <w:lang w:val="en-US"/>
        </w:rPr>
        <w:t xml:space="preserve"> </w:t>
      </w:r>
      <w:r w:rsidR="00EE76E9" w:rsidRPr="00EE76E9">
        <w:rPr>
          <w:rFonts w:ascii="Arial" w:hAnsi="Arial" w:cs="Arial"/>
          <w:sz w:val="24"/>
          <w:szCs w:val="24"/>
          <w:lang w:val="en-US"/>
        </w:rPr>
        <w:t>and prevent the</w:t>
      </w:r>
      <w:r w:rsidR="008E265D" w:rsidRPr="00EE76E9">
        <w:rPr>
          <w:rFonts w:ascii="Arial" w:hAnsi="Arial" w:cs="Arial"/>
          <w:sz w:val="24"/>
          <w:szCs w:val="24"/>
          <w:lang w:val="en-US"/>
        </w:rPr>
        <w:t xml:space="preserve"> </w:t>
      </w:r>
      <w:r w:rsidR="00EE76E9" w:rsidRPr="00EE76E9">
        <w:rPr>
          <w:rFonts w:ascii="Arial" w:hAnsi="Arial" w:cs="Arial"/>
          <w:sz w:val="24"/>
          <w:szCs w:val="24"/>
          <w:lang w:val="en-US"/>
        </w:rPr>
        <w:t>dangers</w:t>
      </w:r>
      <w:r w:rsidR="008E265D" w:rsidRPr="00EE76E9">
        <w:rPr>
          <w:rFonts w:ascii="Arial" w:hAnsi="Arial" w:cs="Arial"/>
          <w:sz w:val="24"/>
          <w:szCs w:val="24"/>
          <w:lang w:val="en-US"/>
        </w:rPr>
        <w:t xml:space="preserve"> of fragmentation.</w:t>
      </w:r>
      <w:r w:rsidR="001D20BE">
        <w:rPr>
          <w:rFonts w:ascii="Arial" w:hAnsi="Arial" w:cs="Arial"/>
          <w:color w:val="FF0000"/>
          <w:sz w:val="24"/>
          <w:szCs w:val="24"/>
          <w:lang w:val="en-US"/>
        </w:rPr>
        <w:t xml:space="preserve"> </w:t>
      </w:r>
      <w:r w:rsidR="001D20BE" w:rsidRPr="001D20BE">
        <w:rPr>
          <w:rFonts w:ascii="Arial" w:hAnsi="Arial" w:cs="Arial"/>
          <w:sz w:val="24"/>
          <w:szCs w:val="24"/>
          <w:lang w:val="en-US"/>
        </w:rPr>
        <w:t>Fragmentation could resultantly ‘influence</w:t>
      </w:r>
      <w:r w:rsidR="008E265D" w:rsidRPr="001D20BE">
        <w:rPr>
          <w:rFonts w:ascii="Arial" w:hAnsi="Arial" w:cs="Arial"/>
          <w:sz w:val="24"/>
          <w:szCs w:val="24"/>
          <w:lang w:val="en-US"/>
        </w:rPr>
        <w:t xml:space="preserve"> the development of international law</w:t>
      </w:r>
      <w:r w:rsidR="001D20BE" w:rsidRPr="001D20BE">
        <w:rPr>
          <w:rFonts w:ascii="Arial" w:hAnsi="Arial" w:cs="Arial"/>
          <w:sz w:val="24"/>
          <w:szCs w:val="24"/>
          <w:lang w:val="en-US"/>
        </w:rPr>
        <w:t>’</w:t>
      </w:r>
      <w:r w:rsidR="00EE76E9">
        <w:rPr>
          <w:rFonts w:ascii="Arial" w:hAnsi="Arial" w:cs="Arial"/>
          <w:sz w:val="24"/>
          <w:szCs w:val="24"/>
          <w:lang w:val="en-US"/>
        </w:rPr>
        <w:t>.</w:t>
      </w:r>
      <w:r w:rsidR="00EE76E9">
        <w:rPr>
          <w:rStyle w:val="FootnoteReference"/>
          <w:rFonts w:ascii="Arial" w:hAnsi="Arial" w:cs="Arial"/>
          <w:sz w:val="24"/>
          <w:szCs w:val="24"/>
          <w:lang w:val="en-US"/>
        </w:rPr>
        <w:footnoteReference w:id="263"/>
      </w:r>
      <w:r w:rsidR="00EE76E9">
        <w:rPr>
          <w:rFonts w:ascii="Arial" w:hAnsi="Arial" w:cs="Arial"/>
          <w:sz w:val="24"/>
          <w:szCs w:val="24"/>
          <w:lang w:val="en-US"/>
        </w:rPr>
        <w:t xml:space="preserve"> However</w:t>
      </w:r>
      <w:r w:rsidR="00EE76E9" w:rsidRPr="00EE76E9">
        <w:rPr>
          <w:rFonts w:ascii="Arial" w:hAnsi="Arial" w:cs="Arial"/>
          <w:sz w:val="24"/>
          <w:szCs w:val="24"/>
          <w:lang w:val="en-US"/>
        </w:rPr>
        <w:t xml:space="preserve">, it </w:t>
      </w:r>
      <w:r w:rsidR="00EE76E9">
        <w:rPr>
          <w:rFonts w:ascii="Arial" w:hAnsi="Arial" w:cs="Arial"/>
          <w:sz w:val="24"/>
          <w:szCs w:val="24"/>
          <w:lang w:val="en-US"/>
        </w:rPr>
        <w:t>could</w:t>
      </w:r>
      <w:r w:rsidR="00EE76E9" w:rsidRPr="00EE76E9">
        <w:rPr>
          <w:rFonts w:ascii="Arial" w:hAnsi="Arial" w:cs="Arial"/>
          <w:sz w:val="24"/>
          <w:szCs w:val="24"/>
          <w:lang w:val="en-US"/>
        </w:rPr>
        <w:t xml:space="preserve"> be </w:t>
      </w:r>
      <w:r w:rsidR="00EE76E9">
        <w:rPr>
          <w:rFonts w:ascii="Arial" w:hAnsi="Arial" w:cs="Arial"/>
          <w:sz w:val="24"/>
          <w:szCs w:val="24"/>
          <w:lang w:val="en-US"/>
        </w:rPr>
        <w:t>hard</w:t>
      </w:r>
      <w:r w:rsidR="00EE76E9" w:rsidRPr="00EE76E9">
        <w:rPr>
          <w:rFonts w:ascii="Arial" w:hAnsi="Arial" w:cs="Arial"/>
          <w:sz w:val="24"/>
          <w:szCs w:val="24"/>
          <w:lang w:val="en-US"/>
        </w:rPr>
        <w:t xml:space="preserve"> to </w:t>
      </w:r>
      <w:r w:rsidR="00EE76E9">
        <w:rPr>
          <w:rFonts w:ascii="Arial" w:hAnsi="Arial" w:cs="Arial"/>
          <w:sz w:val="24"/>
          <w:szCs w:val="24"/>
          <w:lang w:val="en-US"/>
        </w:rPr>
        <w:t>prove</w:t>
      </w:r>
      <w:r w:rsidR="00EE76E9" w:rsidRPr="00EE76E9">
        <w:rPr>
          <w:rFonts w:ascii="Arial" w:hAnsi="Arial" w:cs="Arial"/>
          <w:sz w:val="24"/>
          <w:szCs w:val="24"/>
          <w:lang w:val="en-US"/>
        </w:rPr>
        <w:t xml:space="preserve"> such impact verifiably </w:t>
      </w:r>
      <w:r w:rsidR="00EE76E9">
        <w:rPr>
          <w:rFonts w:ascii="Arial" w:hAnsi="Arial" w:cs="Arial"/>
          <w:sz w:val="24"/>
          <w:szCs w:val="24"/>
          <w:lang w:val="en-US"/>
        </w:rPr>
        <w:t>through</w:t>
      </w:r>
      <w:r w:rsidR="00EE76E9" w:rsidRPr="00EE76E9">
        <w:rPr>
          <w:rFonts w:ascii="Arial" w:hAnsi="Arial" w:cs="Arial"/>
          <w:sz w:val="24"/>
          <w:szCs w:val="24"/>
          <w:lang w:val="en-US"/>
        </w:rPr>
        <w:t xml:space="preserve"> explicit declarations to this outcome in judgments. </w:t>
      </w:r>
      <w:r w:rsidR="004862DF">
        <w:rPr>
          <w:rFonts w:ascii="Arial" w:hAnsi="Arial" w:cs="Arial"/>
          <w:sz w:val="24"/>
          <w:szCs w:val="24"/>
          <w:lang w:val="en-US"/>
        </w:rPr>
        <w:t>Given</w:t>
      </w:r>
      <w:r w:rsidR="004862DF" w:rsidRPr="006A4E37">
        <w:rPr>
          <w:rFonts w:ascii="Arial" w:hAnsi="Arial" w:cs="Arial"/>
          <w:sz w:val="24"/>
          <w:szCs w:val="24"/>
          <w:lang w:val="en-US"/>
        </w:rPr>
        <w:t xml:space="preserve"> the advances in the jurisprudence of the ICJ; the ECtHR, the ILC and many other international courts, tribunals and institutions, </w:t>
      </w:r>
      <w:r w:rsidR="00C72082" w:rsidRPr="006A4E37">
        <w:rPr>
          <w:rFonts w:ascii="Arial" w:hAnsi="Arial" w:cs="Arial"/>
          <w:sz w:val="24"/>
          <w:szCs w:val="24"/>
          <w:lang w:val="en-US"/>
        </w:rPr>
        <w:t xml:space="preserve">could it </w:t>
      </w:r>
      <w:r w:rsidR="004862DF" w:rsidRPr="006A4E37">
        <w:rPr>
          <w:rFonts w:ascii="Arial" w:hAnsi="Arial" w:cs="Arial"/>
          <w:sz w:val="24"/>
          <w:szCs w:val="24"/>
          <w:lang w:val="en-US"/>
        </w:rPr>
        <w:t>be fair to conclude that although fragmentation does continue to generate certain issues, ‘they are not a threat to international law as a legal system’</w:t>
      </w:r>
      <w:r w:rsidR="00C72082" w:rsidRPr="006A4E37">
        <w:rPr>
          <w:rFonts w:ascii="Arial" w:hAnsi="Arial" w:cs="Arial"/>
          <w:sz w:val="24"/>
          <w:szCs w:val="24"/>
          <w:lang w:val="en-US"/>
        </w:rPr>
        <w:t>?</w:t>
      </w:r>
      <w:r w:rsidR="004862DF" w:rsidRPr="006A4E37">
        <w:rPr>
          <w:rStyle w:val="FootnoteReference"/>
          <w:rFonts w:ascii="Arial" w:hAnsi="Arial" w:cs="Arial"/>
          <w:sz w:val="24"/>
          <w:szCs w:val="24"/>
          <w:lang w:val="en-US"/>
        </w:rPr>
        <w:footnoteReference w:id="264"/>
      </w:r>
      <w:r w:rsidR="004862DF" w:rsidRPr="006A4E37">
        <w:rPr>
          <w:rFonts w:ascii="Arial" w:hAnsi="Arial" w:cs="Arial"/>
          <w:sz w:val="24"/>
          <w:szCs w:val="24"/>
          <w:lang w:val="en-US"/>
        </w:rPr>
        <w:t xml:space="preserve"> </w:t>
      </w:r>
    </w:p>
    <w:p w14:paraId="74A9FFAF" w14:textId="613D5618" w:rsidR="00FC4B68" w:rsidRPr="004B5200" w:rsidRDefault="00E36130" w:rsidP="00401E4C">
      <w:pPr>
        <w:spacing w:line="480" w:lineRule="auto"/>
        <w:ind w:right="752"/>
        <w:rPr>
          <w:rFonts w:ascii="Arial" w:hAnsi="Arial" w:cs="Arial"/>
          <w:color w:val="FF0000"/>
          <w:sz w:val="24"/>
          <w:szCs w:val="24"/>
          <w:lang w:val="en-US"/>
        </w:rPr>
      </w:pPr>
      <w:r w:rsidRPr="008C438B">
        <w:rPr>
          <w:rFonts w:ascii="Arial" w:hAnsi="Arial" w:cs="Arial"/>
          <w:sz w:val="24"/>
          <w:szCs w:val="24"/>
        </w:rPr>
        <w:t xml:space="preserve">International law has expanded at an incredible rate over the last twenty years, which has in </w:t>
      </w:r>
      <w:r w:rsidRPr="006952C7">
        <w:rPr>
          <w:rFonts w:ascii="Arial" w:hAnsi="Arial" w:cs="Arial"/>
          <w:sz w:val="24"/>
          <w:szCs w:val="24"/>
        </w:rPr>
        <w:t xml:space="preserve">turn </w:t>
      </w:r>
      <w:r w:rsidR="00990C0F" w:rsidRPr="006952C7">
        <w:rPr>
          <w:rFonts w:ascii="Arial" w:hAnsi="Arial" w:cs="Arial"/>
          <w:sz w:val="24"/>
          <w:szCs w:val="24"/>
        </w:rPr>
        <w:t>‘</w:t>
      </w:r>
      <w:r w:rsidRPr="006952C7">
        <w:rPr>
          <w:rFonts w:ascii="Arial" w:hAnsi="Arial" w:cs="Arial"/>
          <w:sz w:val="24"/>
          <w:szCs w:val="24"/>
        </w:rPr>
        <w:t>sparked concern over fragmentation among academics and judges</w:t>
      </w:r>
      <w:r w:rsidR="00990C0F" w:rsidRPr="006952C7">
        <w:rPr>
          <w:rFonts w:ascii="Arial" w:hAnsi="Arial" w:cs="Arial"/>
          <w:sz w:val="24"/>
          <w:szCs w:val="24"/>
        </w:rPr>
        <w:t>’</w:t>
      </w:r>
      <w:r w:rsidRPr="006952C7">
        <w:rPr>
          <w:rFonts w:ascii="Arial" w:hAnsi="Arial" w:cs="Arial"/>
          <w:sz w:val="24"/>
          <w:szCs w:val="24"/>
        </w:rPr>
        <w:t>.</w:t>
      </w:r>
      <w:r w:rsidR="00EE181E" w:rsidRPr="006952C7">
        <w:rPr>
          <w:rStyle w:val="FootnoteReference"/>
          <w:rFonts w:ascii="Arial" w:hAnsi="Arial" w:cs="Arial"/>
          <w:sz w:val="24"/>
          <w:szCs w:val="24"/>
        </w:rPr>
        <w:footnoteReference w:id="265"/>
      </w:r>
      <w:r w:rsidRPr="006E2B4A">
        <w:rPr>
          <w:rFonts w:ascii="Arial" w:hAnsi="Arial" w:cs="Arial"/>
          <w:color w:val="FF0000"/>
          <w:sz w:val="24"/>
          <w:szCs w:val="24"/>
        </w:rPr>
        <w:t xml:space="preserve"> </w:t>
      </w:r>
      <w:r w:rsidR="00864DA5">
        <w:rPr>
          <w:rFonts w:ascii="Arial" w:hAnsi="Arial" w:cs="Arial"/>
          <w:sz w:val="24"/>
          <w:szCs w:val="24"/>
        </w:rPr>
        <w:t>T</w:t>
      </w:r>
      <w:r w:rsidR="00864DA5" w:rsidRPr="003A2967">
        <w:rPr>
          <w:rFonts w:ascii="Arial" w:hAnsi="Arial" w:cs="Arial"/>
          <w:sz w:val="24"/>
          <w:szCs w:val="24"/>
        </w:rPr>
        <w:t xml:space="preserve">he systemic interpretation </w:t>
      </w:r>
      <w:r w:rsidR="00864DA5">
        <w:rPr>
          <w:rFonts w:ascii="Arial" w:hAnsi="Arial" w:cs="Arial"/>
          <w:sz w:val="24"/>
          <w:szCs w:val="24"/>
        </w:rPr>
        <w:t xml:space="preserve">rule </w:t>
      </w:r>
      <w:r w:rsidR="00864DA5" w:rsidRPr="003A2967">
        <w:rPr>
          <w:rFonts w:ascii="Arial" w:hAnsi="Arial" w:cs="Arial"/>
          <w:sz w:val="24"/>
          <w:szCs w:val="24"/>
        </w:rPr>
        <w:t>expounded</w:t>
      </w:r>
      <w:r w:rsidR="00864DA5" w:rsidRPr="000B1674">
        <w:rPr>
          <w:rFonts w:ascii="Arial" w:hAnsi="Arial" w:cs="Arial"/>
          <w:sz w:val="24"/>
          <w:szCs w:val="24"/>
        </w:rPr>
        <w:t xml:space="preserve"> </w:t>
      </w:r>
      <w:r w:rsidR="00864DA5">
        <w:rPr>
          <w:rFonts w:ascii="Arial" w:hAnsi="Arial" w:cs="Arial"/>
          <w:sz w:val="24"/>
          <w:szCs w:val="24"/>
        </w:rPr>
        <w:t>in t</w:t>
      </w:r>
      <w:r w:rsidR="000B1674" w:rsidRPr="000B1674">
        <w:rPr>
          <w:rFonts w:ascii="Arial" w:hAnsi="Arial" w:cs="Arial"/>
          <w:sz w:val="24"/>
          <w:szCs w:val="24"/>
        </w:rPr>
        <w:t>he Vienna Convention, Article 31(3)(c)</w:t>
      </w:r>
      <w:r w:rsidR="00864DA5">
        <w:rPr>
          <w:rStyle w:val="FootnoteReference"/>
          <w:rFonts w:ascii="Arial" w:hAnsi="Arial" w:cs="Arial"/>
          <w:sz w:val="24"/>
          <w:szCs w:val="24"/>
        </w:rPr>
        <w:footnoteReference w:id="266"/>
      </w:r>
      <w:r w:rsidR="000B1674">
        <w:rPr>
          <w:rFonts w:ascii="Arial" w:hAnsi="Arial" w:cs="Arial"/>
          <w:color w:val="FF0000"/>
          <w:sz w:val="24"/>
          <w:szCs w:val="24"/>
        </w:rPr>
        <w:t xml:space="preserve"> </w:t>
      </w:r>
      <w:r w:rsidR="000B1674" w:rsidRPr="00D20228">
        <w:rPr>
          <w:rFonts w:ascii="Arial" w:hAnsi="Arial" w:cs="Arial"/>
          <w:sz w:val="24"/>
          <w:szCs w:val="24"/>
        </w:rPr>
        <w:t>supports</w:t>
      </w:r>
      <w:r w:rsidR="000B1674">
        <w:rPr>
          <w:rFonts w:ascii="Arial" w:hAnsi="Arial" w:cs="Arial"/>
          <w:color w:val="FF0000"/>
          <w:sz w:val="24"/>
          <w:szCs w:val="24"/>
        </w:rPr>
        <w:t xml:space="preserve"> </w:t>
      </w:r>
      <w:r w:rsidR="000B1674" w:rsidRPr="000B1674">
        <w:rPr>
          <w:rFonts w:ascii="Arial" w:hAnsi="Arial" w:cs="Arial"/>
          <w:sz w:val="24"/>
          <w:szCs w:val="24"/>
        </w:rPr>
        <w:t xml:space="preserve">this rapid </w:t>
      </w:r>
      <w:r w:rsidR="00D20228" w:rsidRPr="00D20228">
        <w:rPr>
          <w:rFonts w:ascii="Arial" w:hAnsi="Arial" w:cs="Arial"/>
          <w:sz w:val="24"/>
          <w:szCs w:val="24"/>
        </w:rPr>
        <w:t>enforcement</w:t>
      </w:r>
      <w:r w:rsidR="000B1674" w:rsidRPr="00D20228">
        <w:rPr>
          <w:rFonts w:ascii="Arial" w:hAnsi="Arial" w:cs="Arial"/>
          <w:sz w:val="24"/>
          <w:szCs w:val="24"/>
        </w:rPr>
        <w:t xml:space="preserve"> </w:t>
      </w:r>
      <w:r w:rsidR="000B1674" w:rsidRPr="000B1674">
        <w:rPr>
          <w:rFonts w:ascii="Arial" w:hAnsi="Arial" w:cs="Arial"/>
          <w:sz w:val="24"/>
          <w:szCs w:val="24"/>
        </w:rPr>
        <w:t xml:space="preserve">of international law as a </w:t>
      </w:r>
      <w:r w:rsidR="00D20228">
        <w:rPr>
          <w:rFonts w:ascii="Arial" w:hAnsi="Arial" w:cs="Arial"/>
          <w:sz w:val="24"/>
          <w:szCs w:val="24"/>
        </w:rPr>
        <w:t xml:space="preserve">unitary </w:t>
      </w:r>
      <w:r w:rsidR="000B1674" w:rsidRPr="000B1674">
        <w:rPr>
          <w:rFonts w:ascii="Arial" w:hAnsi="Arial" w:cs="Arial"/>
          <w:sz w:val="24"/>
          <w:szCs w:val="24"/>
        </w:rPr>
        <w:t>legal system</w:t>
      </w:r>
      <w:r w:rsidR="000B1674">
        <w:rPr>
          <w:rFonts w:ascii="Arial" w:hAnsi="Arial" w:cs="Arial"/>
          <w:color w:val="FF0000"/>
          <w:sz w:val="24"/>
          <w:szCs w:val="24"/>
        </w:rPr>
        <w:t xml:space="preserve"> </w:t>
      </w:r>
      <w:r w:rsidRPr="00D251F7">
        <w:rPr>
          <w:rFonts w:ascii="Arial" w:hAnsi="Arial" w:cs="Arial"/>
          <w:sz w:val="24"/>
          <w:szCs w:val="24"/>
        </w:rPr>
        <w:t xml:space="preserve">on </w:t>
      </w:r>
      <w:r w:rsidR="00D251F7" w:rsidRPr="00D251F7">
        <w:rPr>
          <w:rFonts w:ascii="Arial" w:hAnsi="Arial" w:cs="Arial"/>
          <w:sz w:val="24"/>
          <w:szCs w:val="24"/>
        </w:rPr>
        <w:t xml:space="preserve">demand </w:t>
      </w:r>
      <w:r w:rsidR="00C15A68">
        <w:rPr>
          <w:rFonts w:ascii="Arial" w:hAnsi="Arial" w:cs="Arial"/>
          <w:sz w:val="24"/>
          <w:szCs w:val="24"/>
        </w:rPr>
        <w:t>of ‘</w:t>
      </w:r>
      <w:r w:rsidRPr="00D251F7">
        <w:rPr>
          <w:rFonts w:ascii="Arial" w:hAnsi="Arial" w:cs="Arial"/>
          <w:sz w:val="24"/>
          <w:szCs w:val="24"/>
        </w:rPr>
        <w:t>any relevant rules of international law applicable in the relations between the parties.</w:t>
      </w:r>
      <w:r w:rsidR="00C15A68">
        <w:rPr>
          <w:rFonts w:ascii="Arial" w:hAnsi="Arial" w:cs="Arial"/>
          <w:sz w:val="24"/>
          <w:szCs w:val="24"/>
        </w:rPr>
        <w:t>’</w:t>
      </w:r>
      <w:r w:rsidR="00C15A68">
        <w:rPr>
          <w:rStyle w:val="FootnoteReference"/>
          <w:rFonts w:ascii="Arial" w:hAnsi="Arial" w:cs="Arial"/>
          <w:sz w:val="24"/>
          <w:szCs w:val="24"/>
        </w:rPr>
        <w:footnoteReference w:id="267"/>
      </w:r>
      <w:r w:rsidRPr="006E2B4A">
        <w:rPr>
          <w:rFonts w:ascii="Arial" w:hAnsi="Arial" w:cs="Arial"/>
          <w:color w:val="FF0000"/>
          <w:sz w:val="24"/>
          <w:szCs w:val="24"/>
        </w:rPr>
        <w:t xml:space="preserve"> </w:t>
      </w:r>
      <w:r w:rsidR="00D44854">
        <w:rPr>
          <w:rFonts w:ascii="Arial" w:hAnsi="Arial" w:cs="Arial"/>
          <w:sz w:val="24"/>
          <w:szCs w:val="24"/>
          <w:lang w:val="en-US"/>
        </w:rPr>
        <w:t>I</w:t>
      </w:r>
      <w:r w:rsidR="00D44854" w:rsidRPr="006A4E37">
        <w:rPr>
          <w:rFonts w:ascii="Arial" w:hAnsi="Arial" w:cs="Arial"/>
          <w:sz w:val="24"/>
          <w:szCs w:val="24"/>
          <w:lang w:val="en-US"/>
        </w:rPr>
        <w:t xml:space="preserve">nstitutional </w:t>
      </w:r>
      <w:r w:rsidR="00D44854">
        <w:rPr>
          <w:rFonts w:ascii="Arial" w:hAnsi="Arial" w:cs="Arial"/>
          <w:sz w:val="24"/>
          <w:szCs w:val="24"/>
          <w:lang w:val="en-US"/>
        </w:rPr>
        <w:t>fragmentation is a point that we must examine more closely. Although there is no</w:t>
      </w:r>
      <w:r w:rsidR="00D44854" w:rsidRPr="006A4E37">
        <w:rPr>
          <w:rFonts w:ascii="Arial" w:hAnsi="Arial" w:cs="Arial"/>
          <w:sz w:val="24"/>
          <w:szCs w:val="24"/>
          <w:lang w:val="en-US"/>
        </w:rPr>
        <w:t xml:space="preserve"> </w:t>
      </w:r>
      <w:r w:rsidR="00D44854" w:rsidRPr="00883E66">
        <w:rPr>
          <w:rFonts w:ascii="Arial" w:hAnsi="Arial" w:cs="Arial"/>
          <w:sz w:val="24"/>
          <w:szCs w:val="24"/>
          <w:lang w:val="en-US"/>
        </w:rPr>
        <w:t>particular hierarchy between international courts and tribunals, the rulings of the ICJ carry the most legal weig</w:t>
      </w:r>
      <w:r w:rsidR="00D44854" w:rsidRPr="0045359B">
        <w:rPr>
          <w:rFonts w:ascii="Arial" w:hAnsi="Arial" w:cs="Arial"/>
          <w:sz w:val="24"/>
          <w:szCs w:val="24"/>
          <w:lang w:val="en-US"/>
        </w:rPr>
        <w:t>ht.</w:t>
      </w:r>
      <w:r w:rsidR="00D44854" w:rsidRPr="0045359B">
        <w:rPr>
          <w:rStyle w:val="FootnoteReference"/>
          <w:rFonts w:ascii="Arial" w:hAnsi="Arial" w:cs="Arial"/>
          <w:sz w:val="24"/>
          <w:szCs w:val="24"/>
          <w:lang w:val="en-US"/>
        </w:rPr>
        <w:footnoteReference w:id="268"/>
      </w:r>
      <w:r w:rsidR="00D44854" w:rsidRPr="0045359B">
        <w:rPr>
          <w:rFonts w:ascii="Arial" w:hAnsi="Arial" w:cs="Arial"/>
          <w:sz w:val="24"/>
          <w:szCs w:val="24"/>
          <w:lang w:val="en-US"/>
        </w:rPr>
        <w:t xml:space="preserve"> The Court also gives international law a ‘centre of gravity’.</w:t>
      </w:r>
      <w:r w:rsidR="00D44854" w:rsidRPr="0045359B">
        <w:rPr>
          <w:rStyle w:val="FootnoteReference"/>
          <w:rFonts w:ascii="Arial" w:hAnsi="Arial" w:cs="Arial"/>
          <w:sz w:val="24"/>
          <w:szCs w:val="24"/>
          <w:lang w:val="en-US"/>
        </w:rPr>
        <w:footnoteReference w:id="269"/>
      </w:r>
      <w:r w:rsidR="00D44854" w:rsidRPr="006A4E37">
        <w:rPr>
          <w:rFonts w:ascii="Arial" w:hAnsi="Arial" w:cs="Arial"/>
          <w:color w:val="FF0000"/>
          <w:sz w:val="24"/>
          <w:szCs w:val="24"/>
          <w:lang w:val="en-US"/>
        </w:rPr>
        <w:t xml:space="preserve"> </w:t>
      </w:r>
      <w:r w:rsidR="004B5200">
        <w:rPr>
          <w:rFonts w:ascii="Arial" w:hAnsi="Arial" w:cs="Arial"/>
          <w:sz w:val="24"/>
          <w:szCs w:val="24"/>
          <w:lang w:val="en-US"/>
        </w:rPr>
        <w:t>Given its contribution to customary international law, t</w:t>
      </w:r>
      <w:r w:rsidR="005A27CA" w:rsidRPr="004B5200">
        <w:rPr>
          <w:rFonts w:ascii="Arial" w:hAnsi="Arial" w:cs="Arial"/>
          <w:sz w:val="24"/>
          <w:szCs w:val="24"/>
          <w:lang w:val="en-US"/>
        </w:rPr>
        <w:t xml:space="preserve">he ICJ </w:t>
      </w:r>
      <w:r w:rsidR="00FC4B68" w:rsidRPr="004B5200">
        <w:rPr>
          <w:rFonts w:ascii="Arial" w:hAnsi="Arial" w:cs="Arial"/>
          <w:sz w:val="24"/>
          <w:szCs w:val="24"/>
          <w:lang w:val="en-US"/>
        </w:rPr>
        <w:t xml:space="preserve">could be </w:t>
      </w:r>
      <w:r w:rsidR="005A27CA" w:rsidRPr="004B5200">
        <w:rPr>
          <w:rFonts w:ascii="Arial" w:hAnsi="Arial" w:cs="Arial"/>
          <w:sz w:val="24"/>
          <w:szCs w:val="24"/>
          <w:lang w:val="en-US"/>
        </w:rPr>
        <w:t>regarded</w:t>
      </w:r>
      <w:r w:rsidR="00FC4B68" w:rsidRPr="004B5200">
        <w:rPr>
          <w:rFonts w:ascii="Arial" w:hAnsi="Arial" w:cs="Arial"/>
          <w:sz w:val="24"/>
          <w:szCs w:val="24"/>
          <w:lang w:val="en-US"/>
        </w:rPr>
        <w:t xml:space="preserve"> as a central body ‘which could reduce fragmentation’</w:t>
      </w:r>
      <w:r w:rsidR="005A27CA" w:rsidRPr="004B5200">
        <w:rPr>
          <w:rStyle w:val="FootnoteReference"/>
          <w:rFonts w:ascii="Arial" w:hAnsi="Arial" w:cs="Arial"/>
          <w:sz w:val="24"/>
          <w:szCs w:val="24"/>
          <w:lang w:val="en-US"/>
        </w:rPr>
        <w:footnoteReference w:id="270"/>
      </w:r>
      <w:r w:rsidR="00FC4B68" w:rsidRPr="004B5200">
        <w:rPr>
          <w:rFonts w:ascii="Arial" w:hAnsi="Arial" w:cs="Arial"/>
          <w:sz w:val="24"/>
          <w:szCs w:val="24"/>
          <w:lang w:val="en-US"/>
        </w:rPr>
        <w:t xml:space="preserve"> internationally</w:t>
      </w:r>
      <w:r w:rsidR="005A27CA" w:rsidRPr="004B5200">
        <w:rPr>
          <w:rFonts w:ascii="Arial" w:hAnsi="Arial" w:cs="Arial"/>
          <w:sz w:val="24"/>
          <w:szCs w:val="24"/>
          <w:lang w:val="en-US"/>
        </w:rPr>
        <w:t xml:space="preserve"> in its capacity as the primary UN judicial body.</w:t>
      </w:r>
      <w:r w:rsidR="005A27CA" w:rsidRPr="004B5200">
        <w:rPr>
          <w:rStyle w:val="FootnoteReference"/>
          <w:rFonts w:ascii="Arial" w:hAnsi="Arial" w:cs="Arial"/>
          <w:sz w:val="24"/>
          <w:szCs w:val="24"/>
          <w:lang w:val="en-US"/>
        </w:rPr>
        <w:footnoteReference w:id="271"/>
      </w:r>
    </w:p>
    <w:p w14:paraId="56D9E3BE" w14:textId="5146E783" w:rsidR="003041C2" w:rsidRPr="00A34D67" w:rsidRDefault="00C22A19" w:rsidP="00401E4C">
      <w:pPr>
        <w:tabs>
          <w:tab w:val="left" w:pos="1701"/>
        </w:tabs>
        <w:spacing w:line="480" w:lineRule="auto"/>
        <w:rPr>
          <w:rFonts w:ascii="Arial" w:hAnsi="Arial" w:cs="Arial"/>
          <w:sz w:val="24"/>
          <w:szCs w:val="24"/>
          <w:lang w:val="en-US"/>
        </w:rPr>
      </w:pPr>
      <w:r>
        <w:rPr>
          <w:rFonts w:ascii="Arial" w:hAnsi="Arial" w:cs="Arial"/>
          <w:sz w:val="24"/>
          <w:szCs w:val="24"/>
          <w:lang w:val="en-US"/>
        </w:rPr>
        <w:t>T</w:t>
      </w:r>
      <w:r w:rsidR="003041C2" w:rsidRPr="00A34D67">
        <w:rPr>
          <w:rFonts w:ascii="Arial" w:hAnsi="Arial" w:cs="Arial"/>
          <w:sz w:val="24"/>
          <w:szCs w:val="24"/>
          <w:lang w:val="en-US"/>
        </w:rPr>
        <w:t xml:space="preserve">he </w:t>
      </w:r>
      <w:r w:rsidR="000C1038">
        <w:rPr>
          <w:rFonts w:ascii="Arial" w:hAnsi="Arial" w:cs="Arial"/>
          <w:sz w:val="24"/>
          <w:szCs w:val="24"/>
          <w:lang w:val="en-US"/>
        </w:rPr>
        <w:t>ICJ</w:t>
      </w:r>
      <w:r w:rsidR="003041C2" w:rsidRPr="00A34D67">
        <w:rPr>
          <w:rFonts w:ascii="Arial" w:hAnsi="Arial" w:cs="Arial"/>
          <w:sz w:val="24"/>
          <w:szCs w:val="24"/>
          <w:lang w:val="en-US"/>
        </w:rPr>
        <w:t xml:space="preserve"> </w:t>
      </w:r>
      <w:r w:rsidR="00312258">
        <w:rPr>
          <w:rFonts w:ascii="Arial" w:hAnsi="Arial" w:cs="Arial"/>
          <w:sz w:val="24"/>
          <w:szCs w:val="24"/>
          <w:lang w:val="en-US"/>
        </w:rPr>
        <w:t xml:space="preserve">has </w:t>
      </w:r>
      <w:r w:rsidR="00436D21" w:rsidRPr="00A34D67">
        <w:rPr>
          <w:rFonts w:ascii="Arial" w:hAnsi="Arial" w:cs="Arial"/>
          <w:sz w:val="24"/>
          <w:szCs w:val="24"/>
          <w:lang w:val="en-US"/>
        </w:rPr>
        <w:t xml:space="preserve">directly considered treaty body practice </w:t>
      </w:r>
      <w:r w:rsidR="00D17B8C" w:rsidRPr="00A34D67">
        <w:rPr>
          <w:rFonts w:ascii="Arial" w:hAnsi="Arial" w:cs="Arial"/>
          <w:sz w:val="24"/>
          <w:szCs w:val="24"/>
          <w:lang w:val="en-US"/>
        </w:rPr>
        <w:t xml:space="preserve">(in this case, that of the HRC) </w:t>
      </w:r>
      <w:r w:rsidR="00436D21" w:rsidRPr="00A34D67">
        <w:rPr>
          <w:rFonts w:ascii="Arial" w:hAnsi="Arial" w:cs="Arial"/>
          <w:sz w:val="24"/>
          <w:szCs w:val="24"/>
          <w:lang w:val="en-US"/>
        </w:rPr>
        <w:t xml:space="preserve">for the first time </w:t>
      </w:r>
      <w:r w:rsidR="003041C2" w:rsidRPr="00A34D67">
        <w:rPr>
          <w:rFonts w:ascii="Arial" w:hAnsi="Arial" w:cs="Arial"/>
          <w:sz w:val="24"/>
          <w:szCs w:val="24"/>
          <w:lang w:val="en-US"/>
        </w:rPr>
        <w:t xml:space="preserve">in </w:t>
      </w:r>
      <w:r w:rsidR="005C25FE" w:rsidRPr="00A34D67">
        <w:rPr>
          <w:rFonts w:ascii="Arial" w:hAnsi="Arial" w:cs="Arial"/>
          <w:sz w:val="24"/>
          <w:szCs w:val="24"/>
          <w:lang w:val="en-US"/>
        </w:rPr>
        <w:t>its</w:t>
      </w:r>
      <w:r w:rsidR="003041C2" w:rsidRPr="00A34D67">
        <w:rPr>
          <w:rFonts w:ascii="Arial" w:hAnsi="Arial" w:cs="Arial"/>
          <w:sz w:val="24"/>
          <w:szCs w:val="24"/>
          <w:lang w:val="en-US"/>
        </w:rPr>
        <w:t xml:space="preserve"> </w:t>
      </w:r>
      <w:r w:rsidR="003041C2" w:rsidRPr="00A34D67">
        <w:rPr>
          <w:rFonts w:ascii="Arial" w:hAnsi="Arial" w:cs="Arial"/>
          <w:i/>
          <w:iCs/>
          <w:sz w:val="24"/>
          <w:szCs w:val="24"/>
          <w:lang w:val="en-US"/>
        </w:rPr>
        <w:t xml:space="preserve">Wall </w:t>
      </w:r>
      <w:r w:rsidR="003041C2" w:rsidRPr="00A34D67">
        <w:rPr>
          <w:rFonts w:ascii="Arial" w:hAnsi="Arial" w:cs="Arial"/>
          <w:sz w:val="24"/>
          <w:szCs w:val="24"/>
          <w:lang w:val="en-US"/>
        </w:rPr>
        <w:t>advisory opinion</w:t>
      </w:r>
      <w:r w:rsidR="00D17B8C" w:rsidRPr="00A34D67">
        <w:rPr>
          <w:rFonts w:ascii="Arial" w:hAnsi="Arial" w:cs="Arial"/>
          <w:sz w:val="24"/>
          <w:szCs w:val="24"/>
          <w:lang w:val="en-US"/>
        </w:rPr>
        <w:t>,</w:t>
      </w:r>
      <w:r w:rsidR="005C25FE" w:rsidRPr="00A34D67">
        <w:rPr>
          <w:rStyle w:val="FootnoteReference"/>
          <w:rFonts w:ascii="Arial" w:hAnsi="Arial" w:cs="Arial"/>
          <w:sz w:val="24"/>
          <w:szCs w:val="24"/>
          <w:lang w:val="en-US"/>
        </w:rPr>
        <w:footnoteReference w:id="272"/>
      </w:r>
      <w:r w:rsidR="003041C2" w:rsidRPr="00A34D67">
        <w:rPr>
          <w:rFonts w:ascii="Arial" w:hAnsi="Arial" w:cs="Arial"/>
          <w:sz w:val="24"/>
          <w:szCs w:val="24"/>
          <w:lang w:val="en-US"/>
        </w:rPr>
        <w:t xml:space="preserve"> </w:t>
      </w:r>
      <w:r w:rsidR="00D17B8C" w:rsidRPr="00A34D67">
        <w:rPr>
          <w:rFonts w:ascii="Arial" w:hAnsi="Arial" w:cs="Arial"/>
          <w:sz w:val="24"/>
          <w:szCs w:val="24"/>
          <w:lang w:val="en-US"/>
        </w:rPr>
        <w:t>although</w:t>
      </w:r>
      <w:r w:rsidR="003041C2" w:rsidRPr="00A34D67">
        <w:rPr>
          <w:rFonts w:ascii="Arial" w:hAnsi="Arial" w:cs="Arial"/>
          <w:sz w:val="24"/>
          <w:szCs w:val="24"/>
          <w:lang w:val="en-US"/>
        </w:rPr>
        <w:t xml:space="preserve"> without indicating any general approach. </w:t>
      </w:r>
      <w:r w:rsidR="00C069CF" w:rsidRPr="00A34D67">
        <w:rPr>
          <w:rFonts w:ascii="Arial" w:hAnsi="Arial" w:cs="Arial"/>
          <w:sz w:val="24"/>
          <w:szCs w:val="24"/>
          <w:lang w:val="en-US"/>
        </w:rPr>
        <w:t>Subsequent cases have, however, revealed the deeper considerations of the ICJ on this matter.</w:t>
      </w:r>
      <w:r w:rsidR="00541590" w:rsidRPr="00A34D67">
        <w:rPr>
          <w:rStyle w:val="FootnoteReference"/>
          <w:rFonts w:ascii="Arial" w:hAnsi="Arial" w:cs="Arial"/>
          <w:sz w:val="24"/>
          <w:szCs w:val="24"/>
          <w:lang w:val="en-US"/>
        </w:rPr>
        <w:footnoteReference w:id="273"/>
      </w:r>
      <w:r w:rsidR="00A34AF6" w:rsidRPr="00A34D67">
        <w:rPr>
          <w:rFonts w:ascii="Arial" w:hAnsi="Arial" w:cs="Arial"/>
          <w:sz w:val="24"/>
          <w:szCs w:val="24"/>
          <w:lang w:val="en-US"/>
        </w:rPr>
        <w:t xml:space="preserve"> T</w:t>
      </w:r>
      <w:r w:rsidR="003041C2" w:rsidRPr="00A34D67">
        <w:rPr>
          <w:rFonts w:ascii="Arial" w:hAnsi="Arial" w:cs="Arial"/>
          <w:sz w:val="24"/>
          <w:szCs w:val="24"/>
          <w:lang w:val="en-US"/>
        </w:rPr>
        <w:t xml:space="preserve">he ICJ </w:t>
      </w:r>
      <w:r w:rsidR="00F0423D" w:rsidRPr="00A34D67">
        <w:rPr>
          <w:rFonts w:ascii="Arial" w:hAnsi="Arial" w:cs="Arial"/>
          <w:sz w:val="24"/>
          <w:szCs w:val="24"/>
          <w:lang w:val="en-US"/>
        </w:rPr>
        <w:t>deemed</w:t>
      </w:r>
      <w:r w:rsidR="00A34AF6" w:rsidRPr="00A34D67">
        <w:rPr>
          <w:rFonts w:ascii="Arial" w:hAnsi="Arial" w:cs="Arial"/>
          <w:sz w:val="24"/>
          <w:szCs w:val="24"/>
          <w:lang w:val="en-US"/>
        </w:rPr>
        <w:t xml:space="preserve"> </w:t>
      </w:r>
      <w:r w:rsidR="003041C2" w:rsidRPr="00A34D67">
        <w:rPr>
          <w:rFonts w:ascii="Arial" w:hAnsi="Arial" w:cs="Arial"/>
          <w:sz w:val="24"/>
          <w:szCs w:val="24"/>
          <w:lang w:val="en-US"/>
        </w:rPr>
        <w:t>the HRC’s General Comments and decisions under the Optional Protocol</w:t>
      </w:r>
      <w:r w:rsidR="00A34AF6" w:rsidRPr="00A34D67">
        <w:rPr>
          <w:rFonts w:ascii="Arial" w:hAnsi="Arial" w:cs="Arial"/>
          <w:sz w:val="24"/>
          <w:szCs w:val="24"/>
          <w:lang w:val="en-US"/>
        </w:rPr>
        <w:t xml:space="preserve"> in the 2010 </w:t>
      </w:r>
      <w:r w:rsidR="00A34AF6" w:rsidRPr="00A34D67">
        <w:rPr>
          <w:rFonts w:ascii="Arial" w:hAnsi="Arial" w:cs="Arial"/>
          <w:i/>
          <w:sz w:val="24"/>
          <w:szCs w:val="24"/>
          <w:lang w:val="en-US"/>
        </w:rPr>
        <w:t xml:space="preserve">Diallo </w:t>
      </w:r>
      <w:r w:rsidR="00A34AF6" w:rsidRPr="00A34D67">
        <w:rPr>
          <w:rFonts w:ascii="Arial" w:hAnsi="Arial" w:cs="Arial"/>
          <w:sz w:val="24"/>
          <w:szCs w:val="24"/>
          <w:lang w:val="en-US"/>
        </w:rPr>
        <w:t>case</w:t>
      </w:r>
      <w:r w:rsidR="002D3F7B" w:rsidRPr="00A34D67">
        <w:rPr>
          <w:rFonts w:ascii="Arial" w:hAnsi="Arial" w:cs="Arial"/>
          <w:sz w:val="24"/>
          <w:szCs w:val="24"/>
          <w:lang w:val="en-US"/>
        </w:rPr>
        <w:t xml:space="preserve"> to mean the following</w:t>
      </w:r>
      <w:r w:rsidR="00A34AF6" w:rsidRPr="00A34D67">
        <w:rPr>
          <w:rFonts w:ascii="Arial" w:hAnsi="Arial" w:cs="Arial"/>
          <w:sz w:val="24"/>
          <w:szCs w:val="24"/>
          <w:lang w:val="en-US"/>
        </w:rPr>
        <w:t>:</w:t>
      </w:r>
      <w:r w:rsidR="003041C2" w:rsidRPr="00A34D67">
        <w:rPr>
          <w:rFonts w:ascii="Arial" w:hAnsi="Arial" w:cs="Arial"/>
          <w:color w:val="FF0000"/>
          <w:sz w:val="24"/>
          <w:szCs w:val="24"/>
          <w:lang w:val="en-US"/>
        </w:rPr>
        <w:t xml:space="preserve"> </w:t>
      </w:r>
    </w:p>
    <w:p w14:paraId="06597703" w14:textId="6D842D83" w:rsidR="003041C2" w:rsidRPr="00A34D67" w:rsidRDefault="003041C2" w:rsidP="00401E4C">
      <w:pPr>
        <w:tabs>
          <w:tab w:val="left" w:pos="1701"/>
        </w:tabs>
        <w:spacing w:line="480" w:lineRule="auto"/>
        <w:ind w:left="851" w:right="1035"/>
        <w:rPr>
          <w:rFonts w:ascii="Arial" w:hAnsi="Arial" w:cs="Arial"/>
          <w:sz w:val="24"/>
          <w:szCs w:val="24"/>
          <w:lang w:val="en-US"/>
        </w:rPr>
      </w:pPr>
      <w:r w:rsidRPr="00A34D67">
        <w:rPr>
          <w:rFonts w:ascii="Arial" w:hAnsi="Arial" w:cs="Arial"/>
          <w:sz w:val="24"/>
          <w:szCs w:val="24"/>
          <w:lang w:val="en-US"/>
        </w:rPr>
        <w:t xml:space="preserve">‘Since it was created, the HRC has built up a considerable body of interpretative case law, in particular through its findings in response to the individual communications which may be submitted to it in respect of </w:t>
      </w:r>
      <w:r w:rsidR="002160DD">
        <w:rPr>
          <w:rFonts w:ascii="Arial" w:hAnsi="Arial" w:cs="Arial"/>
          <w:sz w:val="24"/>
          <w:szCs w:val="24"/>
          <w:lang w:val="en-US"/>
        </w:rPr>
        <w:t>s</w:t>
      </w:r>
      <w:r w:rsidR="006E5FD1">
        <w:rPr>
          <w:rFonts w:ascii="Arial" w:hAnsi="Arial" w:cs="Arial"/>
          <w:sz w:val="24"/>
          <w:szCs w:val="24"/>
          <w:lang w:val="en-US"/>
        </w:rPr>
        <w:t>tate parties</w:t>
      </w:r>
      <w:r w:rsidRPr="00A34D67">
        <w:rPr>
          <w:rFonts w:ascii="Arial" w:hAnsi="Arial" w:cs="Arial"/>
          <w:sz w:val="24"/>
          <w:szCs w:val="24"/>
          <w:lang w:val="en-US"/>
        </w:rPr>
        <w:t xml:space="preserve"> to the first Optional Protocol, and in the form of its ‘General Comments’. </w:t>
      </w:r>
    </w:p>
    <w:p w14:paraId="313765FD" w14:textId="30A1AA0F" w:rsidR="003041C2" w:rsidRPr="00A34D67" w:rsidRDefault="003041C2" w:rsidP="00401E4C">
      <w:pPr>
        <w:tabs>
          <w:tab w:val="left" w:pos="1701"/>
        </w:tabs>
        <w:spacing w:line="480" w:lineRule="auto"/>
        <w:ind w:left="851" w:right="1035"/>
        <w:rPr>
          <w:rFonts w:ascii="Arial" w:hAnsi="Arial" w:cs="Arial"/>
          <w:sz w:val="24"/>
          <w:szCs w:val="24"/>
          <w:lang w:val="en-US"/>
        </w:rPr>
      </w:pPr>
      <w:r w:rsidRPr="00A34D67">
        <w:rPr>
          <w:rFonts w:ascii="Arial" w:hAnsi="Arial" w:cs="Arial"/>
          <w:sz w:val="24"/>
          <w:szCs w:val="24"/>
          <w:lang w:val="en-US"/>
        </w:rPr>
        <w:t>Although the Court is in no way obliged, in the exercise of its judicial functions, to model its own interpretation of the Covenant on that of the Committee, it believes that it should ascribe great weight to the interpretation adopted by this independent body that was established specifically to supervise the application of that treaty. The point here is to achieve the necessary clarity and the essential consistency of international law, as well as legal security, to which both the individuals with guaranteed rights and the State obliged to comply with treaty obligations are entitled.’</w:t>
      </w:r>
      <w:r w:rsidRPr="00A34D67">
        <w:rPr>
          <w:rStyle w:val="FootnoteReference"/>
          <w:rFonts w:ascii="Arial" w:hAnsi="Arial" w:cs="Arial"/>
          <w:sz w:val="24"/>
          <w:szCs w:val="24"/>
          <w:lang w:val="en-US"/>
        </w:rPr>
        <w:footnoteReference w:id="274"/>
      </w:r>
    </w:p>
    <w:p w14:paraId="6EFE2972" w14:textId="5FE1D810" w:rsidR="000F5438" w:rsidRPr="007435A3" w:rsidRDefault="00727111" w:rsidP="00401E4C">
      <w:pPr>
        <w:tabs>
          <w:tab w:val="left" w:pos="1701"/>
        </w:tabs>
        <w:spacing w:line="480" w:lineRule="auto"/>
        <w:rPr>
          <w:rFonts w:ascii="Arial" w:hAnsi="Arial" w:cs="Arial"/>
          <w:color w:val="FF0000"/>
          <w:sz w:val="24"/>
          <w:szCs w:val="24"/>
        </w:rPr>
      </w:pPr>
      <w:r w:rsidRPr="00A34D67">
        <w:rPr>
          <w:rFonts w:ascii="Arial" w:hAnsi="Arial" w:cs="Arial"/>
          <w:sz w:val="24"/>
          <w:szCs w:val="24"/>
          <w:lang w:val="en-US"/>
        </w:rPr>
        <w:t>It is evident from the above passage that</w:t>
      </w:r>
      <w:r w:rsidRPr="00A34D67">
        <w:rPr>
          <w:rFonts w:ascii="Arial" w:hAnsi="Arial" w:cs="Arial"/>
          <w:color w:val="FF0000"/>
          <w:sz w:val="24"/>
          <w:szCs w:val="24"/>
          <w:lang w:val="en-US"/>
        </w:rPr>
        <w:t xml:space="preserve"> </w:t>
      </w:r>
      <w:r w:rsidR="003041C2" w:rsidRPr="00A34D67">
        <w:rPr>
          <w:rFonts w:ascii="Arial" w:hAnsi="Arial" w:cs="Arial"/>
          <w:sz w:val="24"/>
          <w:szCs w:val="24"/>
          <w:lang w:val="en-US"/>
        </w:rPr>
        <w:t xml:space="preserve">the ICJ </w:t>
      </w:r>
      <w:r w:rsidR="00127978" w:rsidRPr="00A34D67">
        <w:rPr>
          <w:rFonts w:ascii="Arial" w:hAnsi="Arial" w:cs="Arial"/>
          <w:sz w:val="24"/>
          <w:szCs w:val="24"/>
          <w:lang w:val="en-US"/>
        </w:rPr>
        <w:t>regards</w:t>
      </w:r>
      <w:r w:rsidR="003041C2" w:rsidRPr="00A34D67">
        <w:rPr>
          <w:rFonts w:ascii="Arial" w:hAnsi="Arial" w:cs="Arial"/>
          <w:sz w:val="24"/>
          <w:szCs w:val="24"/>
          <w:lang w:val="en-US"/>
        </w:rPr>
        <w:t xml:space="preserve"> HRC decisions </w:t>
      </w:r>
      <w:r w:rsidR="00545DDF" w:rsidRPr="00A34D67">
        <w:rPr>
          <w:rFonts w:ascii="Arial" w:hAnsi="Arial" w:cs="Arial"/>
          <w:sz w:val="24"/>
          <w:szCs w:val="24"/>
          <w:lang w:val="en-US"/>
        </w:rPr>
        <w:t xml:space="preserve">and its General Comments </w:t>
      </w:r>
      <w:r w:rsidR="00127978" w:rsidRPr="00A34D67">
        <w:rPr>
          <w:rFonts w:ascii="Arial" w:hAnsi="Arial" w:cs="Arial"/>
          <w:sz w:val="24"/>
          <w:szCs w:val="24"/>
          <w:lang w:val="en-US"/>
        </w:rPr>
        <w:t>in the same manner as</w:t>
      </w:r>
      <w:r w:rsidR="003041C2" w:rsidRPr="00A34D67">
        <w:rPr>
          <w:rFonts w:ascii="Arial" w:hAnsi="Arial" w:cs="Arial"/>
          <w:sz w:val="24"/>
          <w:szCs w:val="24"/>
          <w:lang w:val="en-US"/>
        </w:rPr>
        <w:t xml:space="preserve"> judicial decisions.</w:t>
      </w:r>
      <w:r w:rsidR="00851D17" w:rsidRPr="00A34D67">
        <w:rPr>
          <w:rStyle w:val="FootnoteReference"/>
          <w:rFonts w:ascii="Arial" w:hAnsi="Arial" w:cs="Arial"/>
          <w:sz w:val="24"/>
          <w:szCs w:val="24"/>
          <w:lang w:val="en-US"/>
        </w:rPr>
        <w:footnoteReference w:id="275"/>
      </w:r>
      <w:r w:rsidR="003041C2" w:rsidRPr="00A34D67">
        <w:rPr>
          <w:rFonts w:ascii="Arial" w:hAnsi="Arial" w:cs="Arial"/>
          <w:color w:val="FF0000"/>
          <w:sz w:val="24"/>
          <w:szCs w:val="24"/>
          <w:lang w:val="en-US"/>
        </w:rPr>
        <w:t xml:space="preserve"> </w:t>
      </w:r>
      <w:r w:rsidR="007435A3" w:rsidRPr="001364FC">
        <w:rPr>
          <w:rFonts w:ascii="Arial" w:hAnsi="Arial" w:cs="Arial"/>
          <w:sz w:val="24"/>
          <w:szCs w:val="24"/>
        </w:rPr>
        <w:t xml:space="preserve">General Comments are frequently </w:t>
      </w:r>
      <w:r w:rsidR="001364FC">
        <w:rPr>
          <w:rFonts w:ascii="Arial" w:hAnsi="Arial" w:cs="Arial"/>
          <w:sz w:val="24"/>
          <w:szCs w:val="24"/>
        </w:rPr>
        <w:t>regarded</w:t>
      </w:r>
      <w:r w:rsidR="007435A3" w:rsidRPr="001364FC">
        <w:rPr>
          <w:rFonts w:ascii="Arial" w:hAnsi="Arial" w:cs="Arial"/>
          <w:sz w:val="24"/>
          <w:szCs w:val="24"/>
        </w:rPr>
        <w:t xml:space="preserve"> as the ‘attendant product’ to direct states on the </w:t>
      </w:r>
      <w:r w:rsidR="001364FC" w:rsidRPr="001364FC">
        <w:rPr>
          <w:rFonts w:ascii="Arial" w:hAnsi="Arial" w:cs="Arial"/>
          <w:sz w:val="24"/>
          <w:szCs w:val="24"/>
        </w:rPr>
        <w:t>extent</w:t>
      </w:r>
      <w:r w:rsidR="007435A3" w:rsidRPr="001364FC">
        <w:rPr>
          <w:rFonts w:ascii="Arial" w:hAnsi="Arial" w:cs="Arial"/>
          <w:sz w:val="24"/>
          <w:szCs w:val="24"/>
        </w:rPr>
        <w:t xml:space="preserve"> of treaty obligations.</w:t>
      </w:r>
      <w:r w:rsidR="007435A3" w:rsidRPr="001364FC">
        <w:rPr>
          <w:rStyle w:val="FootnoteReference"/>
          <w:rFonts w:ascii="Arial" w:hAnsi="Arial" w:cs="Arial"/>
          <w:sz w:val="24"/>
          <w:szCs w:val="24"/>
        </w:rPr>
        <w:footnoteReference w:id="276"/>
      </w:r>
      <w:r w:rsidR="007435A3" w:rsidRPr="001364FC">
        <w:rPr>
          <w:rFonts w:ascii="Arial" w:hAnsi="Arial" w:cs="Arial"/>
          <w:sz w:val="24"/>
          <w:szCs w:val="24"/>
        </w:rPr>
        <w:t xml:space="preserve"> </w:t>
      </w:r>
      <w:r w:rsidR="00F62F63" w:rsidRPr="00A34D67">
        <w:rPr>
          <w:rFonts w:ascii="Arial" w:hAnsi="Arial" w:cs="Arial"/>
          <w:sz w:val="24"/>
          <w:szCs w:val="24"/>
          <w:lang w:val="en-US"/>
        </w:rPr>
        <w:t xml:space="preserve">The term </w:t>
      </w:r>
      <w:r w:rsidR="003041C2" w:rsidRPr="00A34D67">
        <w:rPr>
          <w:rFonts w:ascii="Arial" w:hAnsi="Arial" w:cs="Arial"/>
          <w:sz w:val="24"/>
          <w:szCs w:val="24"/>
          <w:lang w:val="en-US"/>
        </w:rPr>
        <w:t xml:space="preserve">‘interpretative’ also </w:t>
      </w:r>
      <w:r w:rsidR="00F62F63" w:rsidRPr="00A34D67">
        <w:rPr>
          <w:rFonts w:ascii="Arial" w:hAnsi="Arial" w:cs="Arial"/>
          <w:sz w:val="24"/>
          <w:szCs w:val="24"/>
          <w:lang w:val="en-US"/>
        </w:rPr>
        <w:t xml:space="preserve">indicates the ICJ’s </w:t>
      </w:r>
      <w:r w:rsidR="003041C2" w:rsidRPr="00A34D67">
        <w:rPr>
          <w:rFonts w:ascii="Arial" w:hAnsi="Arial" w:cs="Arial"/>
          <w:sz w:val="24"/>
          <w:szCs w:val="24"/>
          <w:lang w:val="en-US"/>
        </w:rPr>
        <w:t>acknowledge</w:t>
      </w:r>
      <w:r w:rsidR="00F62F63" w:rsidRPr="00A34D67">
        <w:rPr>
          <w:rFonts w:ascii="Arial" w:hAnsi="Arial" w:cs="Arial"/>
          <w:sz w:val="24"/>
          <w:szCs w:val="24"/>
          <w:lang w:val="en-US"/>
        </w:rPr>
        <w:t>ment of</w:t>
      </w:r>
      <w:r w:rsidR="003041C2" w:rsidRPr="00A34D67">
        <w:rPr>
          <w:rFonts w:ascii="Arial" w:hAnsi="Arial" w:cs="Arial"/>
          <w:sz w:val="24"/>
          <w:szCs w:val="24"/>
          <w:lang w:val="en-US"/>
        </w:rPr>
        <w:t xml:space="preserve"> the necessary </w:t>
      </w:r>
      <w:r w:rsidR="00F62F63" w:rsidRPr="00A34D67">
        <w:rPr>
          <w:rFonts w:ascii="Arial" w:hAnsi="Arial" w:cs="Arial"/>
          <w:sz w:val="24"/>
          <w:szCs w:val="24"/>
          <w:lang w:val="en-US"/>
        </w:rPr>
        <w:t xml:space="preserve">part the HRC plays in </w:t>
      </w:r>
      <w:r w:rsidR="003041C2" w:rsidRPr="00A34D67">
        <w:rPr>
          <w:rFonts w:ascii="Arial" w:hAnsi="Arial" w:cs="Arial"/>
          <w:sz w:val="24"/>
          <w:szCs w:val="24"/>
          <w:lang w:val="en-US"/>
        </w:rPr>
        <w:t xml:space="preserve">interpreting </w:t>
      </w:r>
      <w:r w:rsidR="003041C2" w:rsidRPr="000079EA">
        <w:rPr>
          <w:rFonts w:ascii="Arial" w:hAnsi="Arial" w:cs="Arial"/>
          <w:sz w:val="24"/>
          <w:szCs w:val="24"/>
          <w:lang w:val="en-US"/>
        </w:rPr>
        <w:t>the Covenant</w:t>
      </w:r>
      <w:r w:rsidR="00F62F63" w:rsidRPr="000079EA">
        <w:rPr>
          <w:rFonts w:ascii="Arial" w:hAnsi="Arial" w:cs="Arial"/>
          <w:sz w:val="24"/>
          <w:szCs w:val="24"/>
          <w:lang w:val="en-US"/>
        </w:rPr>
        <w:t>.</w:t>
      </w:r>
      <w:r w:rsidR="00394C49" w:rsidRPr="00A34D67">
        <w:rPr>
          <w:rFonts w:ascii="Arial" w:hAnsi="Arial" w:cs="Arial"/>
          <w:color w:val="FF0000"/>
          <w:sz w:val="24"/>
          <w:szCs w:val="24"/>
          <w:lang w:val="en-US"/>
        </w:rPr>
        <w:t xml:space="preserve"> </w:t>
      </w:r>
      <w:r w:rsidR="00766099" w:rsidRPr="00A34D67">
        <w:rPr>
          <w:rFonts w:ascii="Arial" w:hAnsi="Arial" w:cs="Arial"/>
          <w:sz w:val="24"/>
          <w:szCs w:val="24"/>
          <w:lang w:val="en-US"/>
        </w:rPr>
        <w:t>The ICJ understands that the need to interpret any treaty in the context of its object and purpose</w:t>
      </w:r>
      <w:r w:rsidR="003E4DEB" w:rsidRPr="00A34D67">
        <w:rPr>
          <w:rFonts w:ascii="Arial" w:hAnsi="Arial" w:cs="Arial"/>
          <w:sz w:val="24"/>
          <w:szCs w:val="24"/>
          <w:lang w:val="en-US"/>
        </w:rPr>
        <w:t xml:space="preserve"> </w:t>
      </w:r>
      <w:r w:rsidR="00CF14EE" w:rsidRPr="00A34D67">
        <w:rPr>
          <w:rFonts w:ascii="Arial" w:hAnsi="Arial" w:cs="Arial"/>
          <w:sz w:val="24"/>
          <w:szCs w:val="24"/>
          <w:lang w:val="en-US"/>
        </w:rPr>
        <w:t xml:space="preserve">will generate a biased human rights outcome with regard to </w:t>
      </w:r>
      <w:r w:rsidR="00815EF7" w:rsidRPr="00A34D67">
        <w:rPr>
          <w:rFonts w:ascii="Arial" w:hAnsi="Arial" w:cs="Arial"/>
          <w:sz w:val="24"/>
          <w:szCs w:val="24"/>
          <w:lang w:val="en-US"/>
        </w:rPr>
        <w:t>a human rights treaty.</w:t>
      </w:r>
      <w:r w:rsidR="003E4DEB" w:rsidRPr="00A34D67">
        <w:rPr>
          <w:rStyle w:val="FootnoteReference"/>
          <w:rFonts w:ascii="Arial" w:hAnsi="Arial" w:cs="Arial"/>
          <w:sz w:val="24"/>
          <w:szCs w:val="24"/>
          <w:lang w:val="en-US"/>
        </w:rPr>
        <w:footnoteReference w:id="277"/>
      </w:r>
      <w:r w:rsidR="003E4DEB" w:rsidRPr="00A34D67">
        <w:rPr>
          <w:rFonts w:ascii="Arial" w:hAnsi="Arial" w:cs="Arial"/>
          <w:color w:val="FF0000"/>
          <w:sz w:val="24"/>
          <w:szCs w:val="24"/>
          <w:lang w:val="en-US"/>
        </w:rPr>
        <w:t xml:space="preserve"> </w:t>
      </w:r>
      <w:r w:rsidR="00815EF7" w:rsidRPr="00A34D67">
        <w:rPr>
          <w:rFonts w:ascii="Arial" w:hAnsi="Arial" w:cs="Arial"/>
          <w:sz w:val="24"/>
          <w:szCs w:val="24"/>
          <w:lang w:val="en-US"/>
        </w:rPr>
        <w:t xml:space="preserve"> </w:t>
      </w:r>
    </w:p>
    <w:p w14:paraId="6EC14C6F" w14:textId="5A321805" w:rsidR="00032DF6" w:rsidRPr="00AE3DBD" w:rsidRDefault="000F5438" w:rsidP="00401E4C">
      <w:pPr>
        <w:tabs>
          <w:tab w:val="left" w:pos="1701"/>
        </w:tabs>
        <w:spacing w:line="480" w:lineRule="auto"/>
        <w:rPr>
          <w:rFonts w:ascii="Arial" w:hAnsi="Arial" w:cs="Arial"/>
          <w:color w:val="FF0000"/>
          <w:sz w:val="24"/>
          <w:szCs w:val="24"/>
          <w:lang w:val="en-US"/>
        </w:rPr>
      </w:pPr>
      <w:r w:rsidRPr="00A34D67">
        <w:rPr>
          <w:rFonts w:ascii="Arial" w:hAnsi="Arial" w:cs="Arial"/>
          <w:sz w:val="24"/>
          <w:szCs w:val="24"/>
          <w:lang w:val="en-US"/>
        </w:rPr>
        <w:t xml:space="preserve">The ICJ also recognises that the ‘legal </w:t>
      </w:r>
      <w:r w:rsidR="006B308F">
        <w:rPr>
          <w:rFonts w:ascii="Arial" w:hAnsi="Arial" w:cs="Arial"/>
          <w:sz w:val="24"/>
          <w:szCs w:val="24"/>
          <w:lang w:val="en-US"/>
        </w:rPr>
        <w:t>security’ of the s</w:t>
      </w:r>
      <w:r w:rsidRPr="00A34D67">
        <w:rPr>
          <w:rFonts w:ascii="Arial" w:hAnsi="Arial" w:cs="Arial"/>
          <w:sz w:val="24"/>
          <w:szCs w:val="24"/>
          <w:lang w:val="en-US"/>
        </w:rPr>
        <w:t>tate party duty bearers must be e</w:t>
      </w:r>
      <w:r w:rsidR="001E6EC4" w:rsidRPr="00A34D67">
        <w:rPr>
          <w:rFonts w:ascii="Arial" w:hAnsi="Arial" w:cs="Arial"/>
          <w:sz w:val="24"/>
          <w:szCs w:val="24"/>
          <w:lang w:val="en-US"/>
        </w:rPr>
        <w:t>nsured</w:t>
      </w:r>
      <w:r w:rsidRPr="00A34D67">
        <w:rPr>
          <w:rFonts w:ascii="Arial" w:hAnsi="Arial" w:cs="Arial"/>
          <w:sz w:val="24"/>
          <w:szCs w:val="24"/>
          <w:lang w:val="en-US"/>
        </w:rPr>
        <w:t>.</w:t>
      </w:r>
      <w:r w:rsidR="001E6EC4" w:rsidRPr="00A34D67">
        <w:rPr>
          <w:rStyle w:val="FootnoteReference"/>
          <w:rFonts w:ascii="Arial" w:hAnsi="Arial" w:cs="Arial"/>
          <w:sz w:val="24"/>
          <w:szCs w:val="24"/>
          <w:lang w:val="en-US"/>
        </w:rPr>
        <w:footnoteReference w:id="278"/>
      </w:r>
      <w:r w:rsidRPr="00A34D67">
        <w:rPr>
          <w:rFonts w:ascii="Arial" w:hAnsi="Arial" w:cs="Arial"/>
          <w:sz w:val="24"/>
          <w:szCs w:val="24"/>
          <w:lang w:val="en-US"/>
        </w:rPr>
        <w:t xml:space="preserve"> </w:t>
      </w:r>
      <w:r w:rsidR="007F281C" w:rsidRPr="00A34D67">
        <w:rPr>
          <w:rFonts w:ascii="Arial" w:hAnsi="Arial" w:cs="Arial"/>
          <w:sz w:val="24"/>
          <w:szCs w:val="24"/>
          <w:lang w:val="en-US"/>
        </w:rPr>
        <w:t xml:space="preserve">With regard to </w:t>
      </w:r>
      <w:r w:rsidR="000B6DE8" w:rsidRPr="00A34D67">
        <w:rPr>
          <w:rFonts w:ascii="Arial" w:hAnsi="Arial" w:cs="Arial"/>
          <w:sz w:val="24"/>
          <w:szCs w:val="24"/>
          <w:lang w:val="en-US"/>
        </w:rPr>
        <w:t xml:space="preserve">the </w:t>
      </w:r>
      <w:r w:rsidR="007F281C" w:rsidRPr="00A34D67">
        <w:rPr>
          <w:rFonts w:ascii="Arial" w:hAnsi="Arial" w:cs="Arial"/>
          <w:sz w:val="24"/>
          <w:szCs w:val="24"/>
          <w:lang w:val="en-US"/>
        </w:rPr>
        <w:t>fragmentation</w:t>
      </w:r>
      <w:r w:rsidR="000B6DE8" w:rsidRPr="00A34D67">
        <w:rPr>
          <w:rFonts w:ascii="Arial" w:hAnsi="Arial" w:cs="Arial"/>
          <w:sz w:val="24"/>
          <w:szCs w:val="24"/>
          <w:lang w:val="en-US"/>
        </w:rPr>
        <w:t xml:space="preserve"> question in the above passage</w:t>
      </w:r>
      <w:r w:rsidR="007F281C" w:rsidRPr="00A34D67">
        <w:rPr>
          <w:rFonts w:ascii="Arial" w:hAnsi="Arial" w:cs="Arial"/>
          <w:sz w:val="24"/>
          <w:szCs w:val="24"/>
          <w:lang w:val="en-US"/>
        </w:rPr>
        <w:t>, t</w:t>
      </w:r>
      <w:r w:rsidR="00114E8D" w:rsidRPr="00A34D67">
        <w:rPr>
          <w:rFonts w:ascii="Arial" w:hAnsi="Arial" w:cs="Arial"/>
          <w:sz w:val="24"/>
          <w:szCs w:val="24"/>
          <w:lang w:val="en-US"/>
        </w:rPr>
        <w:t xml:space="preserve">he HRC must speak with the </w:t>
      </w:r>
      <w:r w:rsidR="001E6938" w:rsidRPr="00A34D67">
        <w:rPr>
          <w:rFonts w:ascii="Arial" w:hAnsi="Arial" w:cs="Arial"/>
          <w:sz w:val="24"/>
          <w:szCs w:val="24"/>
          <w:lang w:val="en-US"/>
        </w:rPr>
        <w:t xml:space="preserve">interpretative </w:t>
      </w:r>
      <w:r w:rsidR="00114E8D" w:rsidRPr="00A34D67">
        <w:rPr>
          <w:rFonts w:ascii="Arial" w:hAnsi="Arial" w:cs="Arial"/>
          <w:sz w:val="24"/>
          <w:szCs w:val="24"/>
          <w:lang w:val="en-US"/>
        </w:rPr>
        <w:t xml:space="preserve">authority assigned to it by the Covenant. </w:t>
      </w:r>
      <w:r w:rsidR="001E6938" w:rsidRPr="00A34D67">
        <w:rPr>
          <w:rFonts w:ascii="Arial" w:hAnsi="Arial" w:cs="Arial"/>
          <w:sz w:val="24"/>
          <w:szCs w:val="24"/>
          <w:lang w:val="en-US"/>
        </w:rPr>
        <w:t xml:space="preserve">Therefore, in </w:t>
      </w:r>
      <w:r w:rsidR="001E6938" w:rsidRPr="00A34D67">
        <w:rPr>
          <w:rFonts w:ascii="Arial" w:hAnsi="Arial" w:cs="Arial"/>
          <w:i/>
          <w:sz w:val="24"/>
          <w:szCs w:val="24"/>
          <w:lang w:val="en-US"/>
        </w:rPr>
        <w:t>Diallo</w:t>
      </w:r>
      <w:r w:rsidR="001E6938" w:rsidRPr="00A34D67">
        <w:rPr>
          <w:rFonts w:ascii="Arial" w:hAnsi="Arial" w:cs="Arial"/>
          <w:sz w:val="24"/>
          <w:szCs w:val="24"/>
          <w:lang w:val="en-US"/>
        </w:rPr>
        <w:t>,</w:t>
      </w:r>
      <w:r w:rsidR="001E6938" w:rsidRPr="00A34D67">
        <w:rPr>
          <w:rStyle w:val="FootnoteReference"/>
          <w:rFonts w:ascii="Arial" w:hAnsi="Arial" w:cs="Arial"/>
          <w:sz w:val="24"/>
          <w:szCs w:val="24"/>
          <w:lang w:val="en-US"/>
        </w:rPr>
        <w:footnoteReference w:id="279"/>
      </w:r>
      <w:r w:rsidR="001E6938" w:rsidRPr="00A34D67">
        <w:rPr>
          <w:rFonts w:ascii="Arial" w:hAnsi="Arial" w:cs="Arial"/>
          <w:sz w:val="24"/>
          <w:szCs w:val="24"/>
          <w:lang w:val="en-US"/>
        </w:rPr>
        <w:t xml:space="preserve"> the ICJ</w:t>
      </w:r>
      <w:r w:rsidR="001E6938" w:rsidRPr="00A34D67">
        <w:rPr>
          <w:rFonts w:ascii="Arial" w:hAnsi="Arial" w:cs="Arial"/>
          <w:i/>
          <w:sz w:val="24"/>
          <w:szCs w:val="24"/>
          <w:lang w:val="en-US"/>
        </w:rPr>
        <w:t xml:space="preserve"> </w:t>
      </w:r>
      <w:r w:rsidR="001E6938" w:rsidRPr="00A34D67">
        <w:rPr>
          <w:rFonts w:ascii="Arial" w:hAnsi="Arial" w:cs="Arial"/>
          <w:sz w:val="24"/>
          <w:szCs w:val="24"/>
          <w:lang w:val="en-US"/>
        </w:rPr>
        <w:t>confirmed the determinative status allocated to both HRC communications and General Comments</w:t>
      </w:r>
      <w:r w:rsidR="00686739" w:rsidRPr="00A34D67">
        <w:rPr>
          <w:rFonts w:ascii="Arial" w:hAnsi="Arial" w:cs="Arial"/>
          <w:sz w:val="24"/>
          <w:szCs w:val="24"/>
          <w:lang w:val="en-US"/>
        </w:rPr>
        <w:t xml:space="preserve">. </w:t>
      </w:r>
    </w:p>
    <w:p w14:paraId="679D59BA" w14:textId="04C3C6CE" w:rsidR="00406402" w:rsidRDefault="002E2491" w:rsidP="00401E4C">
      <w:pPr>
        <w:tabs>
          <w:tab w:val="left" w:pos="1701"/>
        </w:tabs>
        <w:spacing w:line="480" w:lineRule="auto"/>
        <w:rPr>
          <w:rFonts w:ascii="Arial" w:hAnsi="Arial" w:cs="Arial"/>
          <w:sz w:val="24"/>
          <w:szCs w:val="24"/>
        </w:rPr>
      </w:pPr>
      <w:r w:rsidRPr="00A34D67">
        <w:rPr>
          <w:rFonts w:ascii="Arial" w:hAnsi="Arial" w:cs="Arial"/>
          <w:sz w:val="24"/>
          <w:szCs w:val="24"/>
          <w:lang w:val="en-US"/>
        </w:rPr>
        <w:t>Sir Robert Jennings noted</w:t>
      </w:r>
      <w:r w:rsidR="009B0FED">
        <w:rPr>
          <w:rFonts w:ascii="Arial" w:hAnsi="Arial" w:cs="Arial"/>
          <w:sz w:val="24"/>
          <w:szCs w:val="24"/>
          <w:lang w:val="en-US"/>
        </w:rPr>
        <w:t xml:space="preserve"> in </w:t>
      </w:r>
      <w:r w:rsidR="009B0FED">
        <w:rPr>
          <w:rFonts w:ascii="Arial" w:hAnsi="Arial" w:cs="Arial"/>
          <w:i/>
          <w:sz w:val="24"/>
          <w:szCs w:val="24"/>
          <w:lang w:val="en-US"/>
        </w:rPr>
        <w:t>Loizidou</w:t>
      </w:r>
      <w:r w:rsidRPr="00A34D67">
        <w:rPr>
          <w:rFonts w:ascii="Arial" w:hAnsi="Arial" w:cs="Arial"/>
          <w:sz w:val="24"/>
          <w:szCs w:val="24"/>
          <w:lang w:val="en-US"/>
        </w:rPr>
        <w:t xml:space="preserve"> that Turkey</w:t>
      </w:r>
      <w:r w:rsidR="00843E4B" w:rsidRPr="00A34D67">
        <w:rPr>
          <w:rStyle w:val="FootnoteReference"/>
          <w:rFonts w:ascii="Arial" w:hAnsi="Arial" w:cs="Arial"/>
          <w:sz w:val="24"/>
          <w:szCs w:val="24"/>
          <w:lang w:val="en-US"/>
        </w:rPr>
        <w:footnoteReference w:id="280"/>
      </w:r>
      <w:r w:rsidRPr="00A34D67">
        <w:rPr>
          <w:rFonts w:ascii="Arial" w:hAnsi="Arial" w:cs="Arial"/>
          <w:sz w:val="24"/>
          <w:szCs w:val="24"/>
          <w:lang w:val="en-US"/>
        </w:rPr>
        <w:t xml:space="preserve"> ha</w:t>
      </w:r>
      <w:r w:rsidR="001B3AE1" w:rsidRPr="00A34D67">
        <w:rPr>
          <w:rFonts w:ascii="Arial" w:hAnsi="Arial" w:cs="Arial"/>
          <w:sz w:val="24"/>
          <w:szCs w:val="24"/>
          <w:lang w:val="en-US"/>
        </w:rPr>
        <w:t>d</w:t>
      </w:r>
      <w:r w:rsidRPr="00A34D67">
        <w:rPr>
          <w:rFonts w:ascii="Arial" w:hAnsi="Arial" w:cs="Arial"/>
          <w:sz w:val="24"/>
          <w:szCs w:val="24"/>
          <w:lang w:val="en-US"/>
        </w:rPr>
        <w:t xml:space="preserve"> previously </w:t>
      </w:r>
      <w:r w:rsidR="00843E4B" w:rsidRPr="00A34D67">
        <w:rPr>
          <w:rFonts w:ascii="Arial" w:hAnsi="Arial" w:cs="Arial"/>
          <w:sz w:val="24"/>
          <w:szCs w:val="24"/>
          <w:lang w:val="en-US"/>
        </w:rPr>
        <w:t>accepted the application</w:t>
      </w:r>
      <w:r w:rsidRPr="00A34D67">
        <w:rPr>
          <w:rFonts w:ascii="Arial" w:hAnsi="Arial" w:cs="Arial"/>
          <w:sz w:val="24"/>
          <w:szCs w:val="24"/>
          <w:lang w:val="en-US"/>
        </w:rPr>
        <w:t xml:space="preserve"> </w:t>
      </w:r>
      <w:r w:rsidR="00EC5357">
        <w:rPr>
          <w:rFonts w:ascii="Arial" w:hAnsi="Arial" w:cs="Arial"/>
          <w:sz w:val="24"/>
          <w:szCs w:val="24"/>
          <w:lang w:val="en-US"/>
        </w:rPr>
        <w:t xml:space="preserve">of the </w:t>
      </w:r>
      <w:r w:rsidRPr="00A34D67">
        <w:rPr>
          <w:rFonts w:ascii="Arial" w:hAnsi="Arial" w:cs="Arial"/>
          <w:sz w:val="24"/>
          <w:szCs w:val="24"/>
          <w:lang w:val="en-US"/>
        </w:rPr>
        <w:t>European Convention</w:t>
      </w:r>
      <w:r w:rsidRPr="00A34D67">
        <w:rPr>
          <w:rStyle w:val="FootnoteReference"/>
          <w:rFonts w:ascii="Arial" w:hAnsi="Arial" w:cs="Arial"/>
          <w:sz w:val="24"/>
          <w:szCs w:val="24"/>
          <w:lang w:val="en-US"/>
        </w:rPr>
        <w:footnoteReference w:id="281"/>
      </w:r>
      <w:r w:rsidR="00843E4B" w:rsidRPr="00A34D67">
        <w:rPr>
          <w:rFonts w:ascii="Arial" w:hAnsi="Arial" w:cs="Arial"/>
          <w:sz w:val="24"/>
          <w:szCs w:val="24"/>
          <w:lang w:val="en-US"/>
        </w:rPr>
        <w:t xml:space="preserve"> and the competence of the Court concerning ‘matters coming within Article 1 of the Convention and performed</w:t>
      </w:r>
      <w:r w:rsidR="00FD3ED1" w:rsidRPr="00A34D67">
        <w:rPr>
          <w:rFonts w:ascii="Arial" w:hAnsi="Arial" w:cs="Arial"/>
          <w:sz w:val="24"/>
          <w:szCs w:val="24"/>
          <w:lang w:val="en-US"/>
        </w:rPr>
        <w:t xml:space="preserve"> within the boundary of the national territory of the Republic of Turkey’, a reservation which was </w:t>
      </w:r>
      <w:r w:rsidR="00450C36" w:rsidRPr="00A34D67">
        <w:rPr>
          <w:rFonts w:ascii="Arial" w:hAnsi="Arial" w:cs="Arial"/>
          <w:sz w:val="24"/>
          <w:szCs w:val="24"/>
          <w:lang w:val="en-US"/>
        </w:rPr>
        <w:t>clearly</w:t>
      </w:r>
      <w:r w:rsidR="00FD3ED1" w:rsidRPr="00A34D67">
        <w:rPr>
          <w:rFonts w:ascii="Arial" w:hAnsi="Arial" w:cs="Arial"/>
          <w:sz w:val="24"/>
          <w:szCs w:val="24"/>
          <w:lang w:val="en-US"/>
        </w:rPr>
        <w:t xml:space="preserve"> </w:t>
      </w:r>
      <w:r w:rsidR="0090301E" w:rsidRPr="00A34D67">
        <w:rPr>
          <w:rFonts w:ascii="Arial" w:hAnsi="Arial" w:cs="Arial"/>
          <w:sz w:val="24"/>
          <w:szCs w:val="24"/>
          <w:lang w:val="en-US"/>
        </w:rPr>
        <w:t>‘</w:t>
      </w:r>
      <w:r w:rsidR="00FD3ED1" w:rsidRPr="00A34D67">
        <w:rPr>
          <w:rFonts w:ascii="Arial" w:hAnsi="Arial" w:cs="Arial"/>
          <w:sz w:val="24"/>
          <w:szCs w:val="24"/>
          <w:lang w:val="en-US"/>
        </w:rPr>
        <w:t>intended to exclude the northern part of Cyprus from the jurisdiction of the European Court</w:t>
      </w:r>
      <w:r w:rsidR="0090301E" w:rsidRPr="00A34D67">
        <w:rPr>
          <w:rFonts w:ascii="Arial" w:hAnsi="Arial" w:cs="Arial"/>
          <w:sz w:val="24"/>
          <w:szCs w:val="24"/>
          <w:lang w:val="en-US"/>
        </w:rPr>
        <w:t>’</w:t>
      </w:r>
      <w:r w:rsidR="00FD3ED1" w:rsidRPr="00A34D67">
        <w:rPr>
          <w:rFonts w:ascii="Arial" w:hAnsi="Arial" w:cs="Arial"/>
          <w:sz w:val="24"/>
          <w:szCs w:val="24"/>
          <w:lang w:val="en-US"/>
        </w:rPr>
        <w:t>.</w:t>
      </w:r>
      <w:r w:rsidR="0090301E" w:rsidRPr="00A34D67">
        <w:rPr>
          <w:rStyle w:val="FootnoteReference"/>
          <w:rFonts w:ascii="Arial" w:hAnsi="Arial" w:cs="Arial"/>
          <w:sz w:val="24"/>
          <w:szCs w:val="24"/>
          <w:lang w:val="en-US"/>
        </w:rPr>
        <w:footnoteReference w:id="282"/>
      </w:r>
      <w:r w:rsidR="008B1F88" w:rsidRPr="00A34D67">
        <w:rPr>
          <w:rFonts w:ascii="Arial" w:hAnsi="Arial" w:cs="Arial"/>
          <w:color w:val="FF0000"/>
          <w:sz w:val="24"/>
          <w:szCs w:val="24"/>
          <w:lang w:val="en-US"/>
        </w:rPr>
        <w:t xml:space="preserve"> </w:t>
      </w:r>
      <w:r w:rsidR="00CE5CC6" w:rsidRPr="00A34D67">
        <w:rPr>
          <w:rFonts w:ascii="Arial" w:hAnsi="Arial" w:cs="Arial"/>
          <w:sz w:val="24"/>
          <w:szCs w:val="24"/>
          <w:lang w:val="en-US"/>
        </w:rPr>
        <w:t>The</w:t>
      </w:r>
      <w:r w:rsidR="00FD3ED1" w:rsidRPr="00A34D67">
        <w:rPr>
          <w:rFonts w:ascii="Arial" w:hAnsi="Arial" w:cs="Arial"/>
          <w:sz w:val="24"/>
          <w:szCs w:val="24"/>
          <w:lang w:val="en-US"/>
        </w:rPr>
        <w:t xml:space="preserve"> ‘invalid’ Turkish reservation was</w:t>
      </w:r>
      <w:r w:rsidR="00CE5CC6" w:rsidRPr="00A34D67">
        <w:rPr>
          <w:rFonts w:ascii="Arial" w:hAnsi="Arial" w:cs="Arial"/>
          <w:sz w:val="24"/>
          <w:szCs w:val="24"/>
          <w:lang w:val="en-US"/>
        </w:rPr>
        <w:t xml:space="preserve"> considered to be</w:t>
      </w:r>
      <w:r w:rsidR="00FD3ED1" w:rsidRPr="00A34D67">
        <w:rPr>
          <w:rFonts w:ascii="Arial" w:hAnsi="Arial" w:cs="Arial"/>
          <w:sz w:val="24"/>
          <w:szCs w:val="24"/>
          <w:lang w:val="en-US"/>
        </w:rPr>
        <w:t xml:space="preserve"> severable</w:t>
      </w:r>
      <w:r w:rsidR="00CE5CC6" w:rsidRPr="00A34D67">
        <w:rPr>
          <w:rFonts w:ascii="Arial" w:hAnsi="Arial" w:cs="Arial"/>
          <w:sz w:val="24"/>
          <w:szCs w:val="24"/>
          <w:lang w:val="en-US"/>
        </w:rPr>
        <w:t xml:space="preserve"> by the Grand Chamber of the </w:t>
      </w:r>
      <w:r w:rsidR="001238D2" w:rsidRPr="00A34D67">
        <w:rPr>
          <w:rFonts w:ascii="Arial" w:hAnsi="Arial" w:cs="Arial"/>
          <w:sz w:val="24"/>
          <w:szCs w:val="24"/>
          <w:lang w:val="en-US"/>
        </w:rPr>
        <w:t xml:space="preserve">European </w:t>
      </w:r>
      <w:r w:rsidR="00CE5CC6" w:rsidRPr="00A34D67">
        <w:rPr>
          <w:rFonts w:ascii="Arial" w:hAnsi="Arial" w:cs="Arial"/>
          <w:sz w:val="24"/>
          <w:szCs w:val="24"/>
          <w:lang w:val="en-US"/>
        </w:rPr>
        <w:t>Court</w:t>
      </w:r>
      <w:r w:rsidR="001238D2" w:rsidRPr="00A34D67">
        <w:rPr>
          <w:rFonts w:ascii="Arial" w:hAnsi="Arial" w:cs="Arial"/>
          <w:sz w:val="24"/>
          <w:szCs w:val="24"/>
          <w:lang w:val="en-US"/>
        </w:rPr>
        <w:t xml:space="preserve"> of Human Rights</w:t>
      </w:r>
      <w:r w:rsidR="00FD3ED1" w:rsidRPr="00A34D67">
        <w:rPr>
          <w:rFonts w:ascii="Arial" w:hAnsi="Arial" w:cs="Arial"/>
          <w:sz w:val="24"/>
          <w:szCs w:val="24"/>
          <w:lang w:val="en-US"/>
        </w:rPr>
        <w:t>,</w:t>
      </w:r>
      <w:r w:rsidR="00FD3ED1" w:rsidRPr="00A34D67">
        <w:rPr>
          <w:rFonts w:ascii="Arial" w:hAnsi="Arial" w:cs="Arial"/>
          <w:color w:val="FF0000"/>
          <w:sz w:val="24"/>
          <w:szCs w:val="24"/>
          <w:lang w:val="en-US"/>
        </w:rPr>
        <w:t xml:space="preserve"> </w:t>
      </w:r>
      <w:r w:rsidR="00CE5CC6" w:rsidRPr="00A34D67">
        <w:rPr>
          <w:rFonts w:ascii="Arial" w:hAnsi="Arial" w:cs="Arial"/>
          <w:sz w:val="24"/>
          <w:szCs w:val="24"/>
          <w:lang w:val="en-US"/>
        </w:rPr>
        <w:t xml:space="preserve">meaning that </w:t>
      </w:r>
      <w:r w:rsidR="00FD3ED1" w:rsidRPr="00A34D67">
        <w:rPr>
          <w:rFonts w:ascii="Arial" w:hAnsi="Arial" w:cs="Arial"/>
          <w:sz w:val="24"/>
          <w:szCs w:val="24"/>
          <w:lang w:val="en-US"/>
        </w:rPr>
        <w:t xml:space="preserve">Turkey </w:t>
      </w:r>
      <w:r w:rsidR="00CE5CC6" w:rsidRPr="00A34D67">
        <w:rPr>
          <w:rFonts w:ascii="Arial" w:hAnsi="Arial" w:cs="Arial"/>
          <w:sz w:val="24"/>
          <w:szCs w:val="24"/>
          <w:lang w:val="en-US"/>
        </w:rPr>
        <w:t>could make absolutely no reservations to t</w:t>
      </w:r>
      <w:r w:rsidR="00FD3ED1" w:rsidRPr="00A34D67">
        <w:rPr>
          <w:rFonts w:ascii="Arial" w:hAnsi="Arial" w:cs="Arial"/>
          <w:sz w:val="24"/>
          <w:szCs w:val="24"/>
          <w:lang w:val="en-US"/>
        </w:rPr>
        <w:t xml:space="preserve">he </w:t>
      </w:r>
      <w:r w:rsidR="00CE5CC6" w:rsidRPr="00A34D67">
        <w:rPr>
          <w:rFonts w:ascii="Arial" w:hAnsi="Arial" w:cs="Arial"/>
          <w:sz w:val="24"/>
          <w:szCs w:val="24"/>
          <w:lang w:val="en-US"/>
        </w:rPr>
        <w:t>competence of the Court</w:t>
      </w:r>
      <w:r w:rsidR="00FD3ED1" w:rsidRPr="00A34D67">
        <w:rPr>
          <w:rFonts w:ascii="Arial" w:hAnsi="Arial" w:cs="Arial"/>
          <w:sz w:val="24"/>
          <w:szCs w:val="24"/>
          <w:lang w:val="en-US"/>
        </w:rPr>
        <w:t>.</w:t>
      </w:r>
      <w:r w:rsidR="00FD3ED1" w:rsidRPr="00A34D67">
        <w:rPr>
          <w:rStyle w:val="FootnoteReference"/>
          <w:rFonts w:ascii="Arial" w:hAnsi="Arial" w:cs="Arial"/>
          <w:sz w:val="24"/>
          <w:szCs w:val="24"/>
          <w:lang w:val="en-US"/>
        </w:rPr>
        <w:footnoteReference w:id="283"/>
      </w:r>
      <w:r w:rsidR="002E11FB" w:rsidRPr="00A34D67">
        <w:rPr>
          <w:rFonts w:ascii="Arial" w:hAnsi="Arial" w:cs="Arial"/>
          <w:color w:val="FF0000"/>
          <w:sz w:val="24"/>
          <w:szCs w:val="24"/>
          <w:lang w:val="en-US"/>
        </w:rPr>
        <w:t xml:space="preserve"> </w:t>
      </w:r>
      <w:r w:rsidR="001238D2" w:rsidRPr="00A34D67">
        <w:rPr>
          <w:rFonts w:ascii="Arial" w:hAnsi="Arial" w:cs="Arial"/>
          <w:sz w:val="24"/>
          <w:szCs w:val="24"/>
        </w:rPr>
        <w:t>However, t</w:t>
      </w:r>
      <w:r w:rsidR="000700BA" w:rsidRPr="00A34D67">
        <w:rPr>
          <w:rFonts w:ascii="Arial" w:hAnsi="Arial" w:cs="Arial"/>
          <w:sz w:val="24"/>
          <w:szCs w:val="24"/>
        </w:rPr>
        <w:t>he former President of the ICJ made several reprobative comments in Jennings’ article,</w:t>
      </w:r>
      <w:r w:rsidR="00AC42F0" w:rsidRPr="00A34D67">
        <w:rPr>
          <w:rStyle w:val="FootnoteReference"/>
          <w:rFonts w:ascii="Arial" w:hAnsi="Arial" w:cs="Arial"/>
          <w:sz w:val="24"/>
          <w:szCs w:val="24"/>
        </w:rPr>
        <w:footnoteReference w:id="284"/>
      </w:r>
      <w:r w:rsidR="000700BA" w:rsidRPr="00A34D67">
        <w:rPr>
          <w:rFonts w:ascii="Arial" w:hAnsi="Arial" w:cs="Arial"/>
          <w:sz w:val="24"/>
          <w:szCs w:val="24"/>
        </w:rPr>
        <w:t xml:space="preserve"> arguing that the </w:t>
      </w:r>
      <w:r w:rsidR="000700BA" w:rsidRPr="00A34D67">
        <w:rPr>
          <w:rFonts w:ascii="Arial" w:hAnsi="Arial" w:cs="Arial"/>
          <w:i/>
          <w:iCs/>
          <w:sz w:val="24"/>
          <w:szCs w:val="24"/>
        </w:rPr>
        <w:t xml:space="preserve">Loizidou </w:t>
      </w:r>
      <w:r w:rsidR="000700BA" w:rsidRPr="00A34D67">
        <w:rPr>
          <w:rFonts w:ascii="Arial" w:hAnsi="Arial" w:cs="Arial"/>
          <w:sz w:val="24"/>
          <w:szCs w:val="24"/>
        </w:rPr>
        <w:t>decision on preliminary objections</w:t>
      </w:r>
      <w:r w:rsidR="00EE19BB">
        <w:rPr>
          <w:rFonts w:ascii="Arial" w:hAnsi="Arial" w:cs="Arial"/>
          <w:sz w:val="24"/>
          <w:szCs w:val="24"/>
        </w:rPr>
        <w:t xml:space="preserve"> </w:t>
      </w:r>
      <w:r w:rsidR="00AC42F0" w:rsidRPr="00A34D67">
        <w:rPr>
          <w:rFonts w:ascii="Arial" w:hAnsi="Arial" w:cs="Arial"/>
          <w:sz w:val="24"/>
          <w:szCs w:val="24"/>
        </w:rPr>
        <w:t>evidences</w:t>
      </w:r>
      <w:r w:rsidR="000700BA" w:rsidRPr="00A34D67">
        <w:rPr>
          <w:rFonts w:ascii="Arial" w:hAnsi="Arial" w:cs="Arial"/>
          <w:sz w:val="24"/>
          <w:szCs w:val="24"/>
        </w:rPr>
        <w:t xml:space="preserve"> </w:t>
      </w:r>
      <w:r w:rsidR="00AC42F0" w:rsidRPr="00A34D67">
        <w:rPr>
          <w:rFonts w:ascii="Arial" w:hAnsi="Arial" w:cs="Arial"/>
          <w:sz w:val="24"/>
          <w:szCs w:val="24"/>
        </w:rPr>
        <w:t>‘</w:t>
      </w:r>
      <w:r w:rsidR="000700BA" w:rsidRPr="00A34D67">
        <w:rPr>
          <w:rFonts w:ascii="Arial" w:hAnsi="Arial" w:cs="Arial"/>
          <w:sz w:val="24"/>
          <w:szCs w:val="24"/>
        </w:rPr>
        <w:t>the danger of fragmentation of international law due to the proliferation of international courts and tribunals</w:t>
      </w:r>
      <w:r w:rsidR="00AC42F0" w:rsidRPr="00A34D67">
        <w:rPr>
          <w:rFonts w:ascii="Arial" w:hAnsi="Arial" w:cs="Arial"/>
          <w:sz w:val="24"/>
          <w:szCs w:val="24"/>
        </w:rPr>
        <w:t>’</w:t>
      </w:r>
      <w:r w:rsidR="000700BA" w:rsidRPr="00A34D67">
        <w:rPr>
          <w:rFonts w:ascii="Arial" w:hAnsi="Arial" w:cs="Arial"/>
          <w:sz w:val="24"/>
          <w:szCs w:val="24"/>
        </w:rPr>
        <w:t>.</w:t>
      </w:r>
      <w:r w:rsidR="009B5060" w:rsidRPr="00A34D67">
        <w:rPr>
          <w:rStyle w:val="FootnoteReference"/>
          <w:rFonts w:ascii="Arial" w:hAnsi="Arial" w:cs="Arial"/>
          <w:sz w:val="24"/>
          <w:szCs w:val="24"/>
        </w:rPr>
        <w:footnoteReference w:id="285"/>
      </w:r>
      <w:r w:rsidR="000700BA" w:rsidRPr="00A34D67">
        <w:rPr>
          <w:rFonts w:ascii="Arial" w:hAnsi="Arial" w:cs="Arial"/>
          <w:sz w:val="24"/>
          <w:szCs w:val="24"/>
        </w:rPr>
        <w:t xml:space="preserve"> </w:t>
      </w:r>
    </w:p>
    <w:p w14:paraId="740B5BB9" w14:textId="5AD46E1D" w:rsidR="00FD2807" w:rsidRPr="00A34D67" w:rsidRDefault="00FD2807" w:rsidP="00401E4C">
      <w:pPr>
        <w:spacing w:line="480" w:lineRule="auto"/>
        <w:rPr>
          <w:rFonts w:ascii="Arial" w:hAnsi="Arial" w:cs="Arial"/>
          <w:sz w:val="24"/>
          <w:szCs w:val="24"/>
          <w:lang w:val="en-US"/>
        </w:rPr>
      </w:pPr>
      <w:r w:rsidRPr="00A34D67">
        <w:rPr>
          <w:rFonts w:ascii="Arial" w:hAnsi="Arial" w:cs="Arial"/>
          <w:sz w:val="24"/>
          <w:szCs w:val="24"/>
          <w:lang w:val="en-US"/>
        </w:rPr>
        <w:t xml:space="preserve">The </w:t>
      </w:r>
      <w:r w:rsidR="006A5348">
        <w:rPr>
          <w:rFonts w:ascii="Arial" w:hAnsi="Arial" w:cs="Arial"/>
          <w:sz w:val="24"/>
          <w:szCs w:val="24"/>
          <w:lang w:val="en-US"/>
        </w:rPr>
        <w:t xml:space="preserve">ILC’s </w:t>
      </w:r>
      <w:r w:rsidRPr="00A34D67">
        <w:rPr>
          <w:rFonts w:ascii="Arial" w:hAnsi="Arial" w:cs="Arial"/>
          <w:sz w:val="24"/>
          <w:szCs w:val="24"/>
          <w:lang w:val="en-US"/>
        </w:rPr>
        <w:t>Special Rapporteur on the topic of cus</w:t>
      </w:r>
      <w:r w:rsidR="00EE6643">
        <w:rPr>
          <w:rFonts w:ascii="Arial" w:hAnsi="Arial" w:cs="Arial"/>
          <w:sz w:val="24"/>
          <w:szCs w:val="24"/>
          <w:lang w:val="en-US"/>
        </w:rPr>
        <w:t>tom formation and identification</w:t>
      </w:r>
      <w:r>
        <w:rPr>
          <w:rFonts w:ascii="Arial" w:hAnsi="Arial" w:cs="Arial"/>
          <w:sz w:val="24"/>
          <w:szCs w:val="24"/>
          <w:lang w:val="en-US"/>
        </w:rPr>
        <w:t xml:space="preserve">, Sir Michael Wood, was </w:t>
      </w:r>
      <w:r w:rsidRPr="00A34D67">
        <w:rPr>
          <w:rFonts w:ascii="Arial" w:hAnsi="Arial" w:cs="Arial"/>
          <w:sz w:val="24"/>
          <w:szCs w:val="24"/>
          <w:lang w:val="en-US"/>
        </w:rPr>
        <w:t>very active in the area of reservations</w:t>
      </w:r>
      <w:r w:rsidR="00155253">
        <w:rPr>
          <w:rFonts w:ascii="Arial" w:hAnsi="Arial" w:cs="Arial"/>
          <w:sz w:val="24"/>
          <w:szCs w:val="24"/>
          <w:lang w:val="en-US"/>
        </w:rPr>
        <w:t xml:space="preserve"> and fragmentation </w:t>
      </w:r>
      <w:r w:rsidR="00907329">
        <w:rPr>
          <w:rFonts w:ascii="Arial" w:hAnsi="Arial" w:cs="Arial"/>
          <w:sz w:val="24"/>
          <w:szCs w:val="24"/>
          <w:lang w:val="en-US"/>
        </w:rPr>
        <w:t>in relation to</w:t>
      </w:r>
      <w:r w:rsidR="00155253">
        <w:rPr>
          <w:rFonts w:ascii="Arial" w:hAnsi="Arial" w:cs="Arial"/>
          <w:sz w:val="24"/>
          <w:szCs w:val="24"/>
          <w:lang w:val="en-US"/>
        </w:rPr>
        <w:t xml:space="preserve"> customary international law</w:t>
      </w:r>
      <w:r w:rsidRPr="00A34D67">
        <w:rPr>
          <w:rFonts w:ascii="Arial" w:hAnsi="Arial" w:cs="Arial"/>
          <w:sz w:val="24"/>
          <w:szCs w:val="24"/>
          <w:lang w:val="en-US"/>
        </w:rPr>
        <w:t>. In the European Journal of International Law, Wood studied the institutional aspects of the ILC guidelines,</w:t>
      </w:r>
      <w:r w:rsidRPr="00A34D67">
        <w:rPr>
          <w:rFonts w:ascii="Arial" w:hAnsi="Arial" w:cs="Arial"/>
          <w:color w:val="FF0000"/>
          <w:sz w:val="24"/>
          <w:szCs w:val="24"/>
          <w:lang w:val="en-US"/>
        </w:rPr>
        <w:t xml:space="preserve"> </w:t>
      </w:r>
      <w:r w:rsidRPr="00A34D67">
        <w:rPr>
          <w:rFonts w:ascii="Arial" w:hAnsi="Arial" w:cs="Arial"/>
          <w:sz w:val="24"/>
          <w:szCs w:val="24"/>
          <w:lang w:val="en-US"/>
        </w:rPr>
        <w:t xml:space="preserve">including: </w:t>
      </w:r>
    </w:p>
    <w:p w14:paraId="72CABF6A" w14:textId="77777777" w:rsidR="00FD2807" w:rsidRPr="00A34D67" w:rsidRDefault="00FD2807" w:rsidP="00401E4C">
      <w:pPr>
        <w:numPr>
          <w:ilvl w:val="0"/>
          <w:numId w:val="9"/>
        </w:numPr>
        <w:spacing w:line="480" w:lineRule="auto"/>
        <w:rPr>
          <w:rFonts w:ascii="Arial" w:hAnsi="Arial" w:cs="Arial"/>
          <w:sz w:val="24"/>
          <w:szCs w:val="24"/>
          <w:lang w:val="en-US"/>
        </w:rPr>
      </w:pPr>
      <w:r w:rsidRPr="00A34D67">
        <w:rPr>
          <w:rFonts w:ascii="Arial" w:hAnsi="Arial" w:cs="Arial"/>
          <w:sz w:val="24"/>
          <w:szCs w:val="24"/>
          <w:lang w:val="en-US"/>
        </w:rPr>
        <w:t xml:space="preserve">the role of depositaries; </w:t>
      </w:r>
    </w:p>
    <w:p w14:paraId="671E4569" w14:textId="77777777" w:rsidR="00FD2807" w:rsidRPr="00A34D67" w:rsidRDefault="00FD2807" w:rsidP="00401E4C">
      <w:pPr>
        <w:numPr>
          <w:ilvl w:val="0"/>
          <w:numId w:val="9"/>
        </w:numPr>
        <w:spacing w:line="480" w:lineRule="auto"/>
        <w:rPr>
          <w:rFonts w:ascii="Arial" w:hAnsi="Arial" w:cs="Arial"/>
          <w:sz w:val="24"/>
          <w:szCs w:val="24"/>
          <w:lang w:val="en-US"/>
        </w:rPr>
      </w:pPr>
      <w:r w:rsidRPr="00A34D67">
        <w:rPr>
          <w:rFonts w:ascii="Arial" w:hAnsi="Arial" w:cs="Arial"/>
          <w:sz w:val="24"/>
          <w:szCs w:val="24"/>
          <w:lang w:val="en-US"/>
        </w:rPr>
        <w:t xml:space="preserve">assessment of validity of reservations by dispute settlement and treaty monitoring bodies; </w:t>
      </w:r>
    </w:p>
    <w:p w14:paraId="0F59A962" w14:textId="77777777" w:rsidR="00FD2807" w:rsidRPr="00A34D67" w:rsidRDefault="00FD2807" w:rsidP="00401E4C">
      <w:pPr>
        <w:numPr>
          <w:ilvl w:val="0"/>
          <w:numId w:val="9"/>
        </w:numPr>
        <w:spacing w:line="480" w:lineRule="auto"/>
        <w:rPr>
          <w:rFonts w:ascii="Arial" w:hAnsi="Arial" w:cs="Arial"/>
          <w:sz w:val="24"/>
          <w:szCs w:val="24"/>
          <w:lang w:val="en-US"/>
        </w:rPr>
      </w:pPr>
      <w:r w:rsidRPr="00A34D67">
        <w:rPr>
          <w:rFonts w:ascii="Arial" w:hAnsi="Arial" w:cs="Arial"/>
          <w:sz w:val="24"/>
          <w:szCs w:val="24"/>
          <w:lang w:val="en-US"/>
        </w:rPr>
        <w:t xml:space="preserve">the series of nine conclusions on the ‘reservations dialogue’; </w:t>
      </w:r>
    </w:p>
    <w:p w14:paraId="7DC3DF14" w14:textId="77777777" w:rsidR="00FD2807" w:rsidRPr="00A34D67" w:rsidRDefault="00FD2807" w:rsidP="00401E4C">
      <w:pPr>
        <w:numPr>
          <w:ilvl w:val="0"/>
          <w:numId w:val="9"/>
        </w:numPr>
        <w:spacing w:line="480" w:lineRule="auto"/>
        <w:rPr>
          <w:rFonts w:ascii="Arial" w:hAnsi="Arial" w:cs="Arial"/>
          <w:sz w:val="24"/>
          <w:szCs w:val="24"/>
          <w:lang w:val="en-US"/>
        </w:rPr>
      </w:pPr>
      <w:r w:rsidRPr="00A34D67">
        <w:rPr>
          <w:rFonts w:ascii="Arial" w:hAnsi="Arial" w:cs="Arial"/>
          <w:sz w:val="24"/>
          <w:szCs w:val="24"/>
          <w:lang w:val="en-US"/>
        </w:rPr>
        <w:t>and finally the ILC recommendation to the UN General Assembly on mechanisms of assistance in relation to reservations.</w:t>
      </w:r>
    </w:p>
    <w:p w14:paraId="5BC88BB1" w14:textId="1820AB6B" w:rsidR="00C416B1" w:rsidRPr="00C416B1" w:rsidRDefault="00FD2807" w:rsidP="00401E4C">
      <w:pPr>
        <w:spacing w:line="480" w:lineRule="auto"/>
        <w:ind w:right="752"/>
        <w:rPr>
          <w:rFonts w:ascii="Arial" w:hAnsi="Arial" w:cs="Arial"/>
          <w:b/>
          <w:color w:val="008000"/>
          <w:sz w:val="24"/>
          <w:szCs w:val="24"/>
          <w:lang w:val="en-US"/>
        </w:rPr>
      </w:pPr>
      <w:r w:rsidRPr="00A34D67">
        <w:rPr>
          <w:rFonts w:ascii="Arial" w:hAnsi="Arial" w:cs="Arial"/>
          <w:sz w:val="24"/>
          <w:szCs w:val="24"/>
          <w:lang w:val="en-US"/>
        </w:rPr>
        <w:t>Wood concluded that because ‘international law is a legal system’,</w:t>
      </w:r>
      <w:r w:rsidRPr="00A34D67">
        <w:rPr>
          <w:rStyle w:val="FootnoteReference"/>
          <w:rFonts w:ascii="Arial" w:hAnsi="Arial" w:cs="Arial"/>
          <w:sz w:val="24"/>
          <w:szCs w:val="24"/>
          <w:lang w:val="en-US"/>
        </w:rPr>
        <w:footnoteReference w:id="286"/>
      </w:r>
      <w:r w:rsidRPr="00A34D67">
        <w:rPr>
          <w:rFonts w:ascii="Arial" w:hAnsi="Arial" w:cs="Arial"/>
          <w:sz w:val="24"/>
          <w:szCs w:val="24"/>
          <w:lang w:val="en-US"/>
        </w:rPr>
        <w:t xml:space="preserve"> it is principally ‘neither helpful nor in accordance with principle’</w:t>
      </w:r>
      <w:r w:rsidR="00591C6F">
        <w:rPr>
          <w:rStyle w:val="FootnoteReference"/>
          <w:rFonts w:ascii="Arial" w:hAnsi="Arial" w:cs="Arial"/>
          <w:sz w:val="24"/>
          <w:szCs w:val="24"/>
          <w:lang w:val="en-US"/>
        </w:rPr>
        <w:footnoteReference w:id="287"/>
      </w:r>
      <w:r w:rsidRPr="00A34D67">
        <w:rPr>
          <w:rFonts w:ascii="Arial" w:hAnsi="Arial" w:cs="Arial"/>
          <w:sz w:val="24"/>
          <w:szCs w:val="24"/>
          <w:lang w:val="en-US"/>
        </w:rPr>
        <w:t xml:space="preserve"> to divide the law into ‘separate specialist fields’.</w:t>
      </w:r>
      <w:r w:rsidRPr="00A34D67">
        <w:rPr>
          <w:rStyle w:val="FootnoteReference"/>
          <w:rFonts w:ascii="Arial" w:hAnsi="Arial" w:cs="Arial"/>
          <w:sz w:val="24"/>
          <w:szCs w:val="24"/>
          <w:lang w:val="en-US"/>
        </w:rPr>
        <w:footnoteReference w:id="288"/>
      </w:r>
      <w:r w:rsidR="00EE714F">
        <w:rPr>
          <w:rFonts w:ascii="Arial" w:hAnsi="Arial" w:cs="Arial"/>
          <w:sz w:val="24"/>
          <w:szCs w:val="24"/>
          <w:lang w:val="en-US"/>
        </w:rPr>
        <w:t xml:space="preserve"> </w:t>
      </w:r>
      <w:r w:rsidR="005D731A" w:rsidRPr="005D731A">
        <w:rPr>
          <w:rFonts w:ascii="Arial" w:hAnsi="Arial" w:cs="Arial"/>
          <w:sz w:val="24"/>
          <w:szCs w:val="24"/>
          <w:lang w:val="en-US"/>
        </w:rPr>
        <w:t>C</w:t>
      </w:r>
      <w:r w:rsidRPr="005D731A">
        <w:rPr>
          <w:rFonts w:ascii="Arial" w:hAnsi="Arial" w:cs="Arial"/>
          <w:sz w:val="24"/>
          <w:szCs w:val="24"/>
          <w:lang w:val="en-US"/>
        </w:rPr>
        <w:t>ustomary international law</w:t>
      </w:r>
      <w:r w:rsidR="005D731A" w:rsidRPr="005D731A">
        <w:rPr>
          <w:rFonts w:ascii="Arial" w:hAnsi="Arial" w:cs="Arial"/>
          <w:sz w:val="24"/>
          <w:szCs w:val="24"/>
          <w:lang w:val="en-US"/>
        </w:rPr>
        <w:t xml:space="preserve"> causes </w:t>
      </w:r>
      <w:r w:rsidR="005C45D0">
        <w:rPr>
          <w:rFonts w:ascii="Arial" w:hAnsi="Arial" w:cs="Arial"/>
          <w:sz w:val="24"/>
          <w:szCs w:val="24"/>
          <w:lang w:val="en-US"/>
        </w:rPr>
        <w:t>scarcely any</w:t>
      </w:r>
      <w:r w:rsidR="005D731A" w:rsidRPr="005D731A">
        <w:rPr>
          <w:rFonts w:ascii="Arial" w:hAnsi="Arial" w:cs="Arial"/>
          <w:sz w:val="24"/>
          <w:szCs w:val="24"/>
          <w:lang w:val="en-US"/>
        </w:rPr>
        <w:t xml:space="preserve"> issues in this respect.</w:t>
      </w:r>
      <w:r w:rsidR="00717C51">
        <w:rPr>
          <w:rStyle w:val="FootnoteReference"/>
          <w:rFonts w:ascii="Arial" w:hAnsi="Arial" w:cs="Arial"/>
          <w:sz w:val="24"/>
          <w:szCs w:val="24"/>
          <w:lang w:val="en-US"/>
        </w:rPr>
        <w:footnoteReference w:id="289"/>
      </w:r>
      <w:r w:rsidR="005D731A" w:rsidRPr="005D731A">
        <w:rPr>
          <w:rFonts w:ascii="Arial" w:hAnsi="Arial" w:cs="Arial"/>
          <w:sz w:val="24"/>
          <w:szCs w:val="24"/>
          <w:lang w:val="en-US"/>
        </w:rPr>
        <w:t xml:space="preserve"> </w:t>
      </w:r>
    </w:p>
    <w:p w14:paraId="3F86A545" w14:textId="678461FC" w:rsidR="00864DA5" w:rsidRDefault="0014649F" w:rsidP="00401E4C">
      <w:pPr>
        <w:spacing w:line="480" w:lineRule="auto"/>
        <w:rPr>
          <w:rFonts w:ascii="Arial" w:hAnsi="Arial" w:cs="Arial"/>
          <w:color w:val="FF0000"/>
          <w:sz w:val="24"/>
          <w:szCs w:val="24"/>
          <w:lang w:val="en-US"/>
        </w:rPr>
      </w:pPr>
      <w:r w:rsidRPr="0014649F">
        <w:rPr>
          <w:rFonts w:ascii="Arial" w:hAnsi="Arial" w:cs="Arial"/>
          <w:sz w:val="24"/>
          <w:szCs w:val="24"/>
          <w:lang w:val="en-US"/>
        </w:rPr>
        <w:t xml:space="preserve">It is </w:t>
      </w:r>
      <w:r w:rsidR="00E66EA9">
        <w:rPr>
          <w:rFonts w:ascii="Arial" w:hAnsi="Arial" w:cs="Arial"/>
          <w:sz w:val="24"/>
          <w:szCs w:val="24"/>
          <w:lang w:val="en-US"/>
        </w:rPr>
        <w:t>safe</w:t>
      </w:r>
      <w:r w:rsidRPr="0014649F">
        <w:rPr>
          <w:rFonts w:ascii="Arial" w:hAnsi="Arial" w:cs="Arial"/>
          <w:sz w:val="24"/>
          <w:szCs w:val="24"/>
          <w:lang w:val="en-US"/>
        </w:rPr>
        <w:t xml:space="preserve"> to </w:t>
      </w:r>
      <w:r w:rsidR="00E66EA9">
        <w:rPr>
          <w:rFonts w:ascii="Arial" w:hAnsi="Arial" w:cs="Arial"/>
          <w:sz w:val="24"/>
          <w:szCs w:val="24"/>
          <w:lang w:val="en-US"/>
        </w:rPr>
        <w:t>conclude</w:t>
      </w:r>
      <w:r w:rsidRPr="0014649F">
        <w:rPr>
          <w:rFonts w:ascii="Arial" w:hAnsi="Arial" w:cs="Arial"/>
          <w:sz w:val="24"/>
          <w:szCs w:val="24"/>
          <w:lang w:val="en-US"/>
        </w:rPr>
        <w:t xml:space="preserve"> that </w:t>
      </w:r>
      <w:r w:rsidR="00CC68D1">
        <w:rPr>
          <w:rFonts w:ascii="Arial" w:hAnsi="Arial" w:cs="Arial"/>
          <w:sz w:val="24"/>
          <w:szCs w:val="24"/>
          <w:lang w:val="en-US"/>
        </w:rPr>
        <w:t xml:space="preserve">the </w:t>
      </w:r>
      <w:r w:rsidRPr="0014649F">
        <w:rPr>
          <w:rFonts w:ascii="Arial" w:hAnsi="Arial" w:cs="Arial"/>
          <w:sz w:val="24"/>
          <w:szCs w:val="24"/>
          <w:lang w:val="en-US"/>
        </w:rPr>
        <w:t>i</w:t>
      </w:r>
      <w:r w:rsidR="00864DA5" w:rsidRPr="0014649F">
        <w:rPr>
          <w:rFonts w:ascii="Arial" w:hAnsi="Arial" w:cs="Arial"/>
          <w:sz w:val="24"/>
          <w:szCs w:val="24"/>
          <w:lang w:val="en-US"/>
        </w:rPr>
        <w:t>nternational law</w:t>
      </w:r>
      <w:r w:rsidR="00CC68D1">
        <w:rPr>
          <w:rFonts w:ascii="Arial" w:hAnsi="Arial" w:cs="Arial"/>
          <w:sz w:val="24"/>
          <w:szCs w:val="24"/>
          <w:lang w:val="en-US"/>
        </w:rPr>
        <w:t xml:space="preserve"> of reservations to treaties</w:t>
      </w:r>
      <w:r w:rsidR="00864DA5" w:rsidRPr="0014649F">
        <w:rPr>
          <w:rFonts w:ascii="Arial" w:hAnsi="Arial" w:cs="Arial"/>
          <w:sz w:val="24"/>
          <w:szCs w:val="24"/>
          <w:lang w:val="en-US"/>
        </w:rPr>
        <w:t xml:space="preserve"> is</w:t>
      </w:r>
      <w:r w:rsidRPr="0014649F">
        <w:rPr>
          <w:rFonts w:ascii="Arial" w:hAnsi="Arial" w:cs="Arial"/>
          <w:sz w:val="24"/>
          <w:szCs w:val="24"/>
          <w:lang w:val="en-US"/>
        </w:rPr>
        <w:t>,</w:t>
      </w:r>
      <w:r w:rsidR="00864DA5" w:rsidRPr="0014649F">
        <w:rPr>
          <w:rFonts w:ascii="Arial" w:hAnsi="Arial" w:cs="Arial"/>
          <w:sz w:val="24"/>
          <w:szCs w:val="24"/>
          <w:lang w:val="en-US"/>
        </w:rPr>
        <w:t xml:space="preserve"> </w:t>
      </w:r>
      <w:r w:rsidRPr="0014649F">
        <w:rPr>
          <w:rFonts w:ascii="Arial" w:hAnsi="Arial" w:cs="Arial"/>
          <w:sz w:val="24"/>
          <w:szCs w:val="24"/>
          <w:lang w:val="en-US"/>
        </w:rPr>
        <w:t xml:space="preserve">in fact, </w:t>
      </w:r>
      <w:r w:rsidR="00FB706F">
        <w:rPr>
          <w:rFonts w:ascii="Arial" w:hAnsi="Arial" w:cs="Arial"/>
          <w:sz w:val="24"/>
          <w:szCs w:val="24"/>
          <w:lang w:val="en-US"/>
        </w:rPr>
        <w:t xml:space="preserve">one, </w:t>
      </w:r>
      <w:r w:rsidR="00C416B1">
        <w:rPr>
          <w:rFonts w:ascii="Arial" w:hAnsi="Arial" w:cs="Arial"/>
          <w:sz w:val="24"/>
          <w:szCs w:val="24"/>
          <w:lang w:val="en-US"/>
        </w:rPr>
        <w:t>‘unified system of law’</w:t>
      </w:r>
      <w:r w:rsidRPr="0014649F">
        <w:rPr>
          <w:rFonts w:ascii="Arial" w:hAnsi="Arial" w:cs="Arial"/>
          <w:sz w:val="24"/>
          <w:szCs w:val="24"/>
          <w:lang w:val="en-US"/>
        </w:rPr>
        <w:t>,</w:t>
      </w:r>
      <w:r w:rsidR="00715207" w:rsidRPr="00715207">
        <w:rPr>
          <w:rStyle w:val="FootnoteReference"/>
          <w:rFonts w:ascii="Arial" w:hAnsi="Arial" w:cs="Arial"/>
          <w:sz w:val="24"/>
          <w:szCs w:val="24"/>
          <w:lang w:val="en-US"/>
        </w:rPr>
        <w:footnoteReference w:id="290"/>
      </w:r>
      <w:r w:rsidRPr="00715207">
        <w:rPr>
          <w:rFonts w:ascii="Arial" w:hAnsi="Arial" w:cs="Arial"/>
          <w:sz w:val="24"/>
          <w:szCs w:val="24"/>
          <w:lang w:val="en-US"/>
        </w:rPr>
        <w:t xml:space="preserve"> </w:t>
      </w:r>
      <w:r w:rsidRPr="0014649F">
        <w:rPr>
          <w:rFonts w:ascii="Arial" w:hAnsi="Arial" w:cs="Arial"/>
          <w:sz w:val="24"/>
          <w:szCs w:val="24"/>
          <w:lang w:val="en-US"/>
        </w:rPr>
        <w:t>and</w:t>
      </w:r>
      <w:r>
        <w:rPr>
          <w:rFonts w:ascii="Arial" w:hAnsi="Arial" w:cs="Arial"/>
          <w:color w:val="FF0000"/>
          <w:sz w:val="24"/>
          <w:szCs w:val="24"/>
          <w:lang w:val="en-US"/>
        </w:rPr>
        <w:t xml:space="preserve"> </w:t>
      </w:r>
      <w:r w:rsidR="00715207" w:rsidRPr="00D84B66">
        <w:rPr>
          <w:rFonts w:ascii="Arial" w:hAnsi="Arial" w:cs="Arial"/>
          <w:sz w:val="24"/>
          <w:szCs w:val="24"/>
          <w:lang w:val="en-US"/>
        </w:rPr>
        <w:t>‘</w:t>
      </w:r>
      <w:r w:rsidR="00864DA5" w:rsidRPr="00D84B66">
        <w:rPr>
          <w:rFonts w:ascii="Arial" w:hAnsi="Arial" w:cs="Arial"/>
          <w:sz w:val="24"/>
          <w:szCs w:val="24"/>
          <w:lang w:val="en-US"/>
        </w:rPr>
        <w:t xml:space="preserve">not a series of fragmented </w:t>
      </w:r>
      <w:r w:rsidR="00C416B1">
        <w:rPr>
          <w:rFonts w:ascii="Arial" w:hAnsi="Arial" w:cs="Arial"/>
          <w:sz w:val="24"/>
          <w:szCs w:val="24"/>
          <w:lang w:val="en-US"/>
        </w:rPr>
        <w:t xml:space="preserve">specialist and </w:t>
      </w:r>
      <w:r w:rsidR="00864DA5" w:rsidRPr="00D84B66">
        <w:rPr>
          <w:rFonts w:ascii="Arial" w:hAnsi="Arial" w:cs="Arial"/>
          <w:sz w:val="24"/>
          <w:szCs w:val="24"/>
          <w:lang w:val="en-US"/>
        </w:rPr>
        <w:t>self-contained bodies of law</w:t>
      </w:r>
      <w:r w:rsidR="00715207" w:rsidRPr="00D84B66">
        <w:rPr>
          <w:rFonts w:ascii="Arial" w:hAnsi="Arial" w:cs="Arial"/>
          <w:sz w:val="24"/>
          <w:szCs w:val="24"/>
          <w:lang w:val="en-US"/>
        </w:rPr>
        <w:t>’</w:t>
      </w:r>
      <w:r w:rsidR="00FB706F" w:rsidRPr="00D84B66">
        <w:rPr>
          <w:rFonts w:ascii="Arial" w:hAnsi="Arial" w:cs="Arial"/>
          <w:sz w:val="24"/>
          <w:szCs w:val="24"/>
          <w:lang w:val="en-US"/>
        </w:rPr>
        <w:t>.</w:t>
      </w:r>
      <w:r w:rsidR="00715207" w:rsidRPr="00D84B66">
        <w:rPr>
          <w:rStyle w:val="FootnoteReference"/>
          <w:rFonts w:ascii="Arial" w:hAnsi="Arial" w:cs="Arial"/>
          <w:sz w:val="24"/>
          <w:szCs w:val="24"/>
          <w:lang w:val="en-US"/>
        </w:rPr>
        <w:footnoteReference w:id="291"/>
      </w:r>
      <w:r w:rsidR="00864DA5" w:rsidRPr="00864DA5">
        <w:rPr>
          <w:rFonts w:ascii="Arial" w:hAnsi="Arial" w:cs="Arial"/>
          <w:color w:val="FF0000"/>
          <w:sz w:val="24"/>
          <w:szCs w:val="24"/>
          <w:lang w:val="en-US"/>
        </w:rPr>
        <w:t xml:space="preserve"> </w:t>
      </w:r>
      <w:r w:rsidR="00B80B57" w:rsidRPr="00B80B57">
        <w:rPr>
          <w:rFonts w:ascii="Arial" w:hAnsi="Arial" w:cs="Arial"/>
          <w:sz w:val="24"/>
          <w:szCs w:val="24"/>
          <w:lang w:val="en-US"/>
        </w:rPr>
        <w:t xml:space="preserve">The ILC’s suggested methods are merely </w:t>
      </w:r>
      <w:r w:rsidR="00864DA5" w:rsidRPr="00B80B57">
        <w:rPr>
          <w:rFonts w:ascii="Arial" w:hAnsi="Arial" w:cs="Arial"/>
          <w:sz w:val="24"/>
          <w:szCs w:val="24"/>
          <w:lang w:val="en-US"/>
        </w:rPr>
        <w:t>‘techniques o</w:t>
      </w:r>
      <w:r w:rsidR="003F798F" w:rsidRPr="00B80B57">
        <w:rPr>
          <w:rFonts w:ascii="Arial" w:hAnsi="Arial" w:cs="Arial"/>
          <w:sz w:val="24"/>
          <w:szCs w:val="24"/>
          <w:lang w:val="en-US"/>
        </w:rPr>
        <w:t>f general international law’.</w:t>
      </w:r>
      <w:r w:rsidR="003F798F" w:rsidRPr="00B80B57">
        <w:rPr>
          <w:rStyle w:val="FootnoteReference"/>
          <w:rFonts w:ascii="Arial" w:hAnsi="Arial" w:cs="Arial"/>
          <w:sz w:val="24"/>
          <w:szCs w:val="24"/>
          <w:lang w:val="en-US"/>
        </w:rPr>
        <w:footnoteReference w:id="292"/>
      </w:r>
      <w:r w:rsidR="00864DA5" w:rsidRPr="00864DA5">
        <w:rPr>
          <w:rFonts w:ascii="Arial" w:hAnsi="Arial" w:cs="Arial"/>
          <w:color w:val="FF0000"/>
          <w:sz w:val="24"/>
          <w:szCs w:val="24"/>
          <w:lang w:val="en-US"/>
        </w:rPr>
        <w:t xml:space="preserve"> </w:t>
      </w:r>
      <w:r w:rsidR="00FB706F" w:rsidRPr="00FB706F">
        <w:rPr>
          <w:rFonts w:ascii="Arial" w:hAnsi="Arial" w:cs="Arial"/>
          <w:sz w:val="24"/>
          <w:szCs w:val="24"/>
          <w:lang w:val="en-US"/>
        </w:rPr>
        <w:t>Ultimately, ‘fragmentation’ has not become the disastrous mess that many critics were concerned that it would become over a decade ago</w:t>
      </w:r>
      <w:r w:rsidR="00636D58" w:rsidRPr="00FB706F">
        <w:rPr>
          <w:rFonts w:ascii="Arial" w:hAnsi="Arial" w:cs="Arial"/>
          <w:sz w:val="24"/>
          <w:szCs w:val="24"/>
          <w:lang w:val="en-US"/>
        </w:rPr>
        <w:t>.</w:t>
      </w:r>
      <w:r w:rsidR="00636D58" w:rsidRPr="00FB706F">
        <w:rPr>
          <w:rStyle w:val="FootnoteReference"/>
          <w:rFonts w:ascii="Arial" w:hAnsi="Arial" w:cs="Arial"/>
          <w:sz w:val="24"/>
          <w:szCs w:val="24"/>
          <w:lang w:val="en-US"/>
        </w:rPr>
        <w:footnoteReference w:id="293"/>
      </w:r>
      <w:r w:rsidR="00864DA5" w:rsidRPr="00FB706F">
        <w:rPr>
          <w:rFonts w:ascii="Arial" w:hAnsi="Arial" w:cs="Arial"/>
          <w:sz w:val="24"/>
          <w:szCs w:val="24"/>
          <w:lang w:val="en-US"/>
        </w:rPr>
        <w:t xml:space="preserve"> </w:t>
      </w:r>
      <w:r w:rsidR="00EA1F0D">
        <w:rPr>
          <w:rFonts w:ascii="Arial" w:hAnsi="Arial" w:cs="Arial"/>
          <w:sz w:val="24"/>
          <w:szCs w:val="24"/>
          <w:lang w:val="en-US"/>
        </w:rPr>
        <w:t xml:space="preserve">We </w:t>
      </w:r>
      <w:r w:rsidR="00EA1F0D" w:rsidRPr="00AE3FB1">
        <w:rPr>
          <w:rFonts w:ascii="Arial" w:hAnsi="Arial" w:cs="Arial"/>
          <w:sz w:val="24"/>
          <w:szCs w:val="24"/>
          <w:lang w:val="en-US"/>
        </w:rPr>
        <w:t xml:space="preserve">could, in fact, be witnessing the </w:t>
      </w:r>
      <w:r w:rsidR="00AE3FB1" w:rsidRPr="00AE3FB1">
        <w:rPr>
          <w:rFonts w:ascii="Arial" w:hAnsi="Arial" w:cs="Arial"/>
          <w:sz w:val="24"/>
          <w:szCs w:val="24"/>
          <w:lang w:val="en-US"/>
        </w:rPr>
        <w:t>outline</w:t>
      </w:r>
      <w:r w:rsidR="00864DA5" w:rsidRPr="00AE3FB1">
        <w:rPr>
          <w:rFonts w:ascii="Arial" w:hAnsi="Arial" w:cs="Arial"/>
          <w:sz w:val="24"/>
          <w:szCs w:val="24"/>
          <w:lang w:val="en-US"/>
        </w:rPr>
        <w:t xml:space="preserve"> of </w:t>
      </w:r>
      <w:r w:rsidR="00AE3FB1" w:rsidRPr="00AE3FB1">
        <w:rPr>
          <w:rFonts w:ascii="Arial" w:hAnsi="Arial" w:cs="Arial"/>
          <w:sz w:val="24"/>
          <w:szCs w:val="24"/>
          <w:lang w:val="en-US"/>
        </w:rPr>
        <w:t>an emergent</w:t>
      </w:r>
      <w:r w:rsidR="00864DA5" w:rsidRPr="00AE3FB1">
        <w:rPr>
          <w:rFonts w:ascii="Arial" w:hAnsi="Arial" w:cs="Arial"/>
          <w:sz w:val="24"/>
          <w:szCs w:val="24"/>
          <w:lang w:val="en-US"/>
        </w:rPr>
        <w:t xml:space="preserve"> </w:t>
      </w:r>
      <w:r w:rsidR="00AE3FB1" w:rsidRPr="00AE3FB1">
        <w:rPr>
          <w:rFonts w:ascii="Arial" w:hAnsi="Arial" w:cs="Arial"/>
          <w:sz w:val="24"/>
          <w:szCs w:val="24"/>
          <w:lang w:val="en-US"/>
        </w:rPr>
        <w:t>‘</w:t>
      </w:r>
      <w:r w:rsidR="00864DA5" w:rsidRPr="00AE3FB1">
        <w:rPr>
          <w:rFonts w:ascii="Arial" w:hAnsi="Arial" w:cs="Arial"/>
          <w:sz w:val="24"/>
          <w:szCs w:val="24"/>
          <w:lang w:val="en-US"/>
        </w:rPr>
        <w:t>process of gradua</w:t>
      </w:r>
      <w:r w:rsidR="00241E9D" w:rsidRPr="00AE3FB1">
        <w:rPr>
          <w:rFonts w:ascii="Arial" w:hAnsi="Arial" w:cs="Arial"/>
          <w:sz w:val="24"/>
          <w:szCs w:val="24"/>
          <w:lang w:val="en-US"/>
        </w:rPr>
        <w:t>l learning’</w:t>
      </w:r>
      <w:r w:rsidR="00AE3FB1">
        <w:rPr>
          <w:rFonts w:ascii="Arial" w:hAnsi="Arial" w:cs="Arial"/>
          <w:sz w:val="24"/>
          <w:szCs w:val="24"/>
          <w:lang w:val="en-US"/>
        </w:rPr>
        <w:t xml:space="preserve"> with regard to human rights treaty interpretation.</w:t>
      </w:r>
      <w:r w:rsidR="00241E9D" w:rsidRPr="00AE3FB1">
        <w:rPr>
          <w:rStyle w:val="FootnoteReference"/>
          <w:rFonts w:ascii="Arial" w:hAnsi="Arial" w:cs="Arial"/>
          <w:sz w:val="24"/>
          <w:szCs w:val="24"/>
          <w:lang w:val="en-US"/>
        </w:rPr>
        <w:footnoteReference w:id="294"/>
      </w:r>
      <w:r w:rsidR="00864DA5" w:rsidRPr="00864DA5">
        <w:rPr>
          <w:rFonts w:ascii="Arial" w:hAnsi="Arial" w:cs="Arial"/>
          <w:color w:val="FF0000"/>
          <w:sz w:val="24"/>
          <w:szCs w:val="24"/>
          <w:lang w:val="en-US"/>
        </w:rPr>
        <w:t xml:space="preserve"> </w:t>
      </w:r>
      <w:r w:rsidR="00AE3FB1" w:rsidRPr="00536EFB">
        <w:rPr>
          <w:rFonts w:ascii="Arial" w:hAnsi="Arial" w:cs="Arial"/>
          <w:sz w:val="24"/>
          <w:szCs w:val="24"/>
          <w:lang w:val="en-US"/>
        </w:rPr>
        <w:t xml:space="preserve">The law of treaties </w:t>
      </w:r>
      <w:r w:rsidR="00864DA5" w:rsidRPr="00536EFB">
        <w:rPr>
          <w:rFonts w:ascii="Arial" w:hAnsi="Arial" w:cs="Arial"/>
          <w:sz w:val="24"/>
          <w:szCs w:val="24"/>
          <w:lang w:val="en-US"/>
        </w:rPr>
        <w:t>is not fragmented</w:t>
      </w:r>
      <w:r w:rsidR="00AE3FB1" w:rsidRPr="00536EFB">
        <w:rPr>
          <w:rFonts w:ascii="Arial" w:hAnsi="Arial" w:cs="Arial"/>
          <w:sz w:val="24"/>
          <w:szCs w:val="24"/>
          <w:lang w:val="en-US"/>
        </w:rPr>
        <w:t xml:space="preserve"> and</w:t>
      </w:r>
      <w:r w:rsidR="00864DA5" w:rsidRPr="00536EFB">
        <w:rPr>
          <w:rFonts w:ascii="Arial" w:hAnsi="Arial" w:cs="Arial"/>
          <w:sz w:val="24"/>
          <w:szCs w:val="24"/>
          <w:lang w:val="en-US"/>
        </w:rPr>
        <w:t xml:space="preserve"> the </w:t>
      </w:r>
      <w:r w:rsidR="00AE3FB1" w:rsidRPr="00536EFB">
        <w:rPr>
          <w:rFonts w:ascii="Arial" w:hAnsi="Arial" w:cs="Arial"/>
          <w:sz w:val="24"/>
          <w:szCs w:val="24"/>
          <w:lang w:val="en-US"/>
        </w:rPr>
        <w:t xml:space="preserve">process </w:t>
      </w:r>
      <w:r w:rsidR="005B3BC9">
        <w:rPr>
          <w:rFonts w:ascii="Arial" w:hAnsi="Arial" w:cs="Arial"/>
          <w:sz w:val="24"/>
          <w:szCs w:val="24"/>
          <w:lang w:val="en-US"/>
        </w:rPr>
        <w:t>used by a multitude of international tribunals</w:t>
      </w:r>
      <w:r w:rsidR="00AE3FB1" w:rsidRPr="00536EFB">
        <w:rPr>
          <w:rFonts w:ascii="Arial" w:hAnsi="Arial" w:cs="Arial"/>
          <w:sz w:val="24"/>
          <w:szCs w:val="24"/>
          <w:lang w:val="en-US"/>
        </w:rPr>
        <w:t xml:space="preserve"> in treaty interpr</w:t>
      </w:r>
      <w:r w:rsidR="00AE3FB1" w:rsidRPr="005B3BC9">
        <w:rPr>
          <w:rFonts w:ascii="Arial" w:hAnsi="Arial" w:cs="Arial"/>
          <w:sz w:val="24"/>
          <w:szCs w:val="24"/>
          <w:lang w:val="en-US"/>
        </w:rPr>
        <w:t>etation</w:t>
      </w:r>
      <w:r w:rsidR="00864DA5" w:rsidRPr="005B3BC9">
        <w:rPr>
          <w:rFonts w:ascii="Arial" w:hAnsi="Arial" w:cs="Arial"/>
          <w:sz w:val="24"/>
          <w:szCs w:val="24"/>
          <w:lang w:val="en-US"/>
        </w:rPr>
        <w:t xml:space="preserve"> is </w:t>
      </w:r>
      <w:r w:rsidR="005B3BC9" w:rsidRPr="005B3BC9">
        <w:rPr>
          <w:rFonts w:ascii="Arial" w:hAnsi="Arial" w:cs="Arial"/>
          <w:sz w:val="24"/>
          <w:szCs w:val="24"/>
          <w:lang w:val="en-US"/>
        </w:rPr>
        <w:t>one,</w:t>
      </w:r>
      <w:r w:rsidR="00864DA5" w:rsidRPr="005B3BC9">
        <w:rPr>
          <w:rFonts w:ascii="Arial" w:hAnsi="Arial" w:cs="Arial"/>
          <w:sz w:val="24"/>
          <w:szCs w:val="24"/>
          <w:lang w:val="en-US"/>
        </w:rPr>
        <w:t xml:space="preserve"> </w:t>
      </w:r>
      <w:r w:rsidR="005B3BC9" w:rsidRPr="005B3BC9">
        <w:rPr>
          <w:rFonts w:ascii="Arial" w:hAnsi="Arial" w:cs="Arial"/>
          <w:sz w:val="24"/>
          <w:szCs w:val="24"/>
          <w:lang w:val="en-US"/>
        </w:rPr>
        <w:t>unitary</w:t>
      </w:r>
      <w:r w:rsidR="00864DA5" w:rsidRPr="005B3BC9">
        <w:rPr>
          <w:rFonts w:ascii="Arial" w:hAnsi="Arial" w:cs="Arial"/>
          <w:sz w:val="24"/>
          <w:szCs w:val="24"/>
          <w:lang w:val="en-US"/>
        </w:rPr>
        <w:t xml:space="preserve"> </w:t>
      </w:r>
      <w:r w:rsidR="005B3BC9" w:rsidRPr="005B3BC9">
        <w:rPr>
          <w:rFonts w:ascii="Arial" w:hAnsi="Arial" w:cs="Arial"/>
          <w:sz w:val="24"/>
          <w:szCs w:val="24"/>
          <w:lang w:val="en-US"/>
        </w:rPr>
        <w:t>system</w:t>
      </w:r>
      <w:r w:rsidR="00864DA5" w:rsidRPr="005B3BC9">
        <w:rPr>
          <w:rFonts w:ascii="Arial" w:hAnsi="Arial" w:cs="Arial"/>
          <w:sz w:val="24"/>
          <w:szCs w:val="24"/>
          <w:lang w:val="en-US"/>
        </w:rPr>
        <w:t xml:space="preserve"> of law.</w:t>
      </w:r>
    </w:p>
    <w:p w14:paraId="2DC4137B" w14:textId="4817CC3C" w:rsidR="00FA1AAA" w:rsidRPr="00FA1AAA" w:rsidRDefault="006B439C" w:rsidP="00401E4C">
      <w:pPr>
        <w:spacing w:line="480" w:lineRule="auto"/>
        <w:rPr>
          <w:rFonts w:ascii="Arial" w:hAnsi="Arial" w:cs="Arial"/>
          <w:color w:val="FF0000"/>
          <w:sz w:val="24"/>
          <w:szCs w:val="24"/>
          <w:lang w:val="en-US"/>
        </w:rPr>
      </w:pPr>
      <w:r w:rsidRPr="006B439C">
        <w:rPr>
          <w:rFonts w:ascii="Arial" w:hAnsi="Arial" w:cs="Arial"/>
          <w:sz w:val="24"/>
          <w:szCs w:val="24"/>
          <w:lang w:val="en-US"/>
        </w:rPr>
        <w:t>In the law of treaties</w:t>
      </w:r>
      <w:r w:rsidR="00FA1AAA" w:rsidRPr="006B439C">
        <w:rPr>
          <w:rFonts w:ascii="Arial" w:hAnsi="Arial" w:cs="Arial"/>
          <w:sz w:val="24"/>
          <w:szCs w:val="24"/>
          <w:lang w:val="en-US"/>
        </w:rPr>
        <w:t>,</w:t>
      </w:r>
      <w:r w:rsidR="00FA1AAA" w:rsidRPr="00FA1AAA">
        <w:rPr>
          <w:rFonts w:ascii="Arial" w:hAnsi="Arial" w:cs="Arial"/>
          <w:color w:val="FF0000"/>
          <w:sz w:val="24"/>
          <w:szCs w:val="24"/>
          <w:lang w:val="en-US"/>
        </w:rPr>
        <w:t xml:space="preserve"> </w:t>
      </w:r>
      <w:r w:rsidR="00331806">
        <w:rPr>
          <w:rFonts w:ascii="Arial" w:hAnsi="Arial" w:cs="Arial"/>
          <w:sz w:val="24"/>
          <w:szCs w:val="24"/>
          <w:lang w:val="en-US"/>
        </w:rPr>
        <w:t>the ICJ</w:t>
      </w:r>
      <w:r w:rsidR="00FA1AAA" w:rsidRPr="00F91235">
        <w:rPr>
          <w:rFonts w:ascii="Arial" w:hAnsi="Arial" w:cs="Arial"/>
          <w:sz w:val="24"/>
          <w:szCs w:val="24"/>
          <w:lang w:val="en-US"/>
        </w:rPr>
        <w:t xml:space="preserve"> </w:t>
      </w:r>
      <w:r w:rsidR="00331806">
        <w:rPr>
          <w:rFonts w:ascii="Arial" w:hAnsi="Arial" w:cs="Arial"/>
          <w:sz w:val="24"/>
          <w:szCs w:val="24"/>
          <w:lang w:val="en-US"/>
        </w:rPr>
        <w:t>‘</w:t>
      </w:r>
      <w:r w:rsidR="00FA1AAA" w:rsidRPr="00F91235">
        <w:rPr>
          <w:rFonts w:ascii="Arial" w:hAnsi="Arial" w:cs="Arial"/>
          <w:sz w:val="24"/>
          <w:szCs w:val="24"/>
          <w:lang w:val="en-US"/>
        </w:rPr>
        <w:t>has been conscious of the impact of the substantive content of a treaty on its formal and procedural rules</w:t>
      </w:r>
      <w:r w:rsidR="003F14EC" w:rsidRPr="00F91235">
        <w:rPr>
          <w:rFonts w:ascii="Arial" w:hAnsi="Arial" w:cs="Arial"/>
          <w:sz w:val="24"/>
          <w:szCs w:val="24"/>
          <w:lang w:val="en-US"/>
        </w:rPr>
        <w:t>’</w:t>
      </w:r>
      <w:r w:rsidR="001150FD" w:rsidRPr="003B2C88">
        <w:rPr>
          <w:rStyle w:val="FootnoteReference"/>
          <w:rFonts w:ascii="Arial" w:hAnsi="Arial" w:cs="Arial"/>
          <w:sz w:val="24"/>
          <w:szCs w:val="24"/>
          <w:lang w:val="en-US"/>
        </w:rPr>
        <w:footnoteReference w:id="295"/>
      </w:r>
      <w:r w:rsidR="00FA1AAA" w:rsidRPr="00FA1AAA">
        <w:rPr>
          <w:rFonts w:ascii="Arial" w:hAnsi="Arial" w:cs="Arial"/>
          <w:color w:val="FF0000"/>
          <w:sz w:val="24"/>
          <w:szCs w:val="24"/>
          <w:lang w:val="en-US"/>
        </w:rPr>
        <w:t xml:space="preserve"> </w:t>
      </w:r>
      <w:r w:rsidR="00FA1AAA" w:rsidRPr="00F91235">
        <w:rPr>
          <w:rFonts w:ascii="Arial" w:hAnsi="Arial" w:cs="Arial"/>
          <w:sz w:val="24"/>
          <w:szCs w:val="24"/>
          <w:lang w:val="en-US"/>
        </w:rPr>
        <w:t xml:space="preserve">and its </w:t>
      </w:r>
      <w:r w:rsidR="003F14EC" w:rsidRPr="00F91235">
        <w:rPr>
          <w:rFonts w:ascii="Arial" w:hAnsi="Arial" w:cs="Arial"/>
          <w:sz w:val="24"/>
          <w:szCs w:val="24"/>
          <w:lang w:val="en-US"/>
        </w:rPr>
        <w:t>maintenance</w:t>
      </w:r>
      <w:r w:rsidR="00FA1AAA" w:rsidRPr="00F91235">
        <w:rPr>
          <w:rFonts w:ascii="Arial" w:hAnsi="Arial" w:cs="Arial"/>
          <w:sz w:val="24"/>
          <w:szCs w:val="24"/>
          <w:lang w:val="en-US"/>
        </w:rPr>
        <w:t xml:space="preserve"> of the </w:t>
      </w:r>
      <w:r w:rsidR="00476666">
        <w:rPr>
          <w:rFonts w:ascii="Arial" w:hAnsi="Arial" w:cs="Arial"/>
          <w:sz w:val="24"/>
          <w:szCs w:val="24"/>
          <w:lang w:val="en-US"/>
        </w:rPr>
        <w:t>idea</w:t>
      </w:r>
      <w:r w:rsidR="00FA1AAA" w:rsidRPr="00F91235">
        <w:rPr>
          <w:rFonts w:ascii="Arial" w:hAnsi="Arial" w:cs="Arial"/>
          <w:sz w:val="24"/>
          <w:szCs w:val="24"/>
          <w:lang w:val="en-US"/>
        </w:rPr>
        <w:t xml:space="preserve"> of treaties with a </w:t>
      </w:r>
      <w:r w:rsidR="00F91235" w:rsidRPr="00F91235">
        <w:rPr>
          <w:rFonts w:ascii="Arial" w:hAnsi="Arial" w:cs="Arial"/>
          <w:sz w:val="24"/>
          <w:szCs w:val="24"/>
          <w:lang w:val="en-US"/>
        </w:rPr>
        <w:t>common goal</w:t>
      </w:r>
      <w:r w:rsidR="00FA1AAA" w:rsidRPr="00F91235">
        <w:rPr>
          <w:rFonts w:ascii="Arial" w:hAnsi="Arial" w:cs="Arial"/>
          <w:sz w:val="24"/>
          <w:szCs w:val="24"/>
          <w:lang w:val="en-US"/>
        </w:rPr>
        <w:t xml:space="preserve"> has had </w:t>
      </w:r>
      <w:r w:rsidR="00476666">
        <w:rPr>
          <w:rFonts w:ascii="Arial" w:hAnsi="Arial" w:cs="Arial"/>
          <w:sz w:val="24"/>
          <w:szCs w:val="24"/>
          <w:lang w:val="en-US"/>
        </w:rPr>
        <w:t>consequences</w:t>
      </w:r>
      <w:r w:rsidR="00FA1AAA" w:rsidRPr="00F91235">
        <w:rPr>
          <w:rFonts w:ascii="Arial" w:hAnsi="Arial" w:cs="Arial"/>
          <w:sz w:val="24"/>
          <w:szCs w:val="24"/>
          <w:lang w:val="en-US"/>
        </w:rPr>
        <w:t xml:space="preserve"> </w:t>
      </w:r>
      <w:r w:rsidR="00F91235" w:rsidRPr="00F91235">
        <w:rPr>
          <w:rFonts w:ascii="Arial" w:hAnsi="Arial" w:cs="Arial"/>
          <w:sz w:val="24"/>
          <w:szCs w:val="24"/>
          <w:lang w:val="en-US"/>
        </w:rPr>
        <w:t>with regard to</w:t>
      </w:r>
      <w:r w:rsidR="00FA1AAA" w:rsidRPr="00F91235">
        <w:rPr>
          <w:rFonts w:ascii="Arial" w:hAnsi="Arial" w:cs="Arial"/>
          <w:sz w:val="24"/>
          <w:szCs w:val="24"/>
          <w:lang w:val="en-US"/>
        </w:rPr>
        <w:t xml:space="preserve"> interpretation, applicatio</w:t>
      </w:r>
      <w:r w:rsidR="00F91235" w:rsidRPr="00F91235">
        <w:rPr>
          <w:rFonts w:ascii="Arial" w:hAnsi="Arial" w:cs="Arial"/>
          <w:sz w:val="24"/>
          <w:szCs w:val="24"/>
          <w:lang w:val="en-US"/>
        </w:rPr>
        <w:t>n and reservations</w:t>
      </w:r>
      <w:r w:rsidR="00FA1AAA" w:rsidRPr="00F91235">
        <w:rPr>
          <w:rFonts w:ascii="Arial" w:hAnsi="Arial" w:cs="Arial"/>
          <w:sz w:val="24"/>
          <w:szCs w:val="24"/>
          <w:lang w:val="en-US"/>
        </w:rPr>
        <w:t>.</w:t>
      </w:r>
      <w:r w:rsidR="00706B8F">
        <w:rPr>
          <w:rFonts w:ascii="Arial" w:hAnsi="Arial" w:cs="Arial"/>
          <w:color w:val="FF0000"/>
          <w:sz w:val="24"/>
          <w:szCs w:val="24"/>
          <w:lang w:val="en-US"/>
        </w:rPr>
        <w:t xml:space="preserve"> </w:t>
      </w:r>
      <w:r w:rsidR="00706B8F" w:rsidRPr="00706B8F">
        <w:rPr>
          <w:rFonts w:ascii="Arial" w:hAnsi="Arial" w:cs="Arial"/>
          <w:sz w:val="24"/>
          <w:szCs w:val="24"/>
          <w:lang w:val="en-US"/>
        </w:rPr>
        <w:t>One cannot disprove the fact</w:t>
      </w:r>
      <w:r w:rsidR="00706B8F">
        <w:rPr>
          <w:rFonts w:ascii="Arial" w:hAnsi="Arial" w:cs="Arial"/>
          <w:color w:val="FF0000"/>
          <w:sz w:val="24"/>
          <w:szCs w:val="24"/>
          <w:lang w:val="en-US"/>
        </w:rPr>
        <w:t xml:space="preserve"> </w:t>
      </w:r>
      <w:r w:rsidR="00FA1AAA" w:rsidRPr="00706B8F">
        <w:rPr>
          <w:rFonts w:ascii="Arial" w:hAnsi="Arial" w:cs="Arial"/>
          <w:sz w:val="24"/>
          <w:szCs w:val="24"/>
          <w:lang w:val="en-US"/>
        </w:rPr>
        <w:t>that</w:t>
      </w:r>
      <w:r w:rsidR="00706B8F" w:rsidRPr="00706B8F">
        <w:rPr>
          <w:rFonts w:ascii="Arial" w:hAnsi="Arial" w:cs="Arial"/>
          <w:sz w:val="24"/>
          <w:szCs w:val="24"/>
          <w:lang w:val="en-US"/>
        </w:rPr>
        <w:t xml:space="preserve"> a treaty’s</w:t>
      </w:r>
      <w:r w:rsidR="00706B8F">
        <w:rPr>
          <w:rFonts w:ascii="Arial" w:hAnsi="Arial" w:cs="Arial"/>
          <w:color w:val="FF0000"/>
          <w:sz w:val="24"/>
          <w:szCs w:val="24"/>
          <w:lang w:val="en-US"/>
        </w:rPr>
        <w:t xml:space="preserve"> </w:t>
      </w:r>
      <w:r w:rsidR="00706B8F" w:rsidRPr="00706B8F">
        <w:rPr>
          <w:rFonts w:ascii="Arial" w:hAnsi="Arial" w:cs="Arial"/>
          <w:sz w:val="24"/>
          <w:szCs w:val="24"/>
          <w:lang w:val="en-US"/>
        </w:rPr>
        <w:t>disseminated</w:t>
      </w:r>
      <w:r w:rsidR="00FA1AAA" w:rsidRPr="00706B8F">
        <w:rPr>
          <w:rFonts w:ascii="Arial" w:hAnsi="Arial" w:cs="Arial"/>
          <w:sz w:val="24"/>
          <w:szCs w:val="24"/>
          <w:lang w:val="en-US"/>
        </w:rPr>
        <w:t xml:space="preserve"> </w:t>
      </w:r>
      <w:r w:rsidR="00706B8F" w:rsidRPr="00706B8F">
        <w:rPr>
          <w:rFonts w:ascii="Arial" w:hAnsi="Arial" w:cs="Arial"/>
          <w:sz w:val="24"/>
          <w:szCs w:val="24"/>
          <w:lang w:val="en-US"/>
        </w:rPr>
        <w:t>declarations</w:t>
      </w:r>
      <w:r w:rsidR="00FA1AAA" w:rsidRPr="00706B8F">
        <w:rPr>
          <w:rFonts w:ascii="Arial" w:hAnsi="Arial" w:cs="Arial"/>
          <w:sz w:val="24"/>
          <w:szCs w:val="24"/>
          <w:lang w:val="en-US"/>
        </w:rPr>
        <w:t xml:space="preserve"> </w:t>
      </w:r>
      <w:r w:rsidR="00706B8F" w:rsidRPr="00706B8F">
        <w:rPr>
          <w:rFonts w:ascii="Arial" w:hAnsi="Arial" w:cs="Arial"/>
          <w:sz w:val="24"/>
          <w:szCs w:val="24"/>
          <w:lang w:val="en-US"/>
        </w:rPr>
        <w:t>concerning</w:t>
      </w:r>
      <w:r w:rsidR="00FA1AAA" w:rsidRPr="00706B8F">
        <w:rPr>
          <w:rFonts w:ascii="Arial" w:hAnsi="Arial" w:cs="Arial"/>
          <w:sz w:val="24"/>
          <w:szCs w:val="24"/>
          <w:lang w:val="en-US"/>
        </w:rPr>
        <w:t xml:space="preserve"> human rights have </w:t>
      </w:r>
      <w:r w:rsidR="00706B8F" w:rsidRPr="00706B8F">
        <w:rPr>
          <w:rFonts w:ascii="Arial" w:hAnsi="Arial" w:cs="Arial"/>
          <w:sz w:val="24"/>
          <w:szCs w:val="24"/>
          <w:lang w:val="en-US"/>
        </w:rPr>
        <w:t>made an impact</w:t>
      </w:r>
      <w:r w:rsidR="00FA1AAA" w:rsidRPr="00706B8F">
        <w:rPr>
          <w:rFonts w:ascii="Arial" w:hAnsi="Arial" w:cs="Arial"/>
          <w:sz w:val="24"/>
          <w:szCs w:val="24"/>
          <w:lang w:val="en-US"/>
        </w:rPr>
        <w:t xml:space="preserve"> on human rights courts and treaty bodies</w:t>
      </w:r>
      <w:r w:rsidR="00706B8F" w:rsidRPr="00706B8F">
        <w:rPr>
          <w:rFonts w:ascii="Arial" w:hAnsi="Arial" w:cs="Arial"/>
          <w:sz w:val="24"/>
          <w:szCs w:val="24"/>
          <w:lang w:val="en-US"/>
        </w:rPr>
        <w:t xml:space="preserve">. </w:t>
      </w:r>
      <w:r w:rsidR="00FA1AAA" w:rsidRPr="00A916F2">
        <w:rPr>
          <w:rFonts w:ascii="Arial" w:hAnsi="Arial" w:cs="Arial"/>
          <w:sz w:val="24"/>
          <w:szCs w:val="24"/>
          <w:lang w:val="en-US"/>
        </w:rPr>
        <w:t xml:space="preserve">Rosenne </w:t>
      </w:r>
      <w:r w:rsidR="00A916F2" w:rsidRPr="00A916F2">
        <w:rPr>
          <w:rFonts w:ascii="Arial" w:hAnsi="Arial" w:cs="Arial"/>
          <w:sz w:val="24"/>
          <w:szCs w:val="24"/>
          <w:lang w:val="en-US"/>
        </w:rPr>
        <w:t>pro</w:t>
      </w:r>
      <w:r w:rsidR="00215330" w:rsidRPr="00A916F2">
        <w:rPr>
          <w:rFonts w:ascii="Arial" w:hAnsi="Arial" w:cs="Arial"/>
          <w:sz w:val="24"/>
          <w:szCs w:val="24"/>
          <w:lang w:val="en-US"/>
        </w:rPr>
        <w:t xml:space="preserve">poses the </w:t>
      </w:r>
      <w:r w:rsidR="00A916F2" w:rsidRPr="00A916F2">
        <w:rPr>
          <w:rFonts w:ascii="Arial" w:hAnsi="Arial" w:cs="Arial"/>
          <w:sz w:val="24"/>
          <w:szCs w:val="24"/>
          <w:lang w:val="en-US"/>
        </w:rPr>
        <w:t>notion</w:t>
      </w:r>
      <w:r w:rsidR="00215330" w:rsidRPr="00A916F2">
        <w:rPr>
          <w:rFonts w:ascii="Arial" w:hAnsi="Arial" w:cs="Arial"/>
          <w:sz w:val="24"/>
          <w:szCs w:val="24"/>
          <w:lang w:val="en-US"/>
        </w:rPr>
        <w:t xml:space="preserve"> that</w:t>
      </w:r>
      <w:r w:rsidR="00FA1AAA" w:rsidRPr="00A916F2">
        <w:rPr>
          <w:rFonts w:ascii="Arial" w:hAnsi="Arial" w:cs="Arial"/>
          <w:sz w:val="24"/>
          <w:szCs w:val="24"/>
          <w:lang w:val="en-US"/>
        </w:rPr>
        <w:t xml:space="preserve">: </w:t>
      </w:r>
    </w:p>
    <w:p w14:paraId="562C2A5A" w14:textId="7F53DA49" w:rsidR="00FA1AAA" w:rsidRPr="00BA4D9E" w:rsidRDefault="00BA4D9E" w:rsidP="00401E4C">
      <w:pPr>
        <w:spacing w:line="480" w:lineRule="auto"/>
        <w:ind w:left="709" w:right="1035"/>
        <w:rPr>
          <w:rFonts w:ascii="Arial" w:hAnsi="Arial" w:cs="Arial"/>
          <w:sz w:val="24"/>
          <w:szCs w:val="24"/>
          <w:lang w:val="en-US"/>
        </w:rPr>
      </w:pPr>
      <w:r w:rsidRPr="00BA4D9E">
        <w:rPr>
          <w:rFonts w:ascii="Arial" w:hAnsi="Arial" w:cs="Arial"/>
          <w:sz w:val="24"/>
          <w:szCs w:val="24"/>
          <w:lang w:val="en-US"/>
        </w:rPr>
        <w:t>‘</w:t>
      </w:r>
      <w:r w:rsidR="00FA1AAA" w:rsidRPr="00BA4D9E">
        <w:rPr>
          <w:rFonts w:ascii="Arial" w:hAnsi="Arial" w:cs="Arial"/>
          <w:sz w:val="24"/>
          <w:szCs w:val="24"/>
          <w:lang w:val="en-US"/>
        </w:rPr>
        <w:t>with the political polarization of the world and the accompanying tendency towards the fragmentation of international law into some sort of regional units and specialized functional branches, a Court organized primarily as a world Court applying general international law is always the most suitable form of international judicial organi</w:t>
      </w:r>
      <w:r w:rsidR="00215330">
        <w:rPr>
          <w:rFonts w:ascii="Arial" w:hAnsi="Arial" w:cs="Arial"/>
          <w:sz w:val="24"/>
          <w:szCs w:val="24"/>
          <w:lang w:val="en-US"/>
        </w:rPr>
        <w:t>s</w:t>
      </w:r>
      <w:r w:rsidR="00FA1AAA" w:rsidRPr="00BA4D9E">
        <w:rPr>
          <w:rFonts w:ascii="Arial" w:hAnsi="Arial" w:cs="Arial"/>
          <w:sz w:val="24"/>
          <w:szCs w:val="24"/>
          <w:lang w:val="en-US"/>
        </w:rPr>
        <w:t>ation.</w:t>
      </w:r>
      <w:r w:rsidRPr="00BA4D9E">
        <w:rPr>
          <w:rFonts w:ascii="Arial" w:hAnsi="Arial" w:cs="Arial"/>
          <w:sz w:val="24"/>
          <w:szCs w:val="24"/>
          <w:lang w:val="en-US"/>
        </w:rPr>
        <w:t>’</w:t>
      </w:r>
      <w:r w:rsidR="00E345CC" w:rsidRPr="00BA4D9E">
        <w:rPr>
          <w:rStyle w:val="FootnoteReference"/>
          <w:rFonts w:ascii="Arial" w:hAnsi="Arial" w:cs="Arial"/>
          <w:sz w:val="24"/>
          <w:szCs w:val="24"/>
          <w:lang w:val="en-US"/>
        </w:rPr>
        <w:footnoteReference w:id="296"/>
      </w:r>
    </w:p>
    <w:p w14:paraId="345E70E8" w14:textId="74C1654E" w:rsidR="00FA1AAA" w:rsidRPr="00864DA5" w:rsidRDefault="00344B96" w:rsidP="00401E4C">
      <w:pPr>
        <w:spacing w:line="480" w:lineRule="auto"/>
        <w:rPr>
          <w:rFonts w:ascii="Arial" w:hAnsi="Arial" w:cs="Arial"/>
          <w:color w:val="FF0000"/>
          <w:sz w:val="24"/>
          <w:szCs w:val="24"/>
          <w:lang w:val="en-US"/>
        </w:rPr>
      </w:pPr>
      <w:r w:rsidRPr="00344B96">
        <w:rPr>
          <w:rFonts w:ascii="Arial" w:hAnsi="Arial" w:cs="Arial"/>
          <w:sz w:val="24"/>
          <w:szCs w:val="24"/>
          <w:lang w:val="en-US"/>
        </w:rPr>
        <w:t>The ICJ has evidently</w:t>
      </w:r>
      <w:r w:rsidR="00FA1AAA" w:rsidRPr="00344B96">
        <w:rPr>
          <w:rFonts w:ascii="Arial" w:hAnsi="Arial" w:cs="Arial"/>
          <w:sz w:val="24"/>
          <w:szCs w:val="24"/>
          <w:lang w:val="en-US"/>
        </w:rPr>
        <w:t xml:space="preserve"> </w:t>
      </w:r>
      <w:r w:rsidRPr="00344B96">
        <w:rPr>
          <w:rFonts w:ascii="Arial" w:hAnsi="Arial" w:cs="Arial"/>
          <w:sz w:val="24"/>
          <w:szCs w:val="24"/>
          <w:lang w:val="en-US"/>
        </w:rPr>
        <w:t>incorporated</w:t>
      </w:r>
      <w:r w:rsidR="00FA1AAA" w:rsidRPr="00344B96">
        <w:rPr>
          <w:rFonts w:ascii="Arial" w:hAnsi="Arial" w:cs="Arial"/>
          <w:sz w:val="24"/>
          <w:szCs w:val="24"/>
          <w:lang w:val="en-US"/>
        </w:rPr>
        <w:t xml:space="preserve"> human rights law into </w:t>
      </w:r>
      <w:r w:rsidRPr="00344B96">
        <w:rPr>
          <w:rFonts w:ascii="Arial" w:hAnsi="Arial" w:cs="Arial"/>
          <w:sz w:val="24"/>
          <w:szCs w:val="24"/>
          <w:lang w:val="en-US"/>
        </w:rPr>
        <w:t>‘</w:t>
      </w:r>
      <w:r w:rsidR="00FA1AAA" w:rsidRPr="00344B96">
        <w:rPr>
          <w:rFonts w:ascii="Arial" w:hAnsi="Arial" w:cs="Arial"/>
          <w:sz w:val="24"/>
          <w:szCs w:val="24"/>
          <w:lang w:val="en-US"/>
        </w:rPr>
        <w:t>a unitary vision of the international legal system,</w:t>
      </w:r>
      <w:r w:rsidRPr="00344B96">
        <w:rPr>
          <w:rFonts w:ascii="Arial" w:hAnsi="Arial" w:cs="Arial"/>
          <w:sz w:val="24"/>
          <w:szCs w:val="24"/>
          <w:lang w:val="en-US"/>
        </w:rPr>
        <w:t>’</w:t>
      </w:r>
      <w:r w:rsidRPr="00344B96">
        <w:rPr>
          <w:rStyle w:val="FootnoteReference"/>
          <w:rFonts w:ascii="Arial" w:hAnsi="Arial" w:cs="Arial"/>
          <w:sz w:val="24"/>
          <w:szCs w:val="24"/>
          <w:lang w:val="en-US"/>
        </w:rPr>
        <w:t xml:space="preserve"> </w:t>
      </w:r>
      <w:r w:rsidRPr="00344B96">
        <w:rPr>
          <w:rFonts w:ascii="Arial" w:hAnsi="Arial" w:cs="Arial"/>
          <w:sz w:val="24"/>
          <w:szCs w:val="24"/>
          <w:lang w:val="en-US"/>
        </w:rPr>
        <w:t>by</w:t>
      </w:r>
      <w:r w:rsidR="00FA1AAA" w:rsidRPr="00FA1AAA">
        <w:rPr>
          <w:rFonts w:ascii="Arial" w:hAnsi="Arial" w:cs="Arial"/>
          <w:color w:val="FF0000"/>
          <w:sz w:val="24"/>
          <w:szCs w:val="24"/>
          <w:lang w:val="en-US"/>
        </w:rPr>
        <w:t xml:space="preserve"> </w:t>
      </w:r>
      <w:r w:rsidRPr="003B2C88">
        <w:rPr>
          <w:rFonts w:ascii="Arial" w:hAnsi="Arial" w:cs="Arial"/>
          <w:sz w:val="24"/>
          <w:szCs w:val="24"/>
          <w:lang w:val="en-US"/>
        </w:rPr>
        <w:t>maintaining</w:t>
      </w:r>
      <w:r w:rsidR="00FA1AAA" w:rsidRPr="003B2C88">
        <w:rPr>
          <w:rFonts w:ascii="Arial" w:hAnsi="Arial" w:cs="Arial"/>
          <w:sz w:val="24"/>
          <w:szCs w:val="24"/>
          <w:lang w:val="en-US"/>
        </w:rPr>
        <w:t xml:space="preserve"> its indivisibility, </w:t>
      </w:r>
      <w:r w:rsidR="003B2C88" w:rsidRPr="003B2C88">
        <w:rPr>
          <w:rFonts w:ascii="Arial" w:hAnsi="Arial" w:cs="Arial"/>
          <w:sz w:val="24"/>
          <w:szCs w:val="24"/>
          <w:lang w:val="en-US"/>
        </w:rPr>
        <w:t>‘</w:t>
      </w:r>
      <w:r w:rsidR="00FA1AAA" w:rsidRPr="003B2C88">
        <w:rPr>
          <w:rFonts w:ascii="Arial" w:hAnsi="Arial" w:cs="Arial"/>
          <w:sz w:val="24"/>
          <w:szCs w:val="24"/>
          <w:lang w:val="en-US"/>
        </w:rPr>
        <w:t>extraterritorial application</w:t>
      </w:r>
      <w:r w:rsidR="003B2C88" w:rsidRPr="003B2C88">
        <w:rPr>
          <w:rFonts w:ascii="Arial" w:hAnsi="Arial" w:cs="Arial"/>
          <w:sz w:val="24"/>
          <w:szCs w:val="24"/>
          <w:lang w:val="en-US"/>
        </w:rPr>
        <w:t>’</w:t>
      </w:r>
      <w:r w:rsidR="00FA1AAA" w:rsidRPr="003B2C88">
        <w:rPr>
          <w:rFonts w:ascii="Arial" w:hAnsi="Arial" w:cs="Arial"/>
          <w:sz w:val="24"/>
          <w:szCs w:val="24"/>
          <w:lang w:val="en-US"/>
        </w:rPr>
        <w:t xml:space="preserve"> and </w:t>
      </w:r>
      <w:r w:rsidR="003B2C88" w:rsidRPr="003B2C88">
        <w:rPr>
          <w:rFonts w:ascii="Arial" w:hAnsi="Arial" w:cs="Arial"/>
          <w:sz w:val="24"/>
          <w:szCs w:val="24"/>
          <w:lang w:val="en-US"/>
        </w:rPr>
        <w:t>connections</w:t>
      </w:r>
      <w:r w:rsidR="00FA1AAA" w:rsidRPr="003B2C88">
        <w:rPr>
          <w:rFonts w:ascii="Arial" w:hAnsi="Arial" w:cs="Arial"/>
          <w:sz w:val="24"/>
          <w:szCs w:val="24"/>
          <w:lang w:val="en-US"/>
        </w:rPr>
        <w:t xml:space="preserve"> with </w:t>
      </w:r>
      <w:r w:rsidR="003B2C88" w:rsidRPr="003B2C88">
        <w:rPr>
          <w:rFonts w:ascii="Arial" w:hAnsi="Arial" w:cs="Arial"/>
          <w:sz w:val="24"/>
          <w:szCs w:val="24"/>
          <w:lang w:val="en-US"/>
        </w:rPr>
        <w:t>different</w:t>
      </w:r>
      <w:r w:rsidR="00FA1AAA" w:rsidRPr="003B2C88">
        <w:rPr>
          <w:rFonts w:ascii="Arial" w:hAnsi="Arial" w:cs="Arial"/>
          <w:sz w:val="24"/>
          <w:szCs w:val="24"/>
          <w:lang w:val="en-US"/>
        </w:rPr>
        <w:t xml:space="preserve"> </w:t>
      </w:r>
      <w:r w:rsidR="003B2C88" w:rsidRPr="003B2C88">
        <w:rPr>
          <w:rFonts w:ascii="Arial" w:hAnsi="Arial" w:cs="Arial"/>
          <w:sz w:val="24"/>
          <w:szCs w:val="24"/>
          <w:lang w:val="en-US"/>
        </w:rPr>
        <w:t>aspects</w:t>
      </w:r>
      <w:r w:rsidR="00FA1AAA" w:rsidRPr="003B2C88">
        <w:rPr>
          <w:rFonts w:ascii="Arial" w:hAnsi="Arial" w:cs="Arial"/>
          <w:sz w:val="24"/>
          <w:szCs w:val="24"/>
          <w:lang w:val="en-US"/>
        </w:rPr>
        <w:t xml:space="preserve"> of international law</w:t>
      </w:r>
      <w:r w:rsidRPr="003B2C88">
        <w:rPr>
          <w:rFonts w:ascii="Arial" w:hAnsi="Arial" w:cs="Arial"/>
          <w:sz w:val="24"/>
          <w:szCs w:val="24"/>
          <w:lang w:val="en-US"/>
        </w:rPr>
        <w:t>.</w:t>
      </w:r>
      <w:r w:rsidR="003B2C88" w:rsidRPr="003B2C88">
        <w:rPr>
          <w:rStyle w:val="FootnoteReference"/>
          <w:rFonts w:ascii="Arial" w:hAnsi="Arial" w:cs="Arial"/>
          <w:sz w:val="24"/>
          <w:szCs w:val="24"/>
          <w:lang w:val="en-US"/>
        </w:rPr>
        <w:footnoteReference w:id="297"/>
      </w:r>
      <w:r w:rsidR="00FA1AAA" w:rsidRPr="00FA1AAA">
        <w:rPr>
          <w:rFonts w:ascii="Arial" w:hAnsi="Arial" w:cs="Arial"/>
          <w:color w:val="FF0000"/>
          <w:sz w:val="24"/>
          <w:szCs w:val="24"/>
          <w:lang w:val="en-US"/>
        </w:rPr>
        <w:t xml:space="preserve"> </w:t>
      </w:r>
    </w:p>
    <w:p w14:paraId="31FE1119" w14:textId="2E667C64" w:rsidR="00864DA5" w:rsidRPr="0039544B" w:rsidRDefault="0039544B" w:rsidP="00401E4C">
      <w:pPr>
        <w:spacing w:line="480" w:lineRule="auto"/>
        <w:rPr>
          <w:rFonts w:ascii="Arial" w:hAnsi="Arial" w:cs="Arial"/>
          <w:sz w:val="24"/>
          <w:szCs w:val="24"/>
          <w:lang w:val="en-US"/>
        </w:rPr>
      </w:pPr>
      <w:r w:rsidRPr="0039544B">
        <w:rPr>
          <w:rFonts w:ascii="Arial" w:hAnsi="Arial" w:cs="Arial"/>
          <w:sz w:val="24"/>
          <w:szCs w:val="24"/>
          <w:lang w:val="en-US"/>
        </w:rPr>
        <w:t>By</w:t>
      </w:r>
      <w:r w:rsidR="002038BE" w:rsidRPr="0039544B">
        <w:rPr>
          <w:rFonts w:ascii="Arial" w:hAnsi="Arial" w:cs="Arial"/>
          <w:sz w:val="24"/>
          <w:szCs w:val="24"/>
          <w:lang w:val="en-US"/>
        </w:rPr>
        <w:t xml:space="preserve"> the mid-1990s, Jennings </w:t>
      </w:r>
      <w:r w:rsidRPr="0039544B">
        <w:rPr>
          <w:rFonts w:ascii="Arial" w:hAnsi="Arial" w:cs="Arial"/>
          <w:sz w:val="24"/>
          <w:szCs w:val="24"/>
          <w:lang w:val="en-US"/>
        </w:rPr>
        <w:t>decided</w:t>
      </w:r>
      <w:r w:rsidR="00864DA5" w:rsidRPr="0039544B">
        <w:rPr>
          <w:rFonts w:ascii="Arial" w:hAnsi="Arial" w:cs="Arial"/>
          <w:sz w:val="24"/>
          <w:szCs w:val="24"/>
          <w:lang w:val="en-US"/>
        </w:rPr>
        <w:t xml:space="preserve"> that the ‘tendencies to fragmentation in international adjudication threaten to give an ironic modern twist to McNair’s belief that there is more international law in existence “</w:t>
      </w:r>
      <w:r w:rsidR="002038BE" w:rsidRPr="0039544B">
        <w:rPr>
          <w:rFonts w:ascii="Arial" w:hAnsi="Arial" w:cs="Arial"/>
          <w:sz w:val="24"/>
          <w:szCs w:val="24"/>
          <w:lang w:val="en-US"/>
        </w:rPr>
        <w:t>than this world dreams of”’.</w:t>
      </w:r>
      <w:r w:rsidR="002038BE" w:rsidRPr="0039544B">
        <w:rPr>
          <w:rStyle w:val="FootnoteReference"/>
          <w:rFonts w:ascii="Arial" w:hAnsi="Arial" w:cs="Arial"/>
          <w:sz w:val="24"/>
          <w:szCs w:val="24"/>
          <w:lang w:val="en-US"/>
        </w:rPr>
        <w:footnoteReference w:id="298"/>
      </w:r>
      <w:r>
        <w:rPr>
          <w:rFonts w:ascii="Arial" w:hAnsi="Arial" w:cs="Arial"/>
          <w:sz w:val="24"/>
          <w:szCs w:val="24"/>
          <w:lang w:val="en-US"/>
        </w:rPr>
        <w:t xml:space="preserve"> </w:t>
      </w:r>
      <w:r w:rsidR="002038BE">
        <w:rPr>
          <w:rFonts w:ascii="Arial" w:hAnsi="Arial" w:cs="Arial"/>
          <w:sz w:val="24"/>
          <w:szCs w:val="24"/>
          <w:lang w:val="en-US"/>
        </w:rPr>
        <w:t xml:space="preserve">However, </w:t>
      </w:r>
      <w:r>
        <w:rPr>
          <w:rFonts w:ascii="Arial" w:hAnsi="Arial" w:cs="Arial"/>
          <w:sz w:val="24"/>
          <w:szCs w:val="24"/>
          <w:lang w:val="en-US"/>
        </w:rPr>
        <w:t>in</w:t>
      </w:r>
      <w:r w:rsidR="009743AE" w:rsidRPr="009743AE">
        <w:rPr>
          <w:rFonts w:ascii="Arial" w:hAnsi="Arial" w:cs="Arial"/>
          <w:sz w:val="24"/>
          <w:szCs w:val="24"/>
          <w:lang w:val="en-US"/>
        </w:rPr>
        <w:t xml:space="preserve"> hindsight, </w:t>
      </w:r>
      <w:r w:rsidR="00864DA5" w:rsidRPr="009743AE">
        <w:rPr>
          <w:rFonts w:ascii="Arial" w:hAnsi="Arial" w:cs="Arial"/>
          <w:sz w:val="24"/>
          <w:szCs w:val="24"/>
          <w:lang w:val="en-US"/>
        </w:rPr>
        <w:t>Jennings’s</w:t>
      </w:r>
      <w:r w:rsidR="009743AE" w:rsidRPr="009743AE">
        <w:rPr>
          <w:rFonts w:ascii="Arial" w:hAnsi="Arial" w:cs="Arial"/>
          <w:sz w:val="24"/>
          <w:szCs w:val="24"/>
          <w:lang w:val="en-US"/>
        </w:rPr>
        <w:t xml:space="preserve"> concerns regarding the threat of fragmentation</w:t>
      </w:r>
      <w:r w:rsidR="002038BE">
        <w:rPr>
          <w:rFonts w:ascii="Arial" w:hAnsi="Arial" w:cs="Arial"/>
          <w:sz w:val="24"/>
          <w:szCs w:val="24"/>
          <w:lang w:val="en-US"/>
        </w:rPr>
        <w:t xml:space="preserve"> </w:t>
      </w:r>
      <w:r>
        <w:rPr>
          <w:rFonts w:ascii="Arial" w:hAnsi="Arial" w:cs="Arial"/>
          <w:sz w:val="24"/>
          <w:szCs w:val="24"/>
          <w:lang w:val="en-US"/>
        </w:rPr>
        <w:t>of</w:t>
      </w:r>
      <w:r w:rsidR="002038BE">
        <w:rPr>
          <w:rFonts w:ascii="Arial" w:hAnsi="Arial" w:cs="Arial"/>
          <w:sz w:val="24"/>
          <w:szCs w:val="24"/>
          <w:lang w:val="en-US"/>
        </w:rPr>
        <w:t xml:space="preserve"> international law</w:t>
      </w:r>
      <w:r w:rsidR="009743AE" w:rsidRPr="009743AE">
        <w:rPr>
          <w:rFonts w:ascii="Arial" w:hAnsi="Arial" w:cs="Arial"/>
          <w:sz w:val="24"/>
          <w:szCs w:val="24"/>
          <w:lang w:val="en-US"/>
        </w:rPr>
        <w:t xml:space="preserve"> </w:t>
      </w:r>
      <w:r w:rsidR="00864DA5" w:rsidRPr="009743AE">
        <w:rPr>
          <w:rFonts w:ascii="Arial" w:hAnsi="Arial" w:cs="Arial"/>
          <w:sz w:val="24"/>
          <w:szCs w:val="24"/>
          <w:lang w:val="en-US"/>
        </w:rPr>
        <w:t>were</w:t>
      </w:r>
      <w:r w:rsidR="00864DA5" w:rsidRPr="00887D3A">
        <w:rPr>
          <w:rFonts w:ascii="Arial" w:hAnsi="Arial" w:cs="Arial"/>
          <w:color w:val="FF0000"/>
          <w:sz w:val="24"/>
          <w:szCs w:val="24"/>
          <w:lang w:val="en-US"/>
        </w:rPr>
        <w:t xml:space="preserve"> </w:t>
      </w:r>
      <w:r w:rsidR="002038BE" w:rsidRPr="002038BE">
        <w:rPr>
          <w:rFonts w:ascii="Arial" w:hAnsi="Arial" w:cs="Arial"/>
          <w:sz w:val="24"/>
          <w:szCs w:val="24"/>
          <w:lang w:val="en-US"/>
        </w:rPr>
        <w:t>ultimately</w:t>
      </w:r>
      <w:r w:rsidR="00864DA5" w:rsidRPr="002038BE">
        <w:rPr>
          <w:rFonts w:ascii="Arial" w:hAnsi="Arial" w:cs="Arial"/>
          <w:sz w:val="24"/>
          <w:szCs w:val="24"/>
          <w:lang w:val="en-US"/>
        </w:rPr>
        <w:t xml:space="preserve"> exaggerated.</w:t>
      </w:r>
      <w:r w:rsidR="006575F9">
        <w:rPr>
          <w:rFonts w:ascii="Arial" w:hAnsi="Arial" w:cs="Arial"/>
          <w:sz w:val="24"/>
          <w:szCs w:val="24"/>
          <w:lang w:val="en-US"/>
        </w:rPr>
        <w:t xml:space="preserve"> It is important to remember</w:t>
      </w:r>
      <w:r w:rsidR="00864DA5" w:rsidRPr="00887D3A">
        <w:rPr>
          <w:rFonts w:ascii="Arial" w:hAnsi="Arial" w:cs="Arial"/>
          <w:color w:val="FF0000"/>
          <w:sz w:val="24"/>
          <w:szCs w:val="24"/>
          <w:lang w:val="en-US"/>
        </w:rPr>
        <w:t xml:space="preserve"> </w:t>
      </w:r>
      <w:r w:rsidR="00864DA5" w:rsidRPr="006575F9">
        <w:rPr>
          <w:rFonts w:ascii="Arial" w:hAnsi="Arial" w:cs="Arial"/>
          <w:sz w:val="24"/>
          <w:szCs w:val="24"/>
          <w:lang w:val="en-US"/>
        </w:rPr>
        <w:t>Lauterpacht and McNair</w:t>
      </w:r>
      <w:r w:rsidR="006575F9" w:rsidRPr="006575F9">
        <w:rPr>
          <w:rFonts w:ascii="Arial" w:hAnsi="Arial" w:cs="Arial"/>
          <w:sz w:val="24"/>
          <w:szCs w:val="24"/>
          <w:lang w:val="en-US"/>
        </w:rPr>
        <w:t>’s addition after</w:t>
      </w:r>
      <w:r w:rsidR="006575F9" w:rsidRPr="00C07517">
        <w:rPr>
          <w:rFonts w:ascii="Arial" w:hAnsi="Arial" w:cs="Arial"/>
          <w:sz w:val="24"/>
          <w:szCs w:val="24"/>
          <w:lang w:val="en-US"/>
        </w:rPr>
        <w:t xml:space="preserve"> they confessed</w:t>
      </w:r>
      <w:r w:rsidR="00864DA5" w:rsidRPr="00C07517">
        <w:rPr>
          <w:rFonts w:ascii="Arial" w:hAnsi="Arial" w:cs="Arial"/>
          <w:sz w:val="24"/>
          <w:szCs w:val="24"/>
          <w:lang w:val="en-US"/>
        </w:rPr>
        <w:t xml:space="preserve"> their suspicion that there was </w:t>
      </w:r>
      <w:r w:rsidR="00DD72AD" w:rsidRPr="00C07517">
        <w:rPr>
          <w:rFonts w:ascii="Arial" w:hAnsi="Arial" w:cs="Arial"/>
          <w:sz w:val="24"/>
          <w:szCs w:val="24"/>
          <w:lang w:val="en-US"/>
        </w:rPr>
        <w:t>“</w:t>
      </w:r>
      <w:r w:rsidR="00864DA5" w:rsidRPr="00C07517">
        <w:rPr>
          <w:rFonts w:ascii="Arial" w:hAnsi="Arial" w:cs="Arial"/>
          <w:sz w:val="24"/>
          <w:szCs w:val="24"/>
          <w:lang w:val="en-US"/>
        </w:rPr>
        <w:t>more international law already in existence and accumulating daily than this world dreams of</w:t>
      </w:r>
      <w:r w:rsidR="00DD72AD" w:rsidRPr="00C07517">
        <w:rPr>
          <w:rFonts w:ascii="Arial" w:hAnsi="Arial" w:cs="Arial"/>
          <w:sz w:val="24"/>
          <w:szCs w:val="24"/>
          <w:lang w:val="en-US"/>
        </w:rPr>
        <w:t>”</w:t>
      </w:r>
      <w:r w:rsidR="00864DA5" w:rsidRPr="00C07517">
        <w:rPr>
          <w:rFonts w:ascii="Arial" w:hAnsi="Arial" w:cs="Arial"/>
          <w:sz w:val="24"/>
          <w:szCs w:val="24"/>
          <w:lang w:val="en-US"/>
        </w:rPr>
        <w:t>:</w:t>
      </w:r>
      <w:r w:rsidR="00DD72AD" w:rsidRPr="00C07517">
        <w:rPr>
          <w:rStyle w:val="FootnoteReference"/>
          <w:rFonts w:ascii="Arial" w:hAnsi="Arial" w:cs="Arial"/>
          <w:sz w:val="24"/>
          <w:szCs w:val="24"/>
          <w:lang w:val="en-US"/>
        </w:rPr>
        <w:footnoteReference w:id="299"/>
      </w:r>
      <w:r w:rsidR="00864DA5" w:rsidRPr="00C07517">
        <w:rPr>
          <w:rFonts w:ascii="Arial" w:hAnsi="Arial" w:cs="Arial"/>
          <w:sz w:val="24"/>
          <w:szCs w:val="24"/>
          <w:lang w:val="en-US"/>
        </w:rPr>
        <w:t xml:space="preserve"> </w:t>
      </w:r>
      <w:r w:rsidR="00864DA5" w:rsidRPr="009B6519">
        <w:rPr>
          <w:rFonts w:ascii="Arial" w:hAnsi="Arial" w:cs="Arial"/>
          <w:sz w:val="24"/>
          <w:szCs w:val="24"/>
          <w:lang w:val="en-US"/>
        </w:rPr>
        <w:t xml:space="preserve">they </w:t>
      </w:r>
      <w:r w:rsidR="00C07517" w:rsidRPr="009B6519">
        <w:rPr>
          <w:rFonts w:ascii="Arial" w:hAnsi="Arial" w:cs="Arial"/>
          <w:sz w:val="24"/>
          <w:szCs w:val="24"/>
          <w:lang w:val="en-US"/>
        </w:rPr>
        <w:t>further contended</w:t>
      </w:r>
      <w:r w:rsidR="00864DA5" w:rsidRPr="009B6519">
        <w:rPr>
          <w:rFonts w:ascii="Arial" w:hAnsi="Arial" w:cs="Arial"/>
          <w:sz w:val="24"/>
          <w:szCs w:val="24"/>
          <w:lang w:val="en-US"/>
        </w:rPr>
        <w:t xml:space="preserve"> that ‘it is more international law that</w:t>
      </w:r>
      <w:r w:rsidR="00C07517" w:rsidRPr="009B6519">
        <w:rPr>
          <w:rFonts w:ascii="Arial" w:hAnsi="Arial" w:cs="Arial"/>
          <w:sz w:val="24"/>
          <w:szCs w:val="24"/>
          <w:lang w:val="en-US"/>
        </w:rPr>
        <w:t xml:space="preserve"> this world wants’.</w:t>
      </w:r>
      <w:r w:rsidR="00C07517" w:rsidRPr="009B6519">
        <w:rPr>
          <w:rStyle w:val="FootnoteReference"/>
          <w:rFonts w:ascii="Arial" w:hAnsi="Arial" w:cs="Arial"/>
          <w:sz w:val="24"/>
          <w:szCs w:val="24"/>
          <w:lang w:val="en-US"/>
        </w:rPr>
        <w:footnoteReference w:id="300"/>
      </w:r>
      <w:r w:rsidR="009B6519">
        <w:rPr>
          <w:rFonts w:ascii="Arial" w:hAnsi="Arial" w:cs="Arial"/>
          <w:sz w:val="24"/>
          <w:szCs w:val="24"/>
          <w:lang w:val="en-US"/>
        </w:rPr>
        <w:t xml:space="preserve"> This contention has since been </w:t>
      </w:r>
      <w:r w:rsidR="009B6519" w:rsidRPr="009B6519">
        <w:rPr>
          <w:rFonts w:ascii="Arial" w:hAnsi="Arial" w:cs="Arial"/>
          <w:sz w:val="24"/>
          <w:szCs w:val="24"/>
          <w:lang w:val="en-US"/>
        </w:rPr>
        <w:t xml:space="preserve">shown to be accurate, especially given that </w:t>
      </w:r>
      <w:r w:rsidR="00864DA5" w:rsidRPr="009B6519">
        <w:rPr>
          <w:rFonts w:ascii="Arial" w:hAnsi="Arial" w:cs="Arial"/>
          <w:sz w:val="24"/>
          <w:szCs w:val="24"/>
          <w:lang w:val="en-US"/>
        </w:rPr>
        <w:t>‘the more in</w:t>
      </w:r>
      <w:r w:rsidR="009B6519" w:rsidRPr="009B6519">
        <w:rPr>
          <w:rFonts w:ascii="Arial" w:hAnsi="Arial" w:cs="Arial"/>
          <w:sz w:val="24"/>
          <w:szCs w:val="24"/>
          <w:lang w:val="en-US"/>
        </w:rPr>
        <w:t>ternational law, the better’.</w:t>
      </w:r>
      <w:r w:rsidR="009B6519" w:rsidRPr="009B6519">
        <w:rPr>
          <w:rStyle w:val="FootnoteReference"/>
          <w:rFonts w:ascii="Arial" w:hAnsi="Arial" w:cs="Arial"/>
          <w:sz w:val="24"/>
          <w:szCs w:val="24"/>
          <w:lang w:val="en-US"/>
        </w:rPr>
        <w:footnoteReference w:id="301"/>
      </w:r>
      <w:r w:rsidR="00864DA5" w:rsidRPr="00887D3A">
        <w:rPr>
          <w:rFonts w:ascii="Arial" w:hAnsi="Arial" w:cs="Arial"/>
          <w:color w:val="FF0000"/>
          <w:sz w:val="24"/>
          <w:szCs w:val="24"/>
          <w:lang w:val="en-US"/>
        </w:rPr>
        <w:t xml:space="preserve"> </w:t>
      </w:r>
      <w:r w:rsidR="00AD05D7">
        <w:rPr>
          <w:rFonts w:ascii="Arial" w:hAnsi="Arial" w:cs="Arial"/>
          <w:sz w:val="24"/>
          <w:szCs w:val="24"/>
          <w:lang w:val="en-US"/>
        </w:rPr>
        <w:t>Progress i</w:t>
      </w:r>
      <w:r w:rsidR="00C53233" w:rsidRPr="00C53233">
        <w:rPr>
          <w:rFonts w:ascii="Arial" w:hAnsi="Arial" w:cs="Arial"/>
          <w:sz w:val="24"/>
          <w:szCs w:val="24"/>
          <w:lang w:val="en-US"/>
        </w:rPr>
        <w:t>n recent years has resulted</w:t>
      </w:r>
      <w:r w:rsidR="00C53233">
        <w:rPr>
          <w:rFonts w:ascii="Arial" w:hAnsi="Arial" w:cs="Arial"/>
          <w:color w:val="FF0000"/>
          <w:sz w:val="24"/>
          <w:szCs w:val="24"/>
          <w:lang w:val="en-US"/>
        </w:rPr>
        <w:t xml:space="preserve"> </w:t>
      </w:r>
      <w:r w:rsidR="00C53233" w:rsidRPr="00AD05D7">
        <w:rPr>
          <w:rFonts w:ascii="Arial" w:hAnsi="Arial" w:cs="Arial"/>
          <w:sz w:val="24"/>
          <w:szCs w:val="24"/>
          <w:lang w:val="en-US"/>
        </w:rPr>
        <w:t xml:space="preserve">in </w:t>
      </w:r>
      <w:r w:rsidR="00864DA5" w:rsidRPr="00AD05D7">
        <w:rPr>
          <w:rFonts w:ascii="Arial" w:hAnsi="Arial" w:cs="Arial"/>
          <w:sz w:val="24"/>
          <w:szCs w:val="24"/>
          <w:lang w:val="en-US"/>
        </w:rPr>
        <w:t>this</w:t>
      </w:r>
      <w:r w:rsidR="00864DA5" w:rsidRPr="00887D3A">
        <w:rPr>
          <w:rFonts w:ascii="Arial" w:hAnsi="Arial" w:cs="Arial"/>
          <w:color w:val="FF0000"/>
          <w:sz w:val="24"/>
          <w:szCs w:val="24"/>
          <w:lang w:val="en-US"/>
        </w:rPr>
        <w:t xml:space="preserve"> </w:t>
      </w:r>
      <w:r w:rsidR="00C53233" w:rsidRPr="00C53233">
        <w:rPr>
          <w:rFonts w:ascii="Arial" w:hAnsi="Arial" w:cs="Arial"/>
          <w:sz w:val="24"/>
          <w:szCs w:val="24"/>
          <w:lang w:val="en-US"/>
        </w:rPr>
        <w:t>accrual</w:t>
      </w:r>
      <w:r w:rsidR="00864DA5" w:rsidRPr="00C53233">
        <w:rPr>
          <w:rFonts w:ascii="Arial" w:hAnsi="Arial" w:cs="Arial"/>
          <w:sz w:val="24"/>
          <w:szCs w:val="24"/>
          <w:lang w:val="en-US"/>
        </w:rPr>
        <w:t xml:space="preserve"> of international </w:t>
      </w:r>
      <w:r w:rsidR="006C6687" w:rsidRPr="007B67B6">
        <w:rPr>
          <w:rFonts w:ascii="Arial" w:hAnsi="Arial" w:cs="Arial"/>
          <w:sz w:val="24"/>
          <w:szCs w:val="24"/>
          <w:lang w:val="en-US"/>
        </w:rPr>
        <w:t xml:space="preserve">law, which in turn has, to date, </w:t>
      </w:r>
      <w:r w:rsidR="007B67B6">
        <w:rPr>
          <w:rFonts w:ascii="Arial" w:hAnsi="Arial" w:cs="Arial"/>
          <w:sz w:val="24"/>
          <w:szCs w:val="24"/>
          <w:lang w:val="en-US"/>
        </w:rPr>
        <w:t>resulted in</w:t>
      </w:r>
      <w:r w:rsidR="00864DA5" w:rsidRPr="007B67B6">
        <w:rPr>
          <w:rFonts w:ascii="Arial" w:hAnsi="Arial" w:cs="Arial"/>
          <w:sz w:val="24"/>
          <w:szCs w:val="24"/>
          <w:lang w:val="en-US"/>
        </w:rPr>
        <w:t xml:space="preserve"> </w:t>
      </w:r>
      <w:r w:rsidR="006C6687" w:rsidRPr="007B67B6">
        <w:rPr>
          <w:rFonts w:ascii="Arial" w:hAnsi="Arial" w:cs="Arial"/>
          <w:sz w:val="24"/>
          <w:szCs w:val="24"/>
          <w:lang w:val="en-US"/>
        </w:rPr>
        <w:t>less</w:t>
      </w:r>
      <w:r w:rsidR="00864DA5" w:rsidRPr="007B67B6">
        <w:rPr>
          <w:rFonts w:ascii="Arial" w:hAnsi="Arial" w:cs="Arial"/>
          <w:sz w:val="24"/>
          <w:szCs w:val="24"/>
          <w:lang w:val="en-US"/>
        </w:rPr>
        <w:t xml:space="preserve"> fra</w:t>
      </w:r>
      <w:r w:rsidR="00ED5D2B" w:rsidRPr="007B67B6">
        <w:rPr>
          <w:rFonts w:ascii="Arial" w:hAnsi="Arial" w:cs="Arial"/>
          <w:sz w:val="24"/>
          <w:szCs w:val="24"/>
          <w:lang w:val="en-US"/>
        </w:rPr>
        <w:t xml:space="preserve">gmentation </w:t>
      </w:r>
      <w:r w:rsidR="006C6687" w:rsidRPr="007B67B6">
        <w:rPr>
          <w:rFonts w:ascii="Arial" w:hAnsi="Arial" w:cs="Arial"/>
          <w:sz w:val="24"/>
          <w:szCs w:val="24"/>
          <w:lang w:val="en-US"/>
        </w:rPr>
        <w:t>rather than more</w:t>
      </w:r>
      <w:r w:rsidR="00ED5D2B" w:rsidRPr="007B67B6">
        <w:rPr>
          <w:rFonts w:ascii="Arial" w:hAnsi="Arial" w:cs="Arial"/>
          <w:sz w:val="24"/>
          <w:szCs w:val="24"/>
          <w:lang w:val="en-US"/>
        </w:rPr>
        <w:t>.</w:t>
      </w:r>
      <w:r w:rsidR="00ED5D2B" w:rsidRPr="007B67B6">
        <w:rPr>
          <w:rStyle w:val="FootnoteReference"/>
          <w:rFonts w:ascii="Arial" w:hAnsi="Arial" w:cs="Arial"/>
          <w:sz w:val="24"/>
          <w:szCs w:val="24"/>
          <w:lang w:val="en-US"/>
        </w:rPr>
        <w:footnoteReference w:id="302"/>
      </w:r>
      <w:r w:rsidR="00730092">
        <w:rPr>
          <w:rFonts w:ascii="Arial" w:hAnsi="Arial" w:cs="Arial"/>
          <w:sz w:val="24"/>
          <w:szCs w:val="24"/>
          <w:lang w:val="en-US"/>
        </w:rPr>
        <w:t xml:space="preserve"> This is the premise for </w:t>
      </w:r>
      <w:r w:rsidR="00C85BA8">
        <w:rPr>
          <w:rFonts w:ascii="Arial" w:hAnsi="Arial" w:cs="Arial"/>
          <w:sz w:val="24"/>
          <w:szCs w:val="24"/>
          <w:lang w:val="en-US"/>
        </w:rPr>
        <w:t>our</w:t>
      </w:r>
      <w:r w:rsidR="00730092">
        <w:rPr>
          <w:rFonts w:ascii="Arial" w:hAnsi="Arial" w:cs="Arial"/>
          <w:sz w:val="24"/>
          <w:szCs w:val="24"/>
          <w:lang w:val="en-US"/>
        </w:rPr>
        <w:t xml:space="preserve"> assum</w:t>
      </w:r>
      <w:r w:rsidR="00C85BA8">
        <w:rPr>
          <w:rFonts w:ascii="Arial" w:hAnsi="Arial" w:cs="Arial"/>
          <w:sz w:val="24"/>
          <w:szCs w:val="24"/>
          <w:lang w:val="en-US"/>
        </w:rPr>
        <w:t>ption</w:t>
      </w:r>
      <w:r w:rsidR="00730092">
        <w:rPr>
          <w:rFonts w:ascii="Arial" w:hAnsi="Arial" w:cs="Arial"/>
          <w:sz w:val="24"/>
          <w:szCs w:val="24"/>
          <w:lang w:val="en-US"/>
        </w:rPr>
        <w:t xml:space="preserve"> that the </w:t>
      </w:r>
      <w:r w:rsidR="00984116">
        <w:rPr>
          <w:rFonts w:ascii="Arial" w:hAnsi="Arial" w:cs="Arial"/>
          <w:sz w:val="24"/>
          <w:szCs w:val="24"/>
          <w:lang w:val="en-US"/>
        </w:rPr>
        <w:t xml:space="preserve">more </w:t>
      </w:r>
      <w:r w:rsidR="00730092">
        <w:rPr>
          <w:rFonts w:ascii="Arial" w:hAnsi="Arial" w:cs="Arial"/>
          <w:sz w:val="24"/>
          <w:szCs w:val="24"/>
          <w:lang w:val="en-US"/>
        </w:rPr>
        <w:t>international law</w:t>
      </w:r>
      <w:r w:rsidR="00984116">
        <w:rPr>
          <w:rFonts w:ascii="Arial" w:hAnsi="Arial" w:cs="Arial"/>
          <w:sz w:val="24"/>
          <w:szCs w:val="24"/>
          <w:lang w:val="en-US"/>
        </w:rPr>
        <w:t xml:space="preserve"> there is, </w:t>
      </w:r>
      <w:r w:rsidR="00C85BA8">
        <w:rPr>
          <w:rFonts w:ascii="Arial" w:hAnsi="Arial" w:cs="Arial"/>
          <w:sz w:val="24"/>
          <w:szCs w:val="24"/>
          <w:lang w:val="en-US"/>
        </w:rPr>
        <w:t>the clear</w:t>
      </w:r>
      <w:r w:rsidR="00984116" w:rsidRPr="00AE5D4C">
        <w:rPr>
          <w:rFonts w:ascii="Arial" w:hAnsi="Arial" w:cs="Arial"/>
          <w:sz w:val="24"/>
          <w:szCs w:val="24"/>
          <w:lang w:val="en-US"/>
        </w:rPr>
        <w:t xml:space="preserve">er </w:t>
      </w:r>
      <w:r w:rsidR="00864DA5" w:rsidRPr="00AE5D4C">
        <w:rPr>
          <w:rFonts w:ascii="Arial" w:hAnsi="Arial" w:cs="Arial"/>
          <w:sz w:val="24"/>
          <w:szCs w:val="24"/>
          <w:lang w:val="en-US"/>
        </w:rPr>
        <w:t xml:space="preserve">the </w:t>
      </w:r>
      <w:r w:rsidR="00AE5D4C" w:rsidRPr="00AE5D4C">
        <w:rPr>
          <w:rFonts w:ascii="Arial" w:hAnsi="Arial" w:cs="Arial"/>
          <w:sz w:val="24"/>
          <w:szCs w:val="24"/>
          <w:lang w:val="en-US"/>
        </w:rPr>
        <w:t>intersecting</w:t>
      </w:r>
      <w:r w:rsidR="00864DA5" w:rsidRPr="00AE5D4C">
        <w:rPr>
          <w:rFonts w:ascii="Arial" w:hAnsi="Arial" w:cs="Arial"/>
          <w:sz w:val="24"/>
          <w:szCs w:val="24"/>
          <w:lang w:val="en-US"/>
        </w:rPr>
        <w:t xml:space="preserve"> </w:t>
      </w:r>
      <w:r w:rsidR="00AE5D4C" w:rsidRPr="00AE5D4C">
        <w:rPr>
          <w:rFonts w:ascii="Arial" w:hAnsi="Arial" w:cs="Arial"/>
          <w:sz w:val="24"/>
          <w:szCs w:val="24"/>
          <w:lang w:val="en-US"/>
        </w:rPr>
        <w:t>personality</w:t>
      </w:r>
      <w:r w:rsidR="00864DA5" w:rsidRPr="00AE5D4C">
        <w:rPr>
          <w:rFonts w:ascii="Arial" w:hAnsi="Arial" w:cs="Arial"/>
          <w:sz w:val="24"/>
          <w:szCs w:val="24"/>
          <w:lang w:val="en-US"/>
        </w:rPr>
        <w:t xml:space="preserve"> of the international legal system </w:t>
      </w:r>
      <w:r w:rsidR="0030013D" w:rsidRPr="00AE5D4C">
        <w:rPr>
          <w:rFonts w:ascii="Arial" w:hAnsi="Arial" w:cs="Arial"/>
          <w:sz w:val="24"/>
          <w:szCs w:val="24"/>
          <w:lang w:val="en-US"/>
        </w:rPr>
        <w:t>appears</w:t>
      </w:r>
      <w:r w:rsidR="00864DA5" w:rsidRPr="00AE5D4C">
        <w:rPr>
          <w:rFonts w:ascii="Arial" w:hAnsi="Arial" w:cs="Arial"/>
          <w:sz w:val="24"/>
          <w:szCs w:val="24"/>
          <w:lang w:val="en-US"/>
        </w:rPr>
        <w:t>.</w:t>
      </w:r>
      <w:r w:rsidR="00AE5D4C">
        <w:rPr>
          <w:rFonts w:ascii="Arial" w:hAnsi="Arial" w:cs="Arial"/>
          <w:sz w:val="24"/>
          <w:szCs w:val="24"/>
          <w:lang w:val="en-US"/>
        </w:rPr>
        <w:t xml:space="preserve"> As ever, further development is still, however, required, but the </w:t>
      </w:r>
      <w:r w:rsidR="003B0FB6">
        <w:rPr>
          <w:rFonts w:ascii="Arial" w:hAnsi="Arial" w:cs="Arial"/>
          <w:sz w:val="24"/>
          <w:szCs w:val="24"/>
          <w:lang w:val="en-US"/>
        </w:rPr>
        <w:t>potential complications that could have arisen from this have yet to surface.</w:t>
      </w:r>
      <w:r w:rsidR="00AE5D4C">
        <w:rPr>
          <w:rFonts w:ascii="Arial" w:hAnsi="Arial" w:cs="Arial"/>
          <w:sz w:val="24"/>
          <w:szCs w:val="24"/>
          <w:lang w:val="en-US"/>
        </w:rPr>
        <w:t xml:space="preserve"> </w:t>
      </w:r>
    </w:p>
    <w:p w14:paraId="0A091DD4" w14:textId="520E99F7" w:rsidR="00864DA5" w:rsidRDefault="001B2C53" w:rsidP="00401E4C">
      <w:pPr>
        <w:spacing w:line="480" w:lineRule="auto"/>
        <w:rPr>
          <w:rFonts w:ascii="Arial" w:hAnsi="Arial" w:cs="Arial"/>
          <w:sz w:val="24"/>
          <w:szCs w:val="24"/>
          <w:lang w:val="en-US"/>
        </w:rPr>
      </w:pPr>
      <w:r w:rsidRPr="00EA67CD">
        <w:rPr>
          <w:rFonts w:ascii="Arial" w:hAnsi="Arial" w:cs="Arial"/>
          <w:sz w:val="24"/>
          <w:szCs w:val="24"/>
          <w:lang w:val="en-US"/>
        </w:rPr>
        <w:t xml:space="preserve">The ICJ has </w:t>
      </w:r>
      <w:r w:rsidR="00EA67CD" w:rsidRPr="00EA67CD">
        <w:rPr>
          <w:rFonts w:ascii="Arial" w:hAnsi="Arial" w:cs="Arial"/>
          <w:sz w:val="24"/>
          <w:szCs w:val="24"/>
          <w:lang w:val="en-US"/>
        </w:rPr>
        <w:t>suggested</w:t>
      </w:r>
      <w:r w:rsidRPr="00EA67CD">
        <w:rPr>
          <w:rFonts w:ascii="Arial" w:hAnsi="Arial" w:cs="Arial"/>
          <w:sz w:val="24"/>
          <w:szCs w:val="24"/>
          <w:lang w:val="en-US"/>
        </w:rPr>
        <w:t xml:space="preserve"> that</w:t>
      </w:r>
      <w:r>
        <w:rPr>
          <w:rFonts w:ascii="Arial" w:hAnsi="Arial" w:cs="Arial"/>
          <w:color w:val="FF0000"/>
          <w:sz w:val="24"/>
          <w:szCs w:val="24"/>
          <w:lang w:val="en-US"/>
        </w:rPr>
        <w:t xml:space="preserve"> </w:t>
      </w:r>
      <w:r w:rsidR="00864DA5" w:rsidRPr="00022B78">
        <w:rPr>
          <w:rFonts w:ascii="Arial" w:hAnsi="Arial" w:cs="Arial"/>
          <w:sz w:val="24"/>
          <w:szCs w:val="24"/>
          <w:lang w:val="en-US"/>
        </w:rPr>
        <w:t>there is</w:t>
      </w:r>
      <w:r w:rsidR="00C015F0" w:rsidRPr="00022B78">
        <w:rPr>
          <w:rFonts w:ascii="Arial" w:hAnsi="Arial" w:cs="Arial"/>
          <w:sz w:val="24"/>
          <w:szCs w:val="24"/>
          <w:lang w:val="en-US"/>
        </w:rPr>
        <w:t xml:space="preserve"> only one </w:t>
      </w:r>
      <w:r w:rsidR="00022B78" w:rsidRPr="00022B78">
        <w:rPr>
          <w:rFonts w:ascii="Arial" w:hAnsi="Arial" w:cs="Arial"/>
          <w:sz w:val="24"/>
          <w:szCs w:val="24"/>
          <w:lang w:val="en-US"/>
        </w:rPr>
        <w:t>procedure for making reservations to treaties</w:t>
      </w:r>
      <w:r w:rsidR="00864DA5" w:rsidRPr="00022B78">
        <w:rPr>
          <w:rFonts w:ascii="Arial" w:hAnsi="Arial" w:cs="Arial"/>
          <w:sz w:val="24"/>
          <w:szCs w:val="24"/>
          <w:lang w:val="en-US"/>
        </w:rPr>
        <w:t xml:space="preserve"> in international law</w:t>
      </w:r>
      <w:r w:rsidR="00150FF9" w:rsidRPr="00022B78">
        <w:rPr>
          <w:rFonts w:ascii="Arial" w:hAnsi="Arial" w:cs="Arial"/>
          <w:sz w:val="24"/>
          <w:szCs w:val="24"/>
          <w:lang w:val="en-US"/>
        </w:rPr>
        <w:t>.</w:t>
      </w:r>
      <w:r w:rsidR="004A1E13">
        <w:rPr>
          <w:rFonts w:ascii="Arial" w:hAnsi="Arial" w:cs="Arial"/>
          <w:sz w:val="24"/>
          <w:szCs w:val="24"/>
          <w:lang w:val="en-US"/>
        </w:rPr>
        <w:t xml:space="preserve"> There is no </w:t>
      </w:r>
      <w:r w:rsidR="00CC03F1">
        <w:rPr>
          <w:rFonts w:ascii="Arial" w:hAnsi="Arial" w:cs="Arial"/>
          <w:sz w:val="24"/>
          <w:szCs w:val="24"/>
          <w:lang w:val="en-US"/>
        </w:rPr>
        <w:t xml:space="preserve">underlying, </w:t>
      </w:r>
      <w:r w:rsidR="001F7F78">
        <w:rPr>
          <w:rFonts w:ascii="Arial" w:hAnsi="Arial" w:cs="Arial"/>
          <w:sz w:val="24"/>
          <w:szCs w:val="24"/>
          <w:lang w:val="en-US"/>
        </w:rPr>
        <w:t>rudimentary</w:t>
      </w:r>
      <w:r w:rsidR="004A1E13">
        <w:rPr>
          <w:rFonts w:ascii="Arial" w:hAnsi="Arial" w:cs="Arial"/>
          <w:sz w:val="24"/>
          <w:szCs w:val="24"/>
          <w:lang w:val="en-US"/>
        </w:rPr>
        <w:t xml:space="preserve"> ‘meta-system’ </w:t>
      </w:r>
      <w:r w:rsidR="00CC03F1">
        <w:rPr>
          <w:rFonts w:ascii="Arial" w:hAnsi="Arial" w:cs="Arial"/>
          <w:sz w:val="24"/>
          <w:szCs w:val="24"/>
          <w:lang w:val="en-US"/>
        </w:rPr>
        <w:t>in</w:t>
      </w:r>
      <w:r w:rsidR="004A1E13">
        <w:rPr>
          <w:rFonts w:ascii="Arial" w:hAnsi="Arial" w:cs="Arial"/>
          <w:sz w:val="24"/>
          <w:szCs w:val="24"/>
          <w:lang w:val="en-US"/>
        </w:rPr>
        <w:t xml:space="preserve"> international law </w:t>
      </w:r>
      <w:r w:rsidR="00CC03F1">
        <w:rPr>
          <w:rFonts w:ascii="Arial" w:hAnsi="Arial" w:cs="Arial"/>
          <w:sz w:val="24"/>
          <w:szCs w:val="24"/>
          <w:lang w:val="en-US"/>
        </w:rPr>
        <w:t xml:space="preserve">needed </w:t>
      </w:r>
      <w:r w:rsidR="004A1E13">
        <w:rPr>
          <w:rFonts w:ascii="Arial" w:hAnsi="Arial" w:cs="Arial"/>
          <w:sz w:val="24"/>
          <w:szCs w:val="24"/>
          <w:lang w:val="en-US"/>
        </w:rPr>
        <w:t>in order to maintain its</w:t>
      </w:r>
      <w:r w:rsidR="00AD0259">
        <w:rPr>
          <w:rFonts w:ascii="Arial" w:hAnsi="Arial" w:cs="Arial"/>
          <w:sz w:val="24"/>
          <w:szCs w:val="24"/>
          <w:lang w:val="en-US"/>
        </w:rPr>
        <w:t xml:space="preserve"> still admittedly impressive</w:t>
      </w:r>
      <w:r w:rsidR="004A1E13">
        <w:rPr>
          <w:rFonts w:ascii="Arial" w:hAnsi="Arial" w:cs="Arial"/>
          <w:sz w:val="24"/>
          <w:szCs w:val="24"/>
          <w:lang w:val="en-US"/>
        </w:rPr>
        <w:t xml:space="preserve"> </w:t>
      </w:r>
      <w:r w:rsidR="004A1E13" w:rsidRPr="00AD0259">
        <w:rPr>
          <w:rFonts w:ascii="Arial" w:hAnsi="Arial" w:cs="Arial"/>
          <w:sz w:val="24"/>
          <w:szCs w:val="24"/>
          <w:lang w:val="en-US"/>
        </w:rPr>
        <w:t>coherence</w:t>
      </w:r>
      <w:r w:rsidR="004A1E13">
        <w:rPr>
          <w:rFonts w:ascii="Arial" w:hAnsi="Arial" w:cs="Arial"/>
          <w:sz w:val="24"/>
          <w:szCs w:val="24"/>
          <w:lang w:val="en-US"/>
        </w:rPr>
        <w:t>.</w:t>
      </w:r>
      <w:r w:rsidR="002146F1">
        <w:rPr>
          <w:rStyle w:val="FootnoteReference"/>
          <w:rFonts w:ascii="Arial" w:hAnsi="Arial" w:cs="Arial"/>
          <w:sz w:val="24"/>
          <w:szCs w:val="24"/>
          <w:lang w:val="en-US"/>
        </w:rPr>
        <w:footnoteReference w:id="303"/>
      </w:r>
      <w:r w:rsidR="00864DA5" w:rsidRPr="00887D3A">
        <w:rPr>
          <w:rFonts w:ascii="Arial" w:hAnsi="Arial" w:cs="Arial"/>
          <w:color w:val="FF0000"/>
          <w:sz w:val="24"/>
          <w:szCs w:val="24"/>
          <w:lang w:val="en-US"/>
        </w:rPr>
        <w:t xml:space="preserve"> </w:t>
      </w:r>
      <w:r w:rsidR="00C015F0" w:rsidRPr="00A0210E">
        <w:rPr>
          <w:rFonts w:ascii="Arial" w:hAnsi="Arial" w:cs="Arial"/>
          <w:sz w:val="24"/>
          <w:szCs w:val="24"/>
          <w:lang w:val="en-US"/>
        </w:rPr>
        <w:t xml:space="preserve">Courts and tribunals may choose their own personal choice of </w:t>
      </w:r>
      <w:r w:rsidR="00AD0259">
        <w:rPr>
          <w:rFonts w:ascii="Arial" w:hAnsi="Arial" w:cs="Arial"/>
          <w:sz w:val="24"/>
          <w:szCs w:val="24"/>
          <w:lang w:val="en-US"/>
        </w:rPr>
        <w:t xml:space="preserve">treaty </w:t>
      </w:r>
      <w:r w:rsidR="00C015F0" w:rsidRPr="00A0210E">
        <w:rPr>
          <w:rFonts w:ascii="Arial" w:hAnsi="Arial" w:cs="Arial"/>
          <w:sz w:val="24"/>
          <w:szCs w:val="24"/>
          <w:lang w:val="en-US"/>
        </w:rPr>
        <w:t>interpretation</w:t>
      </w:r>
      <w:r w:rsidR="00AD0259">
        <w:rPr>
          <w:rFonts w:ascii="Arial" w:hAnsi="Arial" w:cs="Arial"/>
          <w:sz w:val="24"/>
          <w:szCs w:val="24"/>
          <w:lang w:val="en-US"/>
        </w:rPr>
        <w:t xml:space="preserve"> from an ever-expanding </w:t>
      </w:r>
      <w:r w:rsidR="00CC03F1">
        <w:rPr>
          <w:rFonts w:ascii="Arial" w:hAnsi="Arial" w:cs="Arial"/>
          <w:sz w:val="24"/>
          <w:szCs w:val="24"/>
          <w:lang w:val="en-US"/>
        </w:rPr>
        <w:t>list</w:t>
      </w:r>
      <w:r w:rsidR="00AD0259">
        <w:rPr>
          <w:rFonts w:ascii="Arial" w:hAnsi="Arial" w:cs="Arial"/>
          <w:sz w:val="24"/>
          <w:szCs w:val="24"/>
          <w:lang w:val="en-US"/>
        </w:rPr>
        <w:t xml:space="preserve"> of codified options</w:t>
      </w:r>
      <w:r w:rsidR="00C015F0" w:rsidRPr="00A0210E">
        <w:rPr>
          <w:rFonts w:ascii="Arial" w:hAnsi="Arial" w:cs="Arial"/>
          <w:sz w:val="24"/>
          <w:szCs w:val="24"/>
          <w:lang w:val="en-US"/>
        </w:rPr>
        <w:t>,</w:t>
      </w:r>
      <w:r w:rsidR="0068101E">
        <w:rPr>
          <w:rStyle w:val="FootnoteReference"/>
          <w:rFonts w:ascii="Arial" w:hAnsi="Arial" w:cs="Arial"/>
          <w:sz w:val="24"/>
          <w:szCs w:val="24"/>
          <w:lang w:val="en-US"/>
        </w:rPr>
        <w:footnoteReference w:id="304"/>
      </w:r>
      <w:r w:rsidR="00C015F0" w:rsidRPr="00A0210E">
        <w:rPr>
          <w:rFonts w:ascii="Arial" w:hAnsi="Arial" w:cs="Arial"/>
          <w:sz w:val="24"/>
          <w:szCs w:val="24"/>
          <w:lang w:val="en-US"/>
        </w:rPr>
        <w:t xml:space="preserve"> but ultimately all of them are ‘</w:t>
      </w:r>
      <w:r w:rsidR="00864DA5" w:rsidRPr="00A0210E">
        <w:rPr>
          <w:rFonts w:ascii="Arial" w:hAnsi="Arial" w:cs="Arial"/>
          <w:sz w:val="24"/>
          <w:szCs w:val="24"/>
          <w:lang w:val="en-US"/>
        </w:rPr>
        <w:t>applying the same method</w:t>
      </w:r>
      <w:r w:rsidR="00AD0259">
        <w:rPr>
          <w:rFonts w:ascii="Arial" w:hAnsi="Arial" w:cs="Arial"/>
          <w:sz w:val="24"/>
          <w:szCs w:val="24"/>
          <w:lang w:val="en-US"/>
        </w:rPr>
        <w:t>’</w:t>
      </w:r>
      <w:r w:rsidR="00864DA5" w:rsidRPr="00A0210E">
        <w:rPr>
          <w:rFonts w:ascii="Arial" w:hAnsi="Arial" w:cs="Arial"/>
          <w:sz w:val="24"/>
          <w:szCs w:val="24"/>
          <w:lang w:val="en-US"/>
        </w:rPr>
        <w:t>.</w:t>
      </w:r>
      <w:r w:rsidR="00864DA5" w:rsidRPr="00A0210E">
        <w:rPr>
          <w:rStyle w:val="FootnoteReference"/>
          <w:rFonts w:ascii="Arial" w:hAnsi="Arial" w:cs="Arial"/>
          <w:sz w:val="24"/>
          <w:szCs w:val="24"/>
          <w:lang w:val="en-US"/>
        </w:rPr>
        <w:footnoteReference w:id="305"/>
      </w:r>
      <w:r w:rsidR="00150FF9">
        <w:rPr>
          <w:rFonts w:ascii="Arial" w:hAnsi="Arial" w:cs="Arial"/>
          <w:color w:val="FF0000"/>
          <w:sz w:val="24"/>
          <w:szCs w:val="24"/>
          <w:lang w:val="en-US"/>
        </w:rPr>
        <w:t xml:space="preserve"> </w:t>
      </w:r>
      <w:r w:rsidR="00150FF9" w:rsidRPr="004F7E59">
        <w:rPr>
          <w:rFonts w:ascii="Arial" w:hAnsi="Arial" w:cs="Arial"/>
          <w:sz w:val="24"/>
          <w:szCs w:val="24"/>
          <w:lang w:val="en-US"/>
        </w:rPr>
        <w:t xml:space="preserve">It is this point that highlights how the two </w:t>
      </w:r>
      <w:r w:rsidR="00A74CC0">
        <w:rPr>
          <w:rFonts w:ascii="Arial" w:hAnsi="Arial" w:cs="Arial"/>
          <w:sz w:val="24"/>
          <w:szCs w:val="24"/>
          <w:lang w:val="en-US"/>
        </w:rPr>
        <w:t xml:space="preserve">convergent </w:t>
      </w:r>
      <w:r w:rsidR="00150FF9" w:rsidRPr="004F7E59">
        <w:rPr>
          <w:rFonts w:ascii="Arial" w:hAnsi="Arial" w:cs="Arial"/>
          <w:sz w:val="24"/>
          <w:szCs w:val="24"/>
          <w:lang w:val="en-US"/>
        </w:rPr>
        <w:t>regimes for making reservations to treaties have now apparently merged into one approach.</w:t>
      </w:r>
    </w:p>
    <w:p w14:paraId="363646C0" w14:textId="77777777" w:rsidR="003522D3" w:rsidRPr="008C438B" w:rsidRDefault="003522D3" w:rsidP="00401E4C">
      <w:pPr>
        <w:spacing w:line="480" w:lineRule="auto"/>
        <w:rPr>
          <w:rFonts w:ascii="Arial" w:hAnsi="Arial" w:cs="Arial"/>
          <w:color w:val="FF0000"/>
          <w:sz w:val="24"/>
          <w:szCs w:val="24"/>
          <w:lang w:val="en-US"/>
        </w:rPr>
      </w:pPr>
    </w:p>
    <w:p w14:paraId="334641E6" w14:textId="57B76D44" w:rsidR="00F319DF" w:rsidRPr="00A34D67" w:rsidRDefault="00F319DF" w:rsidP="00401E4C">
      <w:pPr>
        <w:numPr>
          <w:ilvl w:val="0"/>
          <w:numId w:val="27"/>
        </w:numPr>
        <w:spacing w:line="480" w:lineRule="auto"/>
        <w:rPr>
          <w:rFonts w:ascii="Arial" w:hAnsi="Arial" w:cs="Arial"/>
          <w:b/>
          <w:sz w:val="24"/>
          <w:szCs w:val="24"/>
        </w:rPr>
      </w:pPr>
      <w:r w:rsidRPr="00A34D67">
        <w:rPr>
          <w:rFonts w:ascii="Arial" w:hAnsi="Arial" w:cs="Arial"/>
          <w:b/>
          <w:sz w:val="24"/>
          <w:szCs w:val="24"/>
        </w:rPr>
        <w:t>Conclusion</w:t>
      </w:r>
    </w:p>
    <w:p w14:paraId="3A47F236" w14:textId="51066D76" w:rsidR="008C438B" w:rsidRDefault="00BF0AF2" w:rsidP="00401E4C">
      <w:pPr>
        <w:spacing w:line="480" w:lineRule="auto"/>
        <w:rPr>
          <w:rFonts w:ascii="Arial" w:hAnsi="Arial" w:cs="Arial"/>
          <w:color w:val="008000"/>
          <w:sz w:val="24"/>
          <w:szCs w:val="24"/>
          <w:lang w:val="en-US"/>
        </w:rPr>
      </w:pPr>
      <w:r w:rsidRPr="00C65389">
        <w:rPr>
          <w:rFonts w:ascii="Arial" w:hAnsi="Arial" w:cs="Arial"/>
          <w:sz w:val="24"/>
          <w:szCs w:val="24"/>
          <w:lang w:val="en-US"/>
        </w:rPr>
        <w:t xml:space="preserve">The 1990s provided an enormous overhaul in the way international </w:t>
      </w:r>
      <w:r w:rsidR="00C65389">
        <w:rPr>
          <w:rFonts w:ascii="Arial" w:hAnsi="Arial" w:cs="Arial"/>
          <w:sz w:val="24"/>
          <w:szCs w:val="24"/>
          <w:lang w:val="en-US"/>
        </w:rPr>
        <w:t xml:space="preserve">legal </w:t>
      </w:r>
      <w:r w:rsidR="00FE13E7" w:rsidRPr="00C65389">
        <w:rPr>
          <w:rFonts w:ascii="Arial" w:hAnsi="Arial" w:cs="Arial"/>
          <w:sz w:val="24"/>
          <w:szCs w:val="24"/>
          <w:lang w:val="en-US"/>
        </w:rPr>
        <w:t xml:space="preserve">scholars </w:t>
      </w:r>
      <w:r w:rsidR="00C65389">
        <w:rPr>
          <w:rFonts w:ascii="Arial" w:hAnsi="Arial" w:cs="Arial"/>
          <w:sz w:val="24"/>
          <w:szCs w:val="24"/>
          <w:lang w:val="en-US"/>
        </w:rPr>
        <w:t>regard</w:t>
      </w:r>
      <w:r w:rsidRPr="00C65389">
        <w:rPr>
          <w:rFonts w:ascii="Arial" w:hAnsi="Arial" w:cs="Arial"/>
          <w:sz w:val="24"/>
          <w:szCs w:val="24"/>
          <w:lang w:val="en-US"/>
        </w:rPr>
        <w:t xml:space="preserve"> the </w:t>
      </w:r>
      <w:r w:rsidR="00FE13E7" w:rsidRPr="00C65389">
        <w:rPr>
          <w:rFonts w:ascii="Arial" w:hAnsi="Arial" w:cs="Arial"/>
          <w:sz w:val="24"/>
          <w:szCs w:val="24"/>
          <w:lang w:val="en-US"/>
        </w:rPr>
        <w:t>law</w:t>
      </w:r>
      <w:r w:rsidRPr="00C65389">
        <w:rPr>
          <w:rFonts w:ascii="Arial" w:hAnsi="Arial" w:cs="Arial"/>
          <w:sz w:val="24"/>
          <w:szCs w:val="24"/>
          <w:lang w:val="en-US"/>
        </w:rPr>
        <w:t xml:space="preserve"> of reservations to treaties. The judgments from the European Court of Human Rights a</w:t>
      </w:r>
      <w:r w:rsidR="00FE13E7" w:rsidRPr="00C65389">
        <w:rPr>
          <w:rFonts w:ascii="Arial" w:hAnsi="Arial" w:cs="Arial"/>
          <w:sz w:val="24"/>
          <w:szCs w:val="24"/>
          <w:lang w:val="en-US"/>
        </w:rPr>
        <w:t xml:space="preserve">nd the Human Rights Committee </w:t>
      </w:r>
      <w:r w:rsidRPr="00C65389">
        <w:rPr>
          <w:rFonts w:ascii="Arial" w:hAnsi="Arial" w:cs="Arial"/>
          <w:sz w:val="24"/>
          <w:szCs w:val="24"/>
          <w:lang w:val="en-US"/>
        </w:rPr>
        <w:t>both provided fresh perspectives</w:t>
      </w:r>
      <w:r w:rsidR="00FE13E7" w:rsidRPr="00C65389">
        <w:rPr>
          <w:rFonts w:ascii="Arial" w:hAnsi="Arial" w:cs="Arial"/>
          <w:sz w:val="24"/>
          <w:szCs w:val="24"/>
          <w:lang w:val="en-US"/>
        </w:rPr>
        <w:t xml:space="preserve"> on the matter</w:t>
      </w:r>
      <w:r w:rsidR="0026229F" w:rsidRPr="00C65389">
        <w:rPr>
          <w:rFonts w:ascii="Arial" w:hAnsi="Arial" w:cs="Arial"/>
          <w:sz w:val="24"/>
          <w:szCs w:val="24"/>
          <w:lang w:val="en-US"/>
        </w:rPr>
        <w:t>. Their own approaches may have put paid to the outdated Vienna Convention, but the ILC Guide 2011 has shown that the judgments of the ECtHR and HRC are no longer entirely</w:t>
      </w:r>
      <w:r w:rsidR="0026229F">
        <w:rPr>
          <w:rFonts w:ascii="Arial" w:hAnsi="Arial" w:cs="Arial"/>
          <w:color w:val="008000"/>
          <w:sz w:val="24"/>
          <w:szCs w:val="24"/>
          <w:lang w:val="en-US"/>
        </w:rPr>
        <w:t xml:space="preserve"> </w:t>
      </w:r>
      <w:r w:rsidR="00F206C5" w:rsidRPr="00F206C5">
        <w:rPr>
          <w:rFonts w:ascii="Arial" w:hAnsi="Arial" w:cs="Arial"/>
          <w:sz w:val="24"/>
          <w:szCs w:val="24"/>
          <w:lang w:val="en-US"/>
        </w:rPr>
        <w:t>comprehensive</w:t>
      </w:r>
      <w:r w:rsidR="0026229F" w:rsidRPr="00F206C5">
        <w:rPr>
          <w:rFonts w:ascii="Arial" w:hAnsi="Arial" w:cs="Arial"/>
          <w:sz w:val="24"/>
          <w:szCs w:val="24"/>
          <w:lang w:val="en-US"/>
        </w:rPr>
        <w:t>.</w:t>
      </w:r>
      <w:r w:rsidR="00627041">
        <w:rPr>
          <w:rFonts w:ascii="Arial" w:hAnsi="Arial" w:cs="Arial"/>
          <w:color w:val="008000"/>
          <w:sz w:val="24"/>
          <w:szCs w:val="24"/>
          <w:lang w:val="en-US"/>
        </w:rPr>
        <w:t xml:space="preserve"> </w:t>
      </w:r>
      <w:r w:rsidR="00627041" w:rsidRPr="00D74894">
        <w:rPr>
          <w:rFonts w:ascii="Arial" w:hAnsi="Arial" w:cs="Arial"/>
          <w:sz w:val="24"/>
          <w:szCs w:val="24"/>
          <w:lang w:val="en-US"/>
        </w:rPr>
        <w:t xml:space="preserve">The Guide simply does not consider human rights bodies to be competent enough to sufficiently assess impermissible reservations, but this </w:t>
      </w:r>
      <w:r w:rsidR="00BC1149" w:rsidRPr="00D74894">
        <w:rPr>
          <w:rFonts w:ascii="Arial" w:hAnsi="Arial" w:cs="Arial"/>
          <w:sz w:val="24"/>
          <w:szCs w:val="24"/>
          <w:lang w:val="en-US"/>
        </w:rPr>
        <w:t>notion</w:t>
      </w:r>
      <w:r w:rsidR="00627041" w:rsidRPr="00D74894">
        <w:rPr>
          <w:rFonts w:ascii="Arial" w:hAnsi="Arial" w:cs="Arial"/>
          <w:sz w:val="24"/>
          <w:szCs w:val="24"/>
          <w:lang w:val="en-US"/>
        </w:rPr>
        <w:t xml:space="preserve"> does </w:t>
      </w:r>
      <w:r w:rsidR="00BC1149" w:rsidRPr="00D74894">
        <w:rPr>
          <w:rFonts w:ascii="Arial" w:hAnsi="Arial" w:cs="Arial"/>
          <w:sz w:val="24"/>
          <w:szCs w:val="24"/>
          <w:lang w:val="en-US"/>
        </w:rPr>
        <w:t>consequently</w:t>
      </w:r>
      <w:r w:rsidR="00627041" w:rsidRPr="00D74894">
        <w:rPr>
          <w:rFonts w:ascii="Arial" w:hAnsi="Arial" w:cs="Arial"/>
          <w:sz w:val="24"/>
          <w:szCs w:val="24"/>
          <w:lang w:val="en-US"/>
        </w:rPr>
        <w:t xml:space="preserve"> </w:t>
      </w:r>
      <w:r w:rsidR="00F206C5" w:rsidRPr="00D74894">
        <w:rPr>
          <w:rFonts w:ascii="Arial" w:hAnsi="Arial" w:cs="Arial"/>
          <w:sz w:val="24"/>
          <w:szCs w:val="24"/>
          <w:lang w:val="en-US"/>
        </w:rPr>
        <w:t>equate</w:t>
      </w:r>
      <w:r w:rsidR="00BC1149" w:rsidRPr="00D74894">
        <w:rPr>
          <w:rFonts w:ascii="Arial" w:hAnsi="Arial" w:cs="Arial"/>
          <w:sz w:val="24"/>
          <w:szCs w:val="24"/>
          <w:lang w:val="en-US"/>
        </w:rPr>
        <w:t xml:space="preserve"> the views</w:t>
      </w:r>
      <w:r w:rsidR="00AC0710" w:rsidRPr="00D74894">
        <w:rPr>
          <w:rFonts w:ascii="Arial" w:hAnsi="Arial" w:cs="Arial"/>
          <w:sz w:val="24"/>
          <w:szCs w:val="24"/>
          <w:lang w:val="en-US"/>
        </w:rPr>
        <w:t xml:space="preserve"> of</w:t>
      </w:r>
      <w:r w:rsidR="00627041" w:rsidRPr="00D74894">
        <w:rPr>
          <w:rFonts w:ascii="Arial" w:hAnsi="Arial" w:cs="Arial"/>
          <w:sz w:val="24"/>
          <w:szCs w:val="24"/>
          <w:lang w:val="en-US"/>
        </w:rPr>
        <w:t xml:space="preserve">, for instance, the HRC to </w:t>
      </w:r>
      <w:r w:rsidR="00F206C5" w:rsidRPr="00D74894">
        <w:rPr>
          <w:rFonts w:ascii="Arial" w:hAnsi="Arial" w:cs="Arial"/>
          <w:sz w:val="24"/>
          <w:szCs w:val="24"/>
          <w:lang w:val="en-US"/>
        </w:rPr>
        <w:t>the same</w:t>
      </w:r>
      <w:r w:rsidR="00627041" w:rsidRPr="00D74894">
        <w:rPr>
          <w:rFonts w:ascii="Arial" w:hAnsi="Arial" w:cs="Arial"/>
          <w:sz w:val="24"/>
          <w:szCs w:val="24"/>
          <w:lang w:val="en-US"/>
        </w:rPr>
        <w:t xml:space="preserve"> status level </w:t>
      </w:r>
      <w:r w:rsidR="00BC1149" w:rsidRPr="00D74894">
        <w:rPr>
          <w:rFonts w:ascii="Arial" w:hAnsi="Arial" w:cs="Arial"/>
          <w:sz w:val="24"/>
          <w:szCs w:val="24"/>
          <w:lang w:val="en-US"/>
        </w:rPr>
        <w:t>to</w:t>
      </w:r>
      <w:r w:rsidR="00627041" w:rsidRPr="00D74894">
        <w:rPr>
          <w:rFonts w:ascii="Arial" w:hAnsi="Arial" w:cs="Arial"/>
          <w:sz w:val="24"/>
          <w:szCs w:val="24"/>
          <w:lang w:val="en-US"/>
        </w:rPr>
        <w:t xml:space="preserve"> that of the </w:t>
      </w:r>
      <w:r w:rsidR="00BC1149" w:rsidRPr="00D74894">
        <w:rPr>
          <w:rFonts w:ascii="Arial" w:hAnsi="Arial" w:cs="Arial"/>
          <w:sz w:val="24"/>
          <w:szCs w:val="24"/>
          <w:lang w:val="en-US"/>
        </w:rPr>
        <w:t>ECtHR</w:t>
      </w:r>
      <w:r w:rsidR="00627041" w:rsidRPr="00D74894">
        <w:rPr>
          <w:rFonts w:ascii="Arial" w:hAnsi="Arial" w:cs="Arial"/>
          <w:sz w:val="24"/>
          <w:szCs w:val="24"/>
          <w:lang w:val="en-US"/>
        </w:rPr>
        <w:t>.</w:t>
      </w:r>
    </w:p>
    <w:p w14:paraId="0960324A" w14:textId="483C028A" w:rsidR="00B67250" w:rsidRDefault="00BF0AF2" w:rsidP="00401E4C">
      <w:pPr>
        <w:spacing w:line="480" w:lineRule="auto"/>
        <w:rPr>
          <w:rFonts w:ascii="Arial" w:hAnsi="Arial" w:cs="Arial"/>
          <w:sz w:val="24"/>
          <w:szCs w:val="24"/>
          <w:lang w:val="en-US"/>
        </w:rPr>
      </w:pPr>
      <w:r w:rsidRPr="0072063E">
        <w:rPr>
          <w:rFonts w:ascii="Arial" w:hAnsi="Arial" w:cs="Arial"/>
          <w:sz w:val="24"/>
          <w:szCs w:val="24"/>
          <w:lang w:val="en-US"/>
        </w:rPr>
        <w:t>It seems that</w:t>
      </w:r>
      <w:r w:rsidR="00497C2E" w:rsidRPr="0072063E">
        <w:rPr>
          <w:rFonts w:ascii="Arial" w:hAnsi="Arial" w:cs="Arial"/>
          <w:sz w:val="24"/>
          <w:szCs w:val="24"/>
          <w:lang w:val="en-US"/>
        </w:rPr>
        <w:t xml:space="preserve"> these events have perpetuated a substantial evolution in our understanding of reservations to human rights treaties in international law.</w:t>
      </w:r>
      <w:r w:rsidR="00DA3E9E" w:rsidRPr="0072063E">
        <w:rPr>
          <w:rFonts w:ascii="Arial" w:hAnsi="Arial" w:cs="Arial"/>
          <w:sz w:val="24"/>
          <w:szCs w:val="24"/>
          <w:lang w:val="en-US"/>
        </w:rPr>
        <w:t xml:space="preserve"> While it is possible and indeed necessary for international legal scholars </w:t>
      </w:r>
      <w:r w:rsidR="000B3264" w:rsidRPr="0072063E">
        <w:rPr>
          <w:rFonts w:ascii="Arial" w:hAnsi="Arial" w:cs="Arial"/>
          <w:sz w:val="24"/>
          <w:szCs w:val="24"/>
          <w:lang w:val="en-US"/>
        </w:rPr>
        <w:t xml:space="preserve">to </w:t>
      </w:r>
      <w:r w:rsidR="000837C8" w:rsidRPr="0072063E">
        <w:rPr>
          <w:rFonts w:ascii="Arial" w:hAnsi="Arial" w:cs="Arial"/>
          <w:sz w:val="24"/>
          <w:szCs w:val="24"/>
          <w:lang w:val="en-US"/>
        </w:rPr>
        <w:t xml:space="preserve">reconcile the two regimes for making reservations to treaties, there is still </w:t>
      </w:r>
      <w:r w:rsidR="007D2D68" w:rsidRPr="0072063E">
        <w:rPr>
          <w:rFonts w:ascii="Arial" w:hAnsi="Arial" w:cs="Arial"/>
          <w:sz w:val="24"/>
          <w:szCs w:val="24"/>
          <w:lang w:val="en-US"/>
        </w:rPr>
        <w:t>plenty of further development needed for this to crystallise into one new method</w:t>
      </w:r>
      <w:r w:rsidR="00C65389" w:rsidRPr="0072063E">
        <w:rPr>
          <w:rFonts w:ascii="Arial" w:hAnsi="Arial" w:cs="Arial"/>
          <w:sz w:val="24"/>
          <w:szCs w:val="24"/>
          <w:lang w:val="en-US"/>
        </w:rPr>
        <w:t xml:space="preserve"> under customary international law</w:t>
      </w:r>
      <w:r w:rsidR="007D2D68" w:rsidRPr="0072063E">
        <w:rPr>
          <w:rFonts w:ascii="Arial" w:hAnsi="Arial" w:cs="Arial"/>
          <w:sz w:val="24"/>
          <w:szCs w:val="24"/>
          <w:lang w:val="en-US"/>
        </w:rPr>
        <w:t>.</w:t>
      </w:r>
      <w:r w:rsidR="007D2D68">
        <w:rPr>
          <w:rFonts w:ascii="Arial" w:hAnsi="Arial" w:cs="Arial"/>
          <w:color w:val="008000"/>
          <w:sz w:val="24"/>
          <w:szCs w:val="24"/>
          <w:lang w:val="en-US"/>
        </w:rPr>
        <w:t xml:space="preserve"> </w:t>
      </w:r>
      <w:r w:rsidR="007D2D68" w:rsidRPr="005E119F">
        <w:rPr>
          <w:rFonts w:ascii="Arial" w:hAnsi="Arial" w:cs="Arial"/>
          <w:sz w:val="24"/>
          <w:szCs w:val="24"/>
          <w:lang w:val="en-US"/>
        </w:rPr>
        <w:t>However, Sir Nigel Rodley has correctly indicated that fragmentation is becoming an increasingly prevalent</w:t>
      </w:r>
      <w:r w:rsidR="005E0A60" w:rsidRPr="005E119F">
        <w:rPr>
          <w:rFonts w:ascii="Arial" w:hAnsi="Arial" w:cs="Arial"/>
          <w:sz w:val="24"/>
          <w:szCs w:val="24"/>
          <w:lang w:val="en-US"/>
        </w:rPr>
        <w:t>, albeit imperfect,</w:t>
      </w:r>
      <w:r w:rsidR="007D2D68" w:rsidRPr="005E119F">
        <w:rPr>
          <w:rFonts w:ascii="Arial" w:hAnsi="Arial" w:cs="Arial"/>
          <w:sz w:val="24"/>
          <w:szCs w:val="24"/>
          <w:lang w:val="en-US"/>
        </w:rPr>
        <w:t xml:space="preserve"> solution to reconciling the two approaches</w:t>
      </w:r>
      <w:r w:rsidR="00D74894" w:rsidRPr="005E119F">
        <w:rPr>
          <w:rFonts w:ascii="Arial" w:hAnsi="Arial" w:cs="Arial"/>
          <w:sz w:val="24"/>
          <w:szCs w:val="24"/>
          <w:lang w:val="en-US"/>
        </w:rPr>
        <w:t xml:space="preserve"> into one unitary legal system</w:t>
      </w:r>
      <w:r w:rsidR="00071045" w:rsidRPr="005E119F">
        <w:rPr>
          <w:rFonts w:ascii="Arial" w:hAnsi="Arial" w:cs="Arial"/>
          <w:sz w:val="24"/>
          <w:szCs w:val="24"/>
          <w:lang w:val="en-US"/>
        </w:rPr>
        <w:t>.</w:t>
      </w:r>
    </w:p>
    <w:p w14:paraId="2CC3ED1B" w14:textId="77777777" w:rsidR="00030360" w:rsidRDefault="00030360" w:rsidP="00401E4C">
      <w:pPr>
        <w:spacing w:line="480" w:lineRule="auto"/>
        <w:rPr>
          <w:rFonts w:ascii="Arial" w:hAnsi="Arial" w:cs="Arial"/>
          <w:sz w:val="24"/>
          <w:szCs w:val="24"/>
          <w:lang w:val="en-US"/>
        </w:rPr>
      </w:pPr>
    </w:p>
    <w:p w14:paraId="736BDDAD" w14:textId="77777777" w:rsidR="00030360" w:rsidRDefault="00030360" w:rsidP="00401E4C">
      <w:pPr>
        <w:spacing w:line="480" w:lineRule="auto"/>
        <w:rPr>
          <w:rFonts w:ascii="Arial" w:hAnsi="Arial" w:cs="Arial"/>
          <w:sz w:val="24"/>
          <w:szCs w:val="24"/>
          <w:lang w:val="en-US"/>
        </w:rPr>
      </w:pPr>
    </w:p>
    <w:p w14:paraId="287F16B9" w14:textId="77777777" w:rsidR="008E6042" w:rsidRPr="00DC04C2" w:rsidRDefault="008E6042" w:rsidP="00401E4C">
      <w:pPr>
        <w:spacing w:line="480" w:lineRule="auto"/>
        <w:rPr>
          <w:rFonts w:ascii="Arial" w:hAnsi="Arial" w:cs="Arial"/>
          <w:color w:val="008000"/>
          <w:sz w:val="24"/>
          <w:szCs w:val="24"/>
          <w:lang w:val="en-US"/>
        </w:rPr>
      </w:pPr>
    </w:p>
    <w:p w14:paraId="5D4C6B26" w14:textId="32E7A917" w:rsidR="00F319DF" w:rsidRDefault="00F319DF" w:rsidP="00046113">
      <w:pPr>
        <w:numPr>
          <w:ilvl w:val="0"/>
          <w:numId w:val="27"/>
        </w:numPr>
        <w:spacing w:line="360" w:lineRule="auto"/>
        <w:rPr>
          <w:rFonts w:ascii="Arial" w:hAnsi="Arial" w:cs="Arial"/>
          <w:b/>
          <w:sz w:val="24"/>
          <w:szCs w:val="24"/>
        </w:rPr>
      </w:pPr>
      <w:r w:rsidRPr="00A34D67">
        <w:rPr>
          <w:rFonts w:ascii="Arial" w:hAnsi="Arial" w:cs="Arial"/>
          <w:b/>
          <w:sz w:val="24"/>
          <w:szCs w:val="24"/>
        </w:rPr>
        <w:t>Bibliography</w:t>
      </w:r>
    </w:p>
    <w:p w14:paraId="21AE310F" w14:textId="77777777" w:rsidR="00014493" w:rsidRPr="0003125A" w:rsidRDefault="00014493" w:rsidP="00014493">
      <w:pPr>
        <w:pStyle w:val="FootnoteText"/>
        <w:rPr>
          <w:rFonts w:ascii="Arial" w:hAnsi="Arial" w:cs="Arial"/>
          <w:b/>
          <w:u w:val="single"/>
        </w:rPr>
      </w:pPr>
      <w:r w:rsidRPr="0003125A">
        <w:rPr>
          <w:rFonts w:ascii="Arial" w:hAnsi="Arial" w:cs="Arial"/>
          <w:b/>
          <w:u w:val="single"/>
        </w:rPr>
        <w:t>Primary sources</w:t>
      </w:r>
    </w:p>
    <w:p w14:paraId="329CD20F" w14:textId="77777777" w:rsidR="00014493" w:rsidRPr="0003125A" w:rsidRDefault="00014493" w:rsidP="00014493">
      <w:pPr>
        <w:pStyle w:val="FootnoteText"/>
        <w:rPr>
          <w:rFonts w:ascii="Arial" w:hAnsi="Arial" w:cs="Arial"/>
          <w:b/>
          <w:u w:val="single"/>
        </w:rPr>
      </w:pPr>
    </w:p>
    <w:p w14:paraId="45335979" w14:textId="77777777" w:rsidR="00014493" w:rsidRPr="0003125A" w:rsidRDefault="00014493" w:rsidP="00014493">
      <w:pPr>
        <w:pStyle w:val="FootnoteText"/>
        <w:rPr>
          <w:rFonts w:ascii="Arial" w:hAnsi="Arial" w:cs="Arial"/>
          <w:b/>
        </w:rPr>
      </w:pPr>
      <w:r w:rsidRPr="0003125A">
        <w:rPr>
          <w:rFonts w:ascii="Arial" w:hAnsi="Arial" w:cs="Arial"/>
          <w:b/>
        </w:rPr>
        <w:t>Case Law</w:t>
      </w:r>
    </w:p>
    <w:p w14:paraId="5DFC507F" w14:textId="77777777" w:rsidR="00014493" w:rsidRPr="0003125A" w:rsidRDefault="00014493" w:rsidP="00014493">
      <w:pPr>
        <w:pStyle w:val="FootnoteText"/>
        <w:rPr>
          <w:rFonts w:ascii="Arial" w:hAnsi="Arial" w:cs="Arial"/>
        </w:rPr>
      </w:pPr>
    </w:p>
    <w:p w14:paraId="33A8F44D" w14:textId="77777777" w:rsidR="00014493" w:rsidRPr="0003125A" w:rsidRDefault="00014493" w:rsidP="00014493">
      <w:pPr>
        <w:pStyle w:val="FootnoteText"/>
        <w:rPr>
          <w:rFonts w:ascii="Arial" w:hAnsi="Arial" w:cs="Arial"/>
        </w:rPr>
      </w:pPr>
      <w:r w:rsidRPr="0003125A">
        <w:rPr>
          <w:rFonts w:ascii="Arial" w:hAnsi="Arial" w:cs="Arial"/>
          <w:i/>
        </w:rPr>
        <w:t xml:space="preserve">Acquisition of Polish Nationality </w:t>
      </w:r>
      <w:r w:rsidRPr="0003125A">
        <w:rPr>
          <w:rFonts w:ascii="Arial" w:hAnsi="Arial" w:cs="Arial"/>
        </w:rPr>
        <w:t>(Advisory Opinion) PCIJ (1923) Series B No 7, 20</w:t>
      </w:r>
    </w:p>
    <w:p w14:paraId="73B0F17B" w14:textId="77777777" w:rsidR="00014493" w:rsidRPr="0003125A" w:rsidRDefault="00014493" w:rsidP="00014493">
      <w:pPr>
        <w:pStyle w:val="FootnoteText"/>
        <w:rPr>
          <w:rFonts w:ascii="Arial" w:hAnsi="Arial" w:cs="Arial"/>
          <w:lang w:val="en-US"/>
        </w:rPr>
      </w:pPr>
    </w:p>
    <w:p w14:paraId="662CEEC5" w14:textId="77777777" w:rsidR="00014493" w:rsidRPr="0003125A" w:rsidRDefault="00014493" w:rsidP="00014493">
      <w:pPr>
        <w:pStyle w:val="FootnoteText"/>
        <w:rPr>
          <w:rFonts w:ascii="Arial" w:hAnsi="Arial" w:cs="Arial"/>
        </w:rPr>
      </w:pPr>
      <w:r w:rsidRPr="0003125A">
        <w:rPr>
          <w:rFonts w:ascii="Arial" w:hAnsi="Arial" w:cs="Arial"/>
          <w:i/>
        </w:rPr>
        <w:t xml:space="preserve">Aegean Sea Continental Shelf </w:t>
      </w:r>
      <w:r w:rsidRPr="0003125A">
        <w:rPr>
          <w:rFonts w:ascii="Arial" w:hAnsi="Arial" w:cs="Arial"/>
        </w:rPr>
        <w:t xml:space="preserve">[1978] ICJ Rep 3 </w:t>
      </w:r>
    </w:p>
    <w:p w14:paraId="64D0FBC4" w14:textId="77777777" w:rsidR="00014493" w:rsidRPr="0003125A" w:rsidRDefault="00014493" w:rsidP="00014493">
      <w:pPr>
        <w:pStyle w:val="FootnoteText"/>
        <w:rPr>
          <w:rFonts w:ascii="Arial" w:hAnsi="Arial" w:cs="Arial"/>
          <w:lang w:val="en-US"/>
        </w:rPr>
      </w:pPr>
    </w:p>
    <w:p w14:paraId="4057863D" w14:textId="77777777" w:rsidR="00014493" w:rsidRPr="0003125A" w:rsidRDefault="00014493" w:rsidP="00014493">
      <w:pPr>
        <w:pStyle w:val="FootnoteText"/>
        <w:rPr>
          <w:rFonts w:ascii="Arial" w:hAnsi="Arial" w:cs="Arial"/>
        </w:rPr>
      </w:pPr>
      <w:r w:rsidRPr="0003125A">
        <w:rPr>
          <w:rFonts w:ascii="Arial" w:hAnsi="Arial" w:cs="Arial"/>
          <w:i/>
        </w:rPr>
        <w:t xml:space="preserve">Al-Skeini and Others </w:t>
      </w:r>
      <w:r w:rsidRPr="0003125A">
        <w:rPr>
          <w:rFonts w:ascii="Arial" w:hAnsi="Arial" w:cs="Arial"/>
        </w:rPr>
        <w:t xml:space="preserve">v </w:t>
      </w:r>
      <w:r w:rsidRPr="0003125A">
        <w:rPr>
          <w:rFonts w:ascii="Arial" w:hAnsi="Arial" w:cs="Arial"/>
          <w:i/>
        </w:rPr>
        <w:t xml:space="preserve">Secretary of State for Defence </w:t>
      </w:r>
      <w:r w:rsidRPr="0003125A">
        <w:rPr>
          <w:rFonts w:ascii="Arial" w:hAnsi="Arial" w:cs="Arial"/>
        </w:rPr>
        <w:t>[2007] UKHL 26, [2008] 1 AC 153</w:t>
      </w:r>
    </w:p>
    <w:p w14:paraId="78C5AB8C" w14:textId="77777777" w:rsidR="00014493" w:rsidRPr="0003125A" w:rsidRDefault="00014493" w:rsidP="00014493">
      <w:pPr>
        <w:pStyle w:val="FootnoteText"/>
        <w:rPr>
          <w:rFonts w:ascii="Arial" w:hAnsi="Arial" w:cs="Arial"/>
        </w:rPr>
      </w:pPr>
    </w:p>
    <w:p w14:paraId="52530E72" w14:textId="77777777" w:rsidR="00014493" w:rsidRPr="0003125A" w:rsidRDefault="00014493" w:rsidP="00014493">
      <w:pPr>
        <w:pStyle w:val="FootnoteText"/>
        <w:rPr>
          <w:rFonts w:ascii="Arial" w:hAnsi="Arial" w:cs="Arial"/>
          <w:lang w:val="en-US"/>
        </w:rPr>
      </w:pPr>
      <w:r w:rsidRPr="0003125A">
        <w:rPr>
          <w:rFonts w:ascii="Arial" w:hAnsi="Arial" w:cs="Arial"/>
          <w:i/>
          <w:iCs/>
          <w:lang w:val="en-US"/>
        </w:rPr>
        <w:t xml:space="preserve">Ahmadou Sadio Diallo (Republic of Guinea </w:t>
      </w:r>
      <w:r w:rsidRPr="0003125A">
        <w:rPr>
          <w:rFonts w:ascii="Arial" w:hAnsi="Arial" w:cs="Arial"/>
          <w:lang w:val="en-US"/>
        </w:rPr>
        <w:t xml:space="preserve">v </w:t>
      </w:r>
      <w:r w:rsidRPr="0003125A">
        <w:rPr>
          <w:rFonts w:ascii="Arial" w:hAnsi="Arial" w:cs="Arial"/>
          <w:i/>
          <w:iCs/>
          <w:lang w:val="en-US"/>
        </w:rPr>
        <w:t>Democratic Republic of the Congo) (Compensation Owed by the Democratic Republic of the Congo to the Republic of Guinea)</w:t>
      </w:r>
      <w:r w:rsidRPr="0003125A">
        <w:rPr>
          <w:rFonts w:ascii="Arial" w:hAnsi="Arial" w:cs="Arial"/>
          <w:lang w:val="en-US"/>
        </w:rPr>
        <w:t xml:space="preserve"> [</w:t>
      </w:r>
      <w:r w:rsidRPr="0003125A">
        <w:rPr>
          <w:rFonts w:ascii="Arial" w:hAnsi="Arial" w:cs="Arial"/>
          <w:iCs/>
          <w:lang w:val="en-US"/>
        </w:rPr>
        <w:t>2010] ICJ 639</w:t>
      </w:r>
      <w:r w:rsidRPr="0003125A">
        <w:rPr>
          <w:rFonts w:ascii="Arial" w:hAnsi="Arial" w:cs="Arial"/>
          <w:lang w:val="en-US"/>
        </w:rPr>
        <w:t xml:space="preserve"> </w:t>
      </w:r>
    </w:p>
    <w:p w14:paraId="575E1D87" w14:textId="77777777" w:rsidR="00014493" w:rsidRPr="0003125A" w:rsidRDefault="00014493" w:rsidP="00014493">
      <w:pPr>
        <w:pStyle w:val="FootnoteText"/>
        <w:rPr>
          <w:rFonts w:ascii="Arial" w:hAnsi="Arial" w:cs="Arial"/>
        </w:rPr>
      </w:pPr>
    </w:p>
    <w:p w14:paraId="509FB662" w14:textId="77777777" w:rsidR="00014493" w:rsidRPr="0003125A" w:rsidRDefault="00014493" w:rsidP="00014493">
      <w:pPr>
        <w:pStyle w:val="FootnoteText"/>
        <w:rPr>
          <w:rFonts w:ascii="Arial" w:hAnsi="Arial" w:cs="Arial"/>
          <w:iCs/>
          <w:lang w:val="en-US"/>
        </w:rPr>
      </w:pPr>
      <w:r w:rsidRPr="0003125A">
        <w:rPr>
          <w:rFonts w:ascii="Arial" w:hAnsi="Arial" w:cs="Arial"/>
          <w:i/>
          <w:iCs/>
          <w:lang w:val="en-US"/>
        </w:rPr>
        <w:t xml:space="preserve">Anglo-French Continental Shelf (United Kingdom </w:t>
      </w:r>
      <w:r w:rsidRPr="0003125A">
        <w:rPr>
          <w:rFonts w:ascii="Arial" w:hAnsi="Arial" w:cs="Arial"/>
          <w:iCs/>
          <w:lang w:val="en-US"/>
        </w:rPr>
        <w:t xml:space="preserve">v </w:t>
      </w:r>
      <w:r w:rsidRPr="0003125A">
        <w:rPr>
          <w:rFonts w:ascii="Arial" w:hAnsi="Arial" w:cs="Arial"/>
          <w:i/>
          <w:iCs/>
          <w:lang w:val="en-US"/>
        </w:rPr>
        <w:t xml:space="preserve">France) </w:t>
      </w:r>
      <w:r w:rsidRPr="0003125A">
        <w:rPr>
          <w:rFonts w:ascii="Arial" w:hAnsi="Arial" w:cs="Arial"/>
          <w:iCs/>
          <w:lang w:val="en-US"/>
        </w:rPr>
        <w:t>18 ILM (1979)</w:t>
      </w:r>
    </w:p>
    <w:p w14:paraId="1A24AE7D" w14:textId="77777777" w:rsidR="00014493" w:rsidRPr="0003125A" w:rsidRDefault="00014493" w:rsidP="00014493">
      <w:pPr>
        <w:pStyle w:val="FootnoteText"/>
        <w:rPr>
          <w:rFonts w:ascii="Arial" w:hAnsi="Arial" w:cs="Arial"/>
          <w:iCs/>
          <w:lang w:val="en-US"/>
        </w:rPr>
      </w:pPr>
    </w:p>
    <w:p w14:paraId="0C469F92" w14:textId="77777777" w:rsidR="00014493" w:rsidRPr="0003125A" w:rsidRDefault="00014493" w:rsidP="00014493">
      <w:pPr>
        <w:pStyle w:val="FootnoteText"/>
        <w:rPr>
          <w:rFonts w:ascii="Arial" w:hAnsi="Arial" w:cs="Arial"/>
        </w:rPr>
      </w:pPr>
      <w:r w:rsidRPr="0003125A">
        <w:rPr>
          <w:rFonts w:ascii="Arial" w:hAnsi="Arial" w:cs="Arial"/>
          <w:i/>
        </w:rPr>
        <w:t xml:space="preserve">Armed Activities (2002 Application) (DRC </w:t>
      </w:r>
      <w:r w:rsidRPr="0003125A">
        <w:rPr>
          <w:rFonts w:ascii="Arial" w:hAnsi="Arial" w:cs="Arial"/>
        </w:rPr>
        <w:t>v</w:t>
      </w:r>
      <w:r w:rsidRPr="0003125A">
        <w:rPr>
          <w:rFonts w:ascii="Arial" w:hAnsi="Arial" w:cs="Arial"/>
          <w:i/>
        </w:rPr>
        <w:t xml:space="preserve"> Rwanda)</w:t>
      </w:r>
      <w:r w:rsidRPr="0003125A">
        <w:rPr>
          <w:rFonts w:ascii="Arial" w:hAnsi="Arial" w:cs="Arial"/>
        </w:rPr>
        <w:t>, Jurisdiction and Admissibility, ICJ Rep 2006</w:t>
      </w:r>
    </w:p>
    <w:p w14:paraId="0C645353" w14:textId="77777777" w:rsidR="00014493" w:rsidRPr="0003125A" w:rsidRDefault="00014493" w:rsidP="00014493">
      <w:pPr>
        <w:pStyle w:val="FootnoteText"/>
        <w:rPr>
          <w:rFonts w:ascii="Arial" w:hAnsi="Arial" w:cs="Arial"/>
          <w:iCs/>
          <w:lang w:val="en-US"/>
        </w:rPr>
      </w:pPr>
    </w:p>
    <w:p w14:paraId="7FDD3BDD" w14:textId="77777777" w:rsidR="00014493" w:rsidRPr="0003125A" w:rsidRDefault="00014493" w:rsidP="00014493">
      <w:pPr>
        <w:pStyle w:val="FootnoteText"/>
        <w:rPr>
          <w:rFonts w:ascii="Arial" w:hAnsi="Arial" w:cs="Arial"/>
          <w:b/>
          <w:bCs/>
        </w:rPr>
      </w:pPr>
      <w:r w:rsidRPr="0003125A">
        <w:rPr>
          <w:rFonts w:ascii="Arial" w:hAnsi="Arial" w:cs="Arial"/>
          <w:i/>
          <w:lang w:val="en-US"/>
        </w:rPr>
        <w:t xml:space="preserve">Assanidze </w:t>
      </w:r>
      <w:r w:rsidRPr="0003125A">
        <w:rPr>
          <w:rFonts w:ascii="Arial" w:hAnsi="Arial" w:cs="Arial"/>
          <w:lang w:val="en-US"/>
        </w:rPr>
        <w:t>v</w:t>
      </w:r>
      <w:r w:rsidRPr="0003125A">
        <w:rPr>
          <w:rFonts w:ascii="Arial" w:hAnsi="Arial" w:cs="Arial"/>
          <w:i/>
          <w:lang w:val="en-US"/>
        </w:rPr>
        <w:t xml:space="preserve"> Georgia </w:t>
      </w:r>
      <w:r w:rsidRPr="0003125A">
        <w:rPr>
          <w:rFonts w:ascii="Arial" w:hAnsi="Arial" w:cs="Arial"/>
          <w:bCs/>
        </w:rPr>
        <w:t>[2004] ECHR 140</w:t>
      </w:r>
    </w:p>
    <w:p w14:paraId="654E8DA3" w14:textId="77777777" w:rsidR="00014493" w:rsidRPr="0003125A" w:rsidRDefault="00014493" w:rsidP="00014493">
      <w:pPr>
        <w:pStyle w:val="FootnoteText"/>
        <w:rPr>
          <w:rFonts w:ascii="Arial" w:hAnsi="Arial" w:cs="Arial"/>
          <w:iCs/>
          <w:lang w:val="en-US"/>
        </w:rPr>
      </w:pPr>
    </w:p>
    <w:p w14:paraId="119C85E7" w14:textId="77777777" w:rsidR="00014493" w:rsidRPr="0003125A" w:rsidRDefault="00014493" w:rsidP="00014493">
      <w:pPr>
        <w:rPr>
          <w:rFonts w:ascii="Arial" w:hAnsi="Arial" w:cs="Arial"/>
          <w:sz w:val="24"/>
          <w:szCs w:val="24"/>
        </w:rPr>
      </w:pPr>
      <w:r w:rsidRPr="0003125A">
        <w:rPr>
          <w:rFonts w:ascii="Arial" w:hAnsi="Arial" w:cs="Arial"/>
          <w:i/>
          <w:sz w:val="24"/>
          <w:szCs w:val="24"/>
        </w:rPr>
        <w:t xml:space="preserve">Bankovic </w:t>
      </w:r>
      <w:r w:rsidRPr="0003125A">
        <w:rPr>
          <w:rFonts w:ascii="Arial" w:hAnsi="Arial" w:cs="Arial"/>
          <w:sz w:val="24"/>
          <w:szCs w:val="24"/>
        </w:rPr>
        <w:t xml:space="preserve">v </w:t>
      </w:r>
      <w:r w:rsidRPr="0003125A">
        <w:rPr>
          <w:rFonts w:ascii="Arial" w:hAnsi="Arial" w:cs="Arial"/>
          <w:i/>
          <w:sz w:val="24"/>
          <w:szCs w:val="24"/>
        </w:rPr>
        <w:t xml:space="preserve">Belgium </w:t>
      </w:r>
      <w:r w:rsidRPr="0003125A">
        <w:rPr>
          <w:rFonts w:ascii="Arial" w:hAnsi="Arial" w:cs="Arial"/>
          <w:sz w:val="24"/>
          <w:szCs w:val="24"/>
        </w:rPr>
        <w:t>(2001) 123 ILR 94</w:t>
      </w:r>
    </w:p>
    <w:p w14:paraId="3CC9A0AC" w14:textId="77777777" w:rsidR="00014493" w:rsidRPr="0003125A" w:rsidRDefault="00014493" w:rsidP="00014493">
      <w:pPr>
        <w:pStyle w:val="FootnoteText"/>
        <w:rPr>
          <w:rFonts w:ascii="Arial" w:hAnsi="Arial" w:cs="Arial"/>
          <w:lang w:val="en-US"/>
        </w:rPr>
      </w:pPr>
      <w:r w:rsidRPr="0003125A">
        <w:rPr>
          <w:rFonts w:ascii="Arial" w:hAnsi="Arial" w:cs="Arial"/>
          <w:i/>
          <w:lang w:val="en-US"/>
        </w:rPr>
        <w:t xml:space="preserve">Belilos </w:t>
      </w:r>
      <w:r w:rsidRPr="0003125A">
        <w:rPr>
          <w:rFonts w:ascii="Arial" w:hAnsi="Arial" w:cs="Arial"/>
          <w:lang w:val="en-US"/>
        </w:rPr>
        <w:t xml:space="preserve">v </w:t>
      </w:r>
      <w:r w:rsidRPr="0003125A">
        <w:rPr>
          <w:rFonts w:ascii="Arial" w:hAnsi="Arial" w:cs="Arial"/>
          <w:i/>
          <w:lang w:val="en-US"/>
        </w:rPr>
        <w:t xml:space="preserve">Switzerland </w:t>
      </w:r>
      <w:r w:rsidRPr="0003125A">
        <w:rPr>
          <w:rFonts w:ascii="Arial" w:hAnsi="Arial" w:cs="Arial"/>
          <w:lang w:val="en-US"/>
        </w:rPr>
        <w:t xml:space="preserve">(1988) 10 EHRR 466; (1988) ECHR (A/132) </w:t>
      </w:r>
      <w:r w:rsidRPr="0003125A">
        <w:rPr>
          <w:rFonts w:ascii="Arial" w:hAnsi="Arial" w:cs="Arial"/>
        </w:rPr>
        <w:t>88 ILR 635, Judgment of 29 April 1988, Ser A, No 132</w:t>
      </w:r>
    </w:p>
    <w:p w14:paraId="1E25B157" w14:textId="77777777" w:rsidR="00014493" w:rsidRPr="0003125A" w:rsidRDefault="00014493" w:rsidP="00014493">
      <w:pPr>
        <w:pStyle w:val="FootnoteText"/>
        <w:rPr>
          <w:rFonts w:ascii="Arial" w:hAnsi="Arial" w:cs="Arial"/>
          <w:lang w:val="en-US"/>
        </w:rPr>
      </w:pPr>
    </w:p>
    <w:p w14:paraId="27111BB1" w14:textId="77777777" w:rsidR="00014493" w:rsidRPr="0003125A" w:rsidRDefault="00014493" w:rsidP="00014493">
      <w:pPr>
        <w:pStyle w:val="FootnoteText"/>
        <w:rPr>
          <w:rFonts w:ascii="Arial" w:hAnsi="Arial" w:cs="Arial"/>
          <w:lang w:val="en-US"/>
        </w:rPr>
      </w:pPr>
      <w:r w:rsidRPr="0003125A">
        <w:rPr>
          <w:rFonts w:ascii="Arial" w:hAnsi="Arial" w:cs="Arial"/>
          <w:i/>
          <w:iCs/>
          <w:lang w:val="en-US"/>
        </w:rPr>
        <w:t xml:space="preserve">Case Concerning Ahmadou Sadio Diallo (Republic of </w:t>
      </w:r>
      <w:r w:rsidRPr="0003125A">
        <w:rPr>
          <w:rFonts w:ascii="Arial" w:hAnsi="Arial" w:cs="Arial"/>
          <w:lang w:val="en-US"/>
        </w:rPr>
        <w:t> </w:t>
      </w:r>
      <w:r w:rsidRPr="0003125A">
        <w:rPr>
          <w:rFonts w:ascii="Arial" w:hAnsi="Arial" w:cs="Arial"/>
          <w:i/>
          <w:iCs/>
          <w:lang w:val="en-US"/>
        </w:rPr>
        <w:t xml:space="preserve">Guinea </w:t>
      </w:r>
      <w:r w:rsidRPr="0003125A">
        <w:rPr>
          <w:rFonts w:ascii="Arial" w:hAnsi="Arial" w:cs="Arial"/>
          <w:lang w:val="en-US"/>
        </w:rPr>
        <w:t xml:space="preserve">v </w:t>
      </w:r>
      <w:r w:rsidRPr="0003125A">
        <w:rPr>
          <w:rFonts w:ascii="Arial" w:hAnsi="Arial" w:cs="Arial"/>
          <w:i/>
          <w:iCs/>
          <w:lang w:val="en-US"/>
        </w:rPr>
        <w:t>Democratic Republic of the Congo)</w:t>
      </w:r>
      <w:r w:rsidRPr="0003125A">
        <w:rPr>
          <w:rFonts w:ascii="Arial" w:hAnsi="Arial" w:cs="Arial"/>
          <w:lang w:val="en-US"/>
        </w:rPr>
        <w:t>, Compensation, Judgment ICJ Rep 2012</w:t>
      </w:r>
    </w:p>
    <w:p w14:paraId="56601AE8"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   </w:t>
      </w:r>
    </w:p>
    <w:p w14:paraId="3FF52CAB" w14:textId="77777777" w:rsidR="00014493" w:rsidRPr="0003125A" w:rsidRDefault="00014493" w:rsidP="00014493">
      <w:pPr>
        <w:pStyle w:val="FootnoteText"/>
        <w:rPr>
          <w:rFonts w:ascii="Arial" w:hAnsi="Arial" w:cs="Arial"/>
          <w:lang w:val="en-US"/>
        </w:rPr>
      </w:pPr>
      <w:r w:rsidRPr="0003125A">
        <w:rPr>
          <w:rFonts w:ascii="Arial" w:hAnsi="Arial" w:cs="Arial"/>
          <w:i/>
        </w:rPr>
        <w:t xml:space="preserve">Case of Certain Norwegian Loans </w:t>
      </w:r>
      <w:r w:rsidRPr="0003125A">
        <w:rPr>
          <w:rFonts w:ascii="Arial" w:hAnsi="Arial" w:cs="Arial"/>
        </w:rPr>
        <w:t>(Judgment) [1957] ICJ Rep 9</w:t>
      </w:r>
    </w:p>
    <w:p w14:paraId="3BBF75A9" w14:textId="77777777" w:rsidR="00014493" w:rsidRPr="0003125A" w:rsidRDefault="00014493" w:rsidP="00014493">
      <w:pPr>
        <w:pStyle w:val="FootnoteText"/>
        <w:rPr>
          <w:rFonts w:ascii="Arial" w:hAnsi="Arial" w:cs="Arial"/>
          <w:lang w:val="en-US"/>
        </w:rPr>
      </w:pPr>
    </w:p>
    <w:p w14:paraId="3B11B08F" w14:textId="77777777" w:rsidR="00014493" w:rsidRPr="0003125A" w:rsidRDefault="00014493" w:rsidP="00014493">
      <w:pPr>
        <w:pStyle w:val="FootnoteText"/>
        <w:rPr>
          <w:rFonts w:ascii="Arial" w:hAnsi="Arial" w:cs="Arial"/>
          <w:lang w:val="en-US"/>
        </w:rPr>
      </w:pPr>
      <w:r w:rsidRPr="0003125A">
        <w:rPr>
          <w:rFonts w:ascii="Arial" w:hAnsi="Arial" w:cs="Arial"/>
          <w:bCs/>
          <w:i/>
        </w:rPr>
        <w:t xml:space="preserve">Certain Norwegian Loans, France </w:t>
      </w:r>
      <w:r w:rsidRPr="0003125A">
        <w:rPr>
          <w:rFonts w:ascii="Arial" w:hAnsi="Arial" w:cs="Arial"/>
          <w:bCs/>
        </w:rPr>
        <w:t>v</w:t>
      </w:r>
      <w:r w:rsidRPr="0003125A">
        <w:rPr>
          <w:rFonts w:ascii="Arial" w:hAnsi="Arial" w:cs="Arial"/>
          <w:bCs/>
          <w:i/>
        </w:rPr>
        <w:t xml:space="preserve"> Norway</w:t>
      </w:r>
      <w:r w:rsidRPr="0003125A">
        <w:rPr>
          <w:rFonts w:ascii="Arial" w:hAnsi="Arial" w:cs="Arial"/>
          <w:b/>
          <w:bCs/>
          <w:i/>
        </w:rPr>
        <w:t xml:space="preserve"> </w:t>
      </w:r>
      <w:r w:rsidRPr="0003125A">
        <w:rPr>
          <w:rFonts w:ascii="Arial" w:hAnsi="Arial" w:cs="Arial"/>
          <w:lang w:val="en-US"/>
        </w:rPr>
        <w:t>[1957] ICJ Rep 7</w:t>
      </w:r>
    </w:p>
    <w:p w14:paraId="30AF2176" w14:textId="77777777" w:rsidR="00014493" w:rsidRPr="0003125A" w:rsidRDefault="00014493" w:rsidP="00014493">
      <w:pPr>
        <w:pStyle w:val="FootnoteText"/>
        <w:rPr>
          <w:rFonts w:ascii="Arial" w:hAnsi="Arial" w:cs="Arial"/>
          <w:b/>
          <w:bCs/>
          <w:i/>
        </w:rPr>
      </w:pPr>
    </w:p>
    <w:p w14:paraId="49A37898" w14:textId="77777777" w:rsidR="00014493" w:rsidRPr="0003125A" w:rsidRDefault="00014493" w:rsidP="00014493">
      <w:pPr>
        <w:pStyle w:val="FootnoteText"/>
        <w:rPr>
          <w:rFonts w:ascii="Arial" w:hAnsi="Arial" w:cs="Arial"/>
        </w:rPr>
      </w:pPr>
      <w:r w:rsidRPr="0003125A">
        <w:rPr>
          <w:rFonts w:ascii="Arial" w:hAnsi="Arial" w:cs="Arial"/>
          <w:i/>
        </w:rPr>
        <w:t xml:space="preserve">Dispute regarding Navigational and Related Rights (Costa Rica </w:t>
      </w:r>
      <w:r w:rsidRPr="0003125A">
        <w:rPr>
          <w:rFonts w:ascii="Arial" w:hAnsi="Arial" w:cs="Arial"/>
        </w:rPr>
        <w:t xml:space="preserve">v </w:t>
      </w:r>
      <w:r w:rsidRPr="0003125A">
        <w:rPr>
          <w:rFonts w:ascii="Arial" w:hAnsi="Arial" w:cs="Arial"/>
          <w:i/>
        </w:rPr>
        <w:t xml:space="preserve">Nicaragua) </w:t>
      </w:r>
      <w:r w:rsidRPr="0003125A">
        <w:rPr>
          <w:rFonts w:ascii="Arial" w:hAnsi="Arial" w:cs="Arial"/>
        </w:rPr>
        <w:t>(Judgment) [2009] ICJ Rep 213</w:t>
      </w:r>
    </w:p>
    <w:p w14:paraId="1F56390F" w14:textId="77777777" w:rsidR="00014493" w:rsidRPr="0003125A" w:rsidRDefault="00014493" w:rsidP="00014493">
      <w:pPr>
        <w:pStyle w:val="FootnoteText"/>
        <w:rPr>
          <w:rFonts w:ascii="Arial" w:hAnsi="Arial" w:cs="Arial"/>
        </w:rPr>
      </w:pPr>
    </w:p>
    <w:p w14:paraId="49D7C61F" w14:textId="77777777" w:rsidR="00014493" w:rsidRPr="0003125A" w:rsidRDefault="00014493" w:rsidP="00014493">
      <w:pPr>
        <w:pStyle w:val="FootnoteText"/>
        <w:rPr>
          <w:rFonts w:ascii="Arial" w:hAnsi="Arial" w:cs="Arial"/>
        </w:rPr>
      </w:pPr>
      <w:r w:rsidRPr="0003125A">
        <w:rPr>
          <w:rFonts w:ascii="Arial" w:hAnsi="Arial" w:cs="Arial"/>
          <w:i/>
        </w:rPr>
        <w:t xml:space="preserve">Fisheries Jurisdiction Case (Spain </w:t>
      </w:r>
      <w:r w:rsidRPr="0003125A">
        <w:rPr>
          <w:rFonts w:ascii="Arial" w:hAnsi="Arial" w:cs="Arial"/>
        </w:rPr>
        <w:t xml:space="preserve">v </w:t>
      </w:r>
      <w:r w:rsidRPr="0003125A">
        <w:rPr>
          <w:rFonts w:ascii="Arial" w:hAnsi="Arial" w:cs="Arial"/>
          <w:i/>
        </w:rPr>
        <w:t xml:space="preserve">Canada) </w:t>
      </w:r>
      <w:r w:rsidRPr="0003125A">
        <w:rPr>
          <w:rFonts w:ascii="Arial" w:hAnsi="Arial" w:cs="Arial"/>
        </w:rPr>
        <w:t>1998 ICJ 432</w:t>
      </w:r>
    </w:p>
    <w:p w14:paraId="75D86CA6" w14:textId="77777777" w:rsidR="00014493" w:rsidRPr="0003125A" w:rsidRDefault="00014493" w:rsidP="00014493">
      <w:pPr>
        <w:pStyle w:val="FootnoteText"/>
        <w:rPr>
          <w:rFonts w:ascii="Arial" w:hAnsi="Arial" w:cs="Arial"/>
        </w:rPr>
      </w:pPr>
    </w:p>
    <w:p w14:paraId="0ACD10E6" w14:textId="77777777" w:rsidR="00014493" w:rsidRPr="0003125A" w:rsidRDefault="00014493" w:rsidP="00014493">
      <w:pPr>
        <w:rPr>
          <w:rFonts w:ascii="Arial" w:hAnsi="Arial" w:cs="Arial"/>
          <w:sz w:val="24"/>
          <w:szCs w:val="24"/>
        </w:rPr>
      </w:pPr>
      <w:r w:rsidRPr="0003125A">
        <w:rPr>
          <w:rFonts w:ascii="Arial" w:hAnsi="Arial" w:cs="Arial"/>
          <w:i/>
          <w:sz w:val="24"/>
          <w:szCs w:val="24"/>
        </w:rPr>
        <w:t>Gab</w:t>
      </w:r>
      <w:r w:rsidRPr="0003125A">
        <w:rPr>
          <w:rFonts w:ascii="Arial" w:hAnsi="Arial" w:cs="Arial"/>
          <w:i/>
          <w:color w:val="000000"/>
          <w:sz w:val="24"/>
          <w:szCs w:val="24"/>
        </w:rPr>
        <w:t>č</w:t>
      </w:r>
      <w:r w:rsidRPr="0003125A">
        <w:rPr>
          <w:rFonts w:ascii="Arial" w:hAnsi="Arial" w:cs="Arial"/>
          <w:i/>
          <w:sz w:val="24"/>
          <w:szCs w:val="24"/>
        </w:rPr>
        <w:t xml:space="preserve">ikovo-Nagymaros Project (Hungary/Slovakia), Judgment, </w:t>
      </w:r>
      <w:r w:rsidRPr="0003125A">
        <w:rPr>
          <w:rFonts w:ascii="Arial" w:hAnsi="Arial" w:cs="Arial"/>
          <w:sz w:val="24"/>
          <w:szCs w:val="24"/>
        </w:rPr>
        <w:t>ICJ Rep</w:t>
      </w:r>
      <w:r w:rsidRPr="0003125A">
        <w:rPr>
          <w:rFonts w:ascii="Arial" w:hAnsi="Arial" w:cs="Arial"/>
          <w:i/>
          <w:sz w:val="24"/>
          <w:szCs w:val="24"/>
        </w:rPr>
        <w:t xml:space="preserve"> </w:t>
      </w:r>
      <w:r w:rsidRPr="0003125A">
        <w:rPr>
          <w:rFonts w:ascii="Arial" w:hAnsi="Arial" w:cs="Arial"/>
          <w:sz w:val="24"/>
          <w:szCs w:val="24"/>
        </w:rPr>
        <w:t>1997</w:t>
      </w:r>
    </w:p>
    <w:p w14:paraId="780DECF1" w14:textId="77777777" w:rsidR="00014493" w:rsidRPr="0003125A" w:rsidRDefault="00014493" w:rsidP="00014493">
      <w:pPr>
        <w:pStyle w:val="FootnoteText"/>
        <w:rPr>
          <w:rFonts w:ascii="Arial" w:hAnsi="Arial" w:cs="Arial"/>
          <w:lang w:val="en-US"/>
        </w:rPr>
      </w:pPr>
      <w:r w:rsidRPr="0003125A">
        <w:rPr>
          <w:rFonts w:ascii="Arial" w:hAnsi="Arial" w:cs="Arial"/>
          <w:i/>
          <w:lang w:val="en-US"/>
        </w:rPr>
        <w:t xml:space="preserve">Ilie Ilaşcu et al. </w:t>
      </w:r>
      <w:r w:rsidRPr="0003125A">
        <w:rPr>
          <w:rFonts w:ascii="Arial" w:hAnsi="Arial" w:cs="Arial"/>
          <w:lang w:val="en-US"/>
        </w:rPr>
        <w:t>v</w:t>
      </w:r>
      <w:r w:rsidRPr="0003125A">
        <w:rPr>
          <w:rFonts w:ascii="Arial" w:hAnsi="Arial" w:cs="Arial"/>
          <w:i/>
          <w:lang w:val="en-US"/>
        </w:rPr>
        <w:t xml:space="preserve"> Moldova and the Russian Federation</w:t>
      </w:r>
      <w:r w:rsidRPr="0003125A">
        <w:rPr>
          <w:rFonts w:ascii="Arial" w:hAnsi="Arial" w:cs="Arial"/>
          <w:lang w:val="en-US"/>
        </w:rPr>
        <w:t xml:space="preserve">, ECHR, Grand Chamber decision of 4 July 2001 </w:t>
      </w:r>
    </w:p>
    <w:p w14:paraId="4947CBE4" w14:textId="77777777" w:rsidR="00014493" w:rsidRPr="0003125A" w:rsidRDefault="00014493" w:rsidP="00014493">
      <w:pPr>
        <w:pStyle w:val="FootnoteText"/>
        <w:rPr>
          <w:rFonts w:ascii="Arial" w:hAnsi="Arial" w:cs="Arial"/>
          <w:lang w:val="en-US"/>
        </w:rPr>
      </w:pPr>
    </w:p>
    <w:p w14:paraId="6265CADC" w14:textId="77777777" w:rsidR="00014493" w:rsidRPr="0003125A" w:rsidRDefault="00014493" w:rsidP="00014493">
      <w:pPr>
        <w:pStyle w:val="FootnoteText"/>
        <w:rPr>
          <w:rFonts w:ascii="Arial" w:hAnsi="Arial" w:cs="Arial"/>
          <w:lang w:val="en-US"/>
        </w:rPr>
      </w:pPr>
      <w:r w:rsidRPr="0003125A">
        <w:rPr>
          <w:rFonts w:ascii="Arial" w:hAnsi="Arial" w:cs="Arial"/>
          <w:i/>
        </w:rPr>
        <w:t xml:space="preserve">Interhandel Case </w:t>
      </w:r>
      <w:r w:rsidRPr="0003125A">
        <w:rPr>
          <w:rFonts w:ascii="Arial" w:hAnsi="Arial" w:cs="Arial"/>
          <w:i/>
          <w:lang w:val="en-US"/>
        </w:rPr>
        <w:t xml:space="preserve">(Switzerland </w:t>
      </w:r>
      <w:r w:rsidRPr="0003125A">
        <w:rPr>
          <w:rFonts w:ascii="Arial" w:hAnsi="Arial" w:cs="Arial"/>
          <w:lang w:val="en-US"/>
        </w:rPr>
        <w:t>v</w:t>
      </w:r>
      <w:r w:rsidRPr="0003125A">
        <w:rPr>
          <w:rFonts w:ascii="Arial" w:hAnsi="Arial" w:cs="Arial"/>
          <w:i/>
          <w:lang w:val="en-US"/>
        </w:rPr>
        <w:t xml:space="preserve"> United States of America)</w:t>
      </w:r>
      <w:r w:rsidRPr="0003125A">
        <w:rPr>
          <w:rFonts w:ascii="Arial" w:hAnsi="Arial" w:cs="Arial"/>
          <w:lang w:val="en-US"/>
        </w:rPr>
        <w:t xml:space="preserve"> (Preliminary Objections) [1959] ICJ Rep 6 </w:t>
      </w:r>
    </w:p>
    <w:p w14:paraId="76243C60" w14:textId="77777777" w:rsidR="00014493" w:rsidRPr="0003125A" w:rsidRDefault="00014493" w:rsidP="00014493">
      <w:pPr>
        <w:pStyle w:val="FootnoteText"/>
        <w:rPr>
          <w:rFonts w:ascii="Arial" w:hAnsi="Arial" w:cs="Arial"/>
          <w:lang w:val="en-US"/>
        </w:rPr>
      </w:pPr>
    </w:p>
    <w:p w14:paraId="672D22A3" w14:textId="77777777" w:rsidR="00014493" w:rsidRPr="0003125A" w:rsidRDefault="00014493" w:rsidP="00014493">
      <w:pPr>
        <w:rPr>
          <w:rFonts w:ascii="Arial" w:hAnsi="Arial" w:cs="Arial"/>
          <w:sz w:val="24"/>
          <w:szCs w:val="24"/>
          <w:lang w:val="en-US"/>
        </w:rPr>
      </w:pPr>
      <w:r w:rsidRPr="0003125A">
        <w:rPr>
          <w:rFonts w:ascii="Arial" w:hAnsi="Arial" w:cs="Arial"/>
          <w:i/>
          <w:iCs/>
          <w:sz w:val="24"/>
          <w:szCs w:val="24"/>
          <w:lang w:val="en-US"/>
        </w:rPr>
        <w:t>Judgment No 2867 of the Administrative Tribunal of the International Labour Organization upon a Complaint Filed against the International Fund for Agricultural Development</w:t>
      </w:r>
      <w:r w:rsidRPr="0003125A">
        <w:rPr>
          <w:rFonts w:ascii="Arial" w:hAnsi="Arial" w:cs="Arial"/>
          <w:sz w:val="24"/>
          <w:szCs w:val="24"/>
          <w:lang w:val="en-US"/>
        </w:rPr>
        <w:t xml:space="preserve"> (Advisory Opinion) 2012, ICJ 10</w:t>
      </w:r>
    </w:p>
    <w:p w14:paraId="4996B97B" w14:textId="77777777" w:rsidR="00014493" w:rsidRPr="0003125A" w:rsidRDefault="00014493" w:rsidP="00014493">
      <w:pPr>
        <w:pStyle w:val="FootnoteText"/>
        <w:rPr>
          <w:rFonts w:ascii="Arial" w:hAnsi="Arial" w:cs="Arial"/>
          <w:lang w:val="en-US"/>
        </w:rPr>
      </w:pPr>
      <w:r w:rsidRPr="0003125A">
        <w:rPr>
          <w:rFonts w:ascii="Arial" w:hAnsi="Arial" w:cs="Arial"/>
          <w:i/>
          <w:iCs/>
          <w:lang w:val="en-US"/>
        </w:rPr>
        <w:t>Legal Consequences of the Construction of a Wall in the Occupied Palestinian Territory</w:t>
      </w:r>
      <w:r w:rsidRPr="0003125A">
        <w:rPr>
          <w:rFonts w:ascii="Arial" w:hAnsi="Arial" w:cs="Arial"/>
          <w:lang w:val="en-US"/>
        </w:rPr>
        <w:t xml:space="preserve"> (Advisory Opinion) 2004, ICJ 136</w:t>
      </w:r>
    </w:p>
    <w:p w14:paraId="36567D99" w14:textId="77777777" w:rsidR="00014493" w:rsidRPr="0003125A" w:rsidRDefault="00014493" w:rsidP="00014493">
      <w:pPr>
        <w:pStyle w:val="FootnoteText"/>
        <w:rPr>
          <w:rFonts w:ascii="Arial" w:hAnsi="Arial" w:cs="Arial"/>
          <w:lang w:val="en-US"/>
        </w:rPr>
      </w:pPr>
    </w:p>
    <w:p w14:paraId="2F1D2F39" w14:textId="77777777" w:rsidR="00014493" w:rsidRPr="0003125A" w:rsidRDefault="00014493" w:rsidP="00014493">
      <w:pPr>
        <w:pStyle w:val="FootnoteText"/>
        <w:rPr>
          <w:rFonts w:ascii="Arial" w:hAnsi="Arial" w:cs="Arial"/>
          <w:lang w:val="en-US"/>
        </w:rPr>
      </w:pPr>
      <w:r w:rsidRPr="0003125A">
        <w:rPr>
          <w:rFonts w:ascii="Arial" w:hAnsi="Arial" w:cs="Arial"/>
          <w:i/>
        </w:rPr>
        <w:t xml:space="preserve">Loizidou </w:t>
      </w:r>
      <w:r w:rsidRPr="0003125A">
        <w:rPr>
          <w:rFonts w:ascii="Arial" w:hAnsi="Arial" w:cs="Arial"/>
        </w:rPr>
        <w:t xml:space="preserve">v </w:t>
      </w:r>
      <w:r w:rsidRPr="0003125A">
        <w:rPr>
          <w:rFonts w:ascii="Arial" w:hAnsi="Arial" w:cs="Arial"/>
          <w:i/>
        </w:rPr>
        <w:t xml:space="preserve">Turkey </w:t>
      </w:r>
      <w:r w:rsidRPr="0003125A">
        <w:rPr>
          <w:rFonts w:ascii="Arial" w:hAnsi="Arial" w:cs="Arial"/>
        </w:rPr>
        <w:t>(Preliminary Objections)</w:t>
      </w:r>
      <w:r w:rsidRPr="0003125A">
        <w:rPr>
          <w:rFonts w:ascii="Arial" w:hAnsi="Arial" w:cs="Arial"/>
          <w:i/>
        </w:rPr>
        <w:t xml:space="preserve"> </w:t>
      </w:r>
      <w:r w:rsidRPr="0003125A">
        <w:rPr>
          <w:rFonts w:ascii="Arial" w:hAnsi="Arial" w:cs="Arial"/>
        </w:rPr>
        <w:t xml:space="preserve">103 ILR 622, Judgment of 23 March (1995) </w:t>
      </w:r>
      <w:r w:rsidRPr="0003125A">
        <w:rPr>
          <w:rFonts w:ascii="Arial" w:hAnsi="Arial" w:cs="Arial"/>
          <w:lang w:val="en-US"/>
        </w:rPr>
        <w:t>310 ECHR (Ser. A) 7, 31; 20 EHRR 99, 138</w:t>
      </w:r>
    </w:p>
    <w:p w14:paraId="0DA972FB" w14:textId="77777777" w:rsidR="00014493" w:rsidRPr="0003125A" w:rsidRDefault="00014493" w:rsidP="00014493">
      <w:pPr>
        <w:pStyle w:val="FootnoteText"/>
        <w:rPr>
          <w:rFonts w:ascii="Arial" w:hAnsi="Arial" w:cs="Arial"/>
        </w:rPr>
      </w:pPr>
    </w:p>
    <w:p w14:paraId="38ACAF6C" w14:textId="77777777" w:rsidR="00014493" w:rsidRPr="0003125A" w:rsidRDefault="00014493" w:rsidP="00014493">
      <w:pPr>
        <w:pStyle w:val="FootnoteText"/>
        <w:rPr>
          <w:rFonts w:ascii="Arial" w:hAnsi="Arial" w:cs="Arial"/>
        </w:rPr>
      </w:pPr>
      <w:r w:rsidRPr="0003125A">
        <w:rPr>
          <w:rFonts w:ascii="Arial" w:hAnsi="Arial" w:cs="Arial"/>
          <w:i/>
        </w:rPr>
        <w:t xml:space="preserve">National Decrees Issued in Tunis and Morocco </w:t>
      </w:r>
      <w:r w:rsidRPr="0003125A">
        <w:rPr>
          <w:rFonts w:ascii="Arial" w:hAnsi="Arial" w:cs="Arial"/>
        </w:rPr>
        <w:t>(1923) PCIJ Series B No. 4</w:t>
      </w:r>
    </w:p>
    <w:p w14:paraId="53D28A77" w14:textId="77777777" w:rsidR="00014493" w:rsidRPr="0003125A" w:rsidRDefault="00014493" w:rsidP="00014493">
      <w:pPr>
        <w:pStyle w:val="FootnoteText"/>
        <w:rPr>
          <w:rFonts w:ascii="Arial" w:hAnsi="Arial" w:cs="Arial"/>
          <w:lang w:val="en-US"/>
        </w:rPr>
      </w:pPr>
    </w:p>
    <w:p w14:paraId="4F16D4F7" w14:textId="77777777" w:rsidR="00014493" w:rsidRPr="0003125A" w:rsidRDefault="00014493" w:rsidP="00014493">
      <w:pPr>
        <w:rPr>
          <w:rFonts w:ascii="Arial" w:hAnsi="Arial" w:cs="Arial"/>
          <w:sz w:val="24"/>
          <w:szCs w:val="24"/>
        </w:rPr>
      </w:pPr>
      <w:r w:rsidRPr="0003125A">
        <w:rPr>
          <w:rFonts w:ascii="Arial" w:hAnsi="Arial" w:cs="Arial"/>
          <w:i/>
          <w:sz w:val="24"/>
          <w:szCs w:val="24"/>
        </w:rPr>
        <w:t xml:space="preserve">Nicaragua </w:t>
      </w:r>
      <w:r w:rsidRPr="0003125A">
        <w:rPr>
          <w:rFonts w:ascii="Arial" w:hAnsi="Arial" w:cs="Arial"/>
          <w:sz w:val="24"/>
          <w:szCs w:val="24"/>
        </w:rPr>
        <w:t xml:space="preserve">v </w:t>
      </w:r>
      <w:r w:rsidRPr="0003125A">
        <w:rPr>
          <w:rFonts w:ascii="Arial" w:hAnsi="Arial" w:cs="Arial"/>
          <w:i/>
          <w:sz w:val="24"/>
          <w:szCs w:val="24"/>
        </w:rPr>
        <w:t>USA</w:t>
      </w:r>
      <w:r w:rsidRPr="0003125A">
        <w:rPr>
          <w:rFonts w:ascii="Arial" w:hAnsi="Arial" w:cs="Arial"/>
          <w:sz w:val="24"/>
          <w:szCs w:val="24"/>
        </w:rPr>
        <w:t xml:space="preserve"> 1986 ICJ Rep 14</w:t>
      </w:r>
    </w:p>
    <w:p w14:paraId="39F4EA7D" w14:textId="77777777" w:rsidR="00014493" w:rsidRPr="0003125A" w:rsidRDefault="00014493" w:rsidP="00014493">
      <w:pPr>
        <w:pStyle w:val="FootnoteText"/>
        <w:rPr>
          <w:rFonts w:ascii="Arial" w:hAnsi="Arial" w:cs="Arial"/>
          <w:lang w:val="en-US"/>
        </w:rPr>
      </w:pPr>
      <w:r w:rsidRPr="0003125A">
        <w:rPr>
          <w:rFonts w:ascii="Arial" w:hAnsi="Arial" w:cs="Arial"/>
          <w:i/>
          <w:iCs/>
          <w:lang w:val="en-US"/>
        </w:rPr>
        <w:t xml:space="preserve">Norwegian Loans Case </w:t>
      </w:r>
      <w:r w:rsidRPr="0003125A">
        <w:rPr>
          <w:rFonts w:ascii="Arial" w:hAnsi="Arial" w:cs="Arial"/>
          <w:lang w:val="en-US"/>
        </w:rPr>
        <w:t>(</w:t>
      </w:r>
      <w:r w:rsidRPr="0003125A">
        <w:rPr>
          <w:rFonts w:ascii="Arial" w:hAnsi="Arial" w:cs="Arial"/>
          <w:i/>
          <w:iCs/>
          <w:lang w:val="en-US"/>
        </w:rPr>
        <w:t xml:space="preserve">France </w:t>
      </w:r>
      <w:r w:rsidRPr="0003125A">
        <w:rPr>
          <w:rFonts w:ascii="Arial" w:hAnsi="Arial" w:cs="Arial"/>
          <w:lang w:val="en-US"/>
        </w:rPr>
        <w:t xml:space="preserve">v </w:t>
      </w:r>
      <w:r w:rsidRPr="0003125A">
        <w:rPr>
          <w:rFonts w:ascii="Arial" w:hAnsi="Arial" w:cs="Arial"/>
          <w:i/>
          <w:iCs/>
          <w:lang w:val="en-US"/>
        </w:rPr>
        <w:t>Norway</w:t>
      </w:r>
      <w:r w:rsidRPr="0003125A">
        <w:rPr>
          <w:rFonts w:ascii="Arial" w:hAnsi="Arial" w:cs="Arial"/>
          <w:lang w:val="en-US"/>
        </w:rPr>
        <w:t xml:space="preserve">) 1957 </w:t>
      </w:r>
      <w:r w:rsidRPr="0003125A">
        <w:rPr>
          <w:rFonts w:ascii="Arial" w:hAnsi="Arial" w:cs="Arial"/>
          <w:iCs/>
          <w:lang w:val="en-US"/>
        </w:rPr>
        <w:t>ICJ Rep</w:t>
      </w:r>
      <w:r w:rsidRPr="0003125A">
        <w:rPr>
          <w:rFonts w:ascii="Arial" w:hAnsi="Arial" w:cs="Arial"/>
          <w:i/>
          <w:iCs/>
          <w:lang w:val="en-US"/>
        </w:rPr>
        <w:t xml:space="preserve"> </w:t>
      </w:r>
      <w:r w:rsidRPr="0003125A">
        <w:rPr>
          <w:rFonts w:ascii="Arial" w:hAnsi="Arial" w:cs="Arial"/>
          <w:lang w:val="en-US"/>
        </w:rPr>
        <w:t xml:space="preserve">9 </w:t>
      </w:r>
    </w:p>
    <w:p w14:paraId="03D48053" w14:textId="77777777" w:rsidR="00014493" w:rsidRPr="0003125A" w:rsidRDefault="00014493" w:rsidP="00014493">
      <w:pPr>
        <w:pStyle w:val="FootnoteText"/>
        <w:rPr>
          <w:rFonts w:ascii="Arial" w:hAnsi="Arial" w:cs="Arial"/>
          <w:lang w:val="en-US"/>
        </w:rPr>
      </w:pPr>
    </w:p>
    <w:p w14:paraId="0A4BAB80" w14:textId="77777777" w:rsidR="00014493" w:rsidRPr="0003125A" w:rsidRDefault="00014493" w:rsidP="00014493">
      <w:pPr>
        <w:pStyle w:val="FootnoteText"/>
        <w:rPr>
          <w:rFonts w:ascii="Arial" w:hAnsi="Arial" w:cs="Arial"/>
        </w:rPr>
      </w:pPr>
      <w:r w:rsidRPr="0003125A">
        <w:rPr>
          <w:rFonts w:ascii="Arial" w:hAnsi="Arial" w:cs="Arial"/>
          <w:i/>
          <w:lang w:val="en-US"/>
        </w:rPr>
        <w:t xml:space="preserve">Nuclear Tests (Australia </w:t>
      </w:r>
      <w:r w:rsidRPr="0003125A">
        <w:rPr>
          <w:rFonts w:ascii="Arial" w:hAnsi="Arial" w:cs="Arial"/>
          <w:lang w:val="en-US"/>
        </w:rPr>
        <w:t>v</w:t>
      </w:r>
      <w:r w:rsidRPr="0003125A">
        <w:rPr>
          <w:rFonts w:ascii="Arial" w:hAnsi="Arial" w:cs="Arial"/>
          <w:i/>
          <w:lang w:val="en-US"/>
        </w:rPr>
        <w:t xml:space="preserve"> France)</w:t>
      </w:r>
      <w:r w:rsidRPr="0003125A">
        <w:rPr>
          <w:rFonts w:ascii="Arial" w:hAnsi="Arial" w:cs="Arial"/>
        </w:rPr>
        <w:t xml:space="preserve"> ICJ Rep (1974)</w:t>
      </w:r>
    </w:p>
    <w:p w14:paraId="13FEFB95" w14:textId="77777777" w:rsidR="00014493" w:rsidRPr="0003125A" w:rsidRDefault="00014493" w:rsidP="00014493">
      <w:pPr>
        <w:pStyle w:val="FootnoteText"/>
        <w:rPr>
          <w:rFonts w:ascii="Arial" w:hAnsi="Arial" w:cs="Arial"/>
        </w:rPr>
      </w:pPr>
    </w:p>
    <w:p w14:paraId="380651CE" w14:textId="77777777" w:rsidR="00014493" w:rsidRPr="0003125A" w:rsidRDefault="00014493" w:rsidP="00014493">
      <w:pPr>
        <w:rPr>
          <w:rFonts w:ascii="Arial" w:hAnsi="Arial" w:cs="Arial"/>
          <w:sz w:val="24"/>
          <w:szCs w:val="24"/>
          <w:lang w:val="en-US"/>
        </w:rPr>
      </w:pPr>
      <w:r w:rsidRPr="0003125A">
        <w:rPr>
          <w:rFonts w:ascii="Arial" w:hAnsi="Arial" w:cs="Arial"/>
          <w:i/>
          <w:iCs/>
          <w:sz w:val="24"/>
          <w:szCs w:val="24"/>
          <w:lang w:val="en-US"/>
        </w:rPr>
        <w:t xml:space="preserve">Oil Platforms (Islamic Republic of Iran </w:t>
      </w:r>
      <w:r w:rsidRPr="0003125A">
        <w:rPr>
          <w:rFonts w:ascii="Arial" w:hAnsi="Arial" w:cs="Arial"/>
          <w:sz w:val="24"/>
          <w:szCs w:val="24"/>
          <w:lang w:val="en-US"/>
        </w:rPr>
        <w:t xml:space="preserve">v </w:t>
      </w:r>
      <w:r w:rsidRPr="0003125A">
        <w:rPr>
          <w:rFonts w:ascii="Arial" w:hAnsi="Arial" w:cs="Arial"/>
          <w:i/>
          <w:iCs/>
          <w:sz w:val="24"/>
          <w:szCs w:val="24"/>
          <w:lang w:val="en-US"/>
        </w:rPr>
        <w:t xml:space="preserve">United States of </w:t>
      </w:r>
      <w:r w:rsidRPr="0003125A">
        <w:rPr>
          <w:rFonts w:ascii="Arial" w:hAnsi="Arial" w:cs="Arial"/>
          <w:sz w:val="24"/>
          <w:szCs w:val="24"/>
          <w:lang w:val="en-US"/>
        </w:rPr>
        <w:t> </w:t>
      </w:r>
      <w:r w:rsidRPr="0003125A">
        <w:rPr>
          <w:rFonts w:ascii="Arial" w:hAnsi="Arial" w:cs="Arial"/>
          <w:i/>
          <w:iCs/>
          <w:sz w:val="24"/>
          <w:szCs w:val="24"/>
          <w:lang w:val="en-US"/>
        </w:rPr>
        <w:t>America)</w:t>
      </w:r>
      <w:r w:rsidRPr="0003125A">
        <w:rPr>
          <w:rFonts w:ascii="Arial" w:hAnsi="Arial" w:cs="Arial"/>
          <w:sz w:val="24"/>
          <w:szCs w:val="24"/>
          <w:lang w:val="en-US"/>
        </w:rPr>
        <w:t xml:space="preserve">, Judgment, ICJ Rep 2003 </w:t>
      </w:r>
    </w:p>
    <w:p w14:paraId="657D1B08" w14:textId="77777777" w:rsidR="00014493" w:rsidRPr="0003125A" w:rsidRDefault="00014493" w:rsidP="00014493">
      <w:pPr>
        <w:rPr>
          <w:rFonts w:ascii="Arial" w:hAnsi="Arial" w:cs="Arial"/>
          <w:sz w:val="24"/>
          <w:szCs w:val="24"/>
          <w:lang w:val="en-US"/>
        </w:rPr>
      </w:pPr>
      <w:r w:rsidRPr="0003125A">
        <w:rPr>
          <w:rFonts w:ascii="Arial" w:hAnsi="Arial" w:cs="Arial"/>
          <w:i/>
          <w:iCs/>
          <w:sz w:val="24"/>
          <w:szCs w:val="24"/>
          <w:lang w:val="en-US"/>
        </w:rPr>
        <w:t xml:space="preserve">Questions relating to the Obligation to Prosecute or Extradite (Belgium </w:t>
      </w:r>
      <w:r w:rsidRPr="0003125A">
        <w:rPr>
          <w:rFonts w:ascii="Arial" w:hAnsi="Arial" w:cs="Arial"/>
          <w:i/>
          <w:sz w:val="24"/>
          <w:szCs w:val="24"/>
          <w:lang w:val="en-US"/>
        </w:rPr>
        <w:t xml:space="preserve">v </w:t>
      </w:r>
      <w:r w:rsidRPr="0003125A">
        <w:rPr>
          <w:rFonts w:ascii="Arial" w:hAnsi="Arial" w:cs="Arial"/>
          <w:i/>
          <w:iCs/>
          <w:sz w:val="24"/>
          <w:szCs w:val="24"/>
          <w:lang w:val="en-US"/>
        </w:rPr>
        <w:t>Senegal) (Hiss</w:t>
      </w:r>
      <w:r w:rsidRPr="0003125A">
        <w:rPr>
          <w:rFonts w:ascii="Arial" w:hAnsi="Arial" w:cs="Arial"/>
          <w:i/>
          <w:color w:val="000000"/>
          <w:sz w:val="24"/>
          <w:szCs w:val="24"/>
        </w:rPr>
        <w:t>è</w:t>
      </w:r>
      <w:r w:rsidRPr="0003125A">
        <w:rPr>
          <w:rFonts w:ascii="Arial" w:hAnsi="Arial" w:cs="Arial"/>
          <w:i/>
          <w:iCs/>
          <w:sz w:val="24"/>
          <w:szCs w:val="24"/>
          <w:lang w:val="en-US"/>
        </w:rPr>
        <w:t>ne Habr</w:t>
      </w:r>
      <w:r w:rsidRPr="0003125A">
        <w:rPr>
          <w:rFonts w:ascii="Arial" w:hAnsi="Arial" w:cs="Arial"/>
          <w:i/>
          <w:color w:val="000000"/>
          <w:sz w:val="24"/>
          <w:szCs w:val="24"/>
        </w:rPr>
        <w:t>é</w:t>
      </w:r>
      <w:r w:rsidRPr="0003125A">
        <w:rPr>
          <w:rFonts w:ascii="Arial" w:hAnsi="Arial" w:cs="Arial"/>
          <w:i/>
          <w:iCs/>
          <w:sz w:val="24"/>
          <w:szCs w:val="24"/>
          <w:lang w:val="en-US"/>
        </w:rPr>
        <w:t>)</w:t>
      </w:r>
      <w:r w:rsidRPr="0003125A">
        <w:rPr>
          <w:rFonts w:ascii="Arial" w:hAnsi="Arial" w:cs="Arial"/>
          <w:i/>
          <w:sz w:val="24"/>
          <w:szCs w:val="24"/>
          <w:lang w:val="en-US"/>
        </w:rPr>
        <w:t>,</w:t>
      </w:r>
      <w:r w:rsidRPr="0003125A">
        <w:rPr>
          <w:rFonts w:ascii="Arial" w:hAnsi="Arial" w:cs="Arial"/>
          <w:sz w:val="24"/>
          <w:szCs w:val="24"/>
          <w:lang w:val="en-US"/>
        </w:rPr>
        <w:t xml:space="preserve"> Judgment, 2012, ICJ 422</w:t>
      </w:r>
    </w:p>
    <w:p w14:paraId="0B8301E3" w14:textId="77777777" w:rsidR="00014493" w:rsidRPr="0003125A" w:rsidRDefault="00014493" w:rsidP="00014493">
      <w:pPr>
        <w:pStyle w:val="FootnoteText"/>
        <w:rPr>
          <w:rFonts w:ascii="Arial" w:hAnsi="Arial" w:cs="Arial"/>
          <w:lang w:val="en-US"/>
        </w:rPr>
      </w:pPr>
      <w:r w:rsidRPr="0003125A">
        <w:rPr>
          <w:rFonts w:ascii="Arial" w:hAnsi="Arial" w:cs="Arial"/>
          <w:i/>
          <w:lang w:val="en-US"/>
        </w:rPr>
        <w:t xml:space="preserve">Rawle Kennedy </w:t>
      </w:r>
      <w:r w:rsidRPr="0003125A">
        <w:rPr>
          <w:rFonts w:ascii="Arial" w:hAnsi="Arial" w:cs="Arial"/>
          <w:lang w:val="en-US"/>
        </w:rPr>
        <w:t xml:space="preserve">v </w:t>
      </w:r>
      <w:r w:rsidRPr="0003125A">
        <w:rPr>
          <w:rFonts w:ascii="Arial" w:hAnsi="Arial" w:cs="Arial"/>
          <w:i/>
          <w:lang w:val="en-US"/>
        </w:rPr>
        <w:t>Trinidad and Tobago</w:t>
      </w:r>
      <w:r w:rsidRPr="0003125A">
        <w:rPr>
          <w:rFonts w:ascii="Arial" w:hAnsi="Arial" w:cs="Arial"/>
        </w:rPr>
        <w:t xml:space="preserve"> (2000) 7 I.H.R.R. 315</w:t>
      </w:r>
    </w:p>
    <w:p w14:paraId="3BEC1E3B" w14:textId="77777777" w:rsidR="00014493" w:rsidRPr="0003125A" w:rsidRDefault="00014493" w:rsidP="00014493">
      <w:pPr>
        <w:pStyle w:val="FootnoteText"/>
        <w:rPr>
          <w:rFonts w:ascii="Arial" w:hAnsi="Arial" w:cs="Arial"/>
          <w:i/>
        </w:rPr>
      </w:pPr>
    </w:p>
    <w:p w14:paraId="6C50A32F" w14:textId="77777777" w:rsidR="00014493" w:rsidRPr="0003125A" w:rsidRDefault="00014493" w:rsidP="00014493">
      <w:pPr>
        <w:pStyle w:val="FootnoteText"/>
        <w:rPr>
          <w:rFonts w:ascii="Arial" w:hAnsi="Arial" w:cs="Arial"/>
        </w:rPr>
      </w:pPr>
      <w:r w:rsidRPr="0003125A">
        <w:rPr>
          <w:rFonts w:ascii="Arial" w:hAnsi="Arial" w:cs="Arial"/>
          <w:i/>
        </w:rPr>
        <w:t>Reservations to the Convention on the Prevention and Punishment of the Crime of Genocide</w:t>
      </w:r>
      <w:r w:rsidRPr="0003125A">
        <w:rPr>
          <w:rFonts w:ascii="Arial" w:hAnsi="Arial" w:cs="Arial"/>
        </w:rPr>
        <w:t xml:space="preserve"> (Advisory Opinion) [1951] ICJ Rep 15</w:t>
      </w:r>
    </w:p>
    <w:p w14:paraId="6C913589" w14:textId="77777777" w:rsidR="00014493" w:rsidRPr="0003125A" w:rsidRDefault="00014493" w:rsidP="00014493">
      <w:pPr>
        <w:pStyle w:val="FootnoteText"/>
        <w:rPr>
          <w:rFonts w:ascii="Arial" w:hAnsi="Arial" w:cs="Arial"/>
          <w:lang w:val="en-US"/>
        </w:rPr>
      </w:pPr>
    </w:p>
    <w:p w14:paraId="19BFC587" w14:textId="77777777" w:rsidR="00014493" w:rsidRPr="0003125A" w:rsidRDefault="00014493" w:rsidP="00014493">
      <w:pPr>
        <w:pStyle w:val="FootnoteText"/>
        <w:rPr>
          <w:rFonts w:ascii="Arial" w:hAnsi="Arial" w:cs="Arial"/>
        </w:rPr>
      </w:pPr>
      <w:r w:rsidRPr="0003125A">
        <w:rPr>
          <w:rFonts w:ascii="Arial" w:hAnsi="Arial" w:cs="Arial"/>
          <w:i/>
          <w:iCs/>
        </w:rPr>
        <w:t xml:space="preserve">T.K. </w:t>
      </w:r>
      <w:r w:rsidRPr="0003125A">
        <w:rPr>
          <w:rFonts w:ascii="Arial" w:hAnsi="Arial" w:cs="Arial"/>
          <w:iCs/>
        </w:rPr>
        <w:t>v</w:t>
      </w:r>
      <w:r w:rsidRPr="0003125A">
        <w:rPr>
          <w:rFonts w:ascii="Arial" w:hAnsi="Arial" w:cs="Arial"/>
          <w:i/>
          <w:iCs/>
        </w:rPr>
        <w:t xml:space="preserve"> France</w:t>
      </w:r>
      <w:r w:rsidRPr="0003125A">
        <w:rPr>
          <w:rFonts w:ascii="Arial" w:hAnsi="Arial" w:cs="Arial"/>
        </w:rPr>
        <w:t xml:space="preserve">, UN Doc CCPR/C/37/D/220/1987 </w:t>
      </w:r>
    </w:p>
    <w:p w14:paraId="6D099026" w14:textId="77777777" w:rsidR="00014493" w:rsidRPr="0003125A" w:rsidRDefault="00014493" w:rsidP="00014493">
      <w:pPr>
        <w:pStyle w:val="FootnoteText"/>
        <w:rPr>
          <w:rFonts w:ascii="Arial" w:hAnsi="Arial" w:cs="Arial"/>
        </w:rPr>
      </w:pPr>
    </w:p>
    <w:p w14:paraId="22EC0648" w14:textId="77777777" w:rsidR="00014493" w:rsidRPr="0003125A" w:rsidRDefault="00014493" w:rsidP="00014493">
      <w:pPr>
        <w:pStyle w:val="FootnoteText"/>
        <w:rPr>
          <w:rFonts w:ascii="Arial" w:hAnsi="Arial" w:cs="Arial"/>
        </w:rPr>
      </w:pPr>
      <w:r w:rsidRPr="0003125A">
        <w:rPr>
          <w:rFonts w:ascii="Arial" w:hAnsi="Arial" w:cs="Arial"/>
          <w:i/>
        </w:rPr>
        <w:t>Weber</w:t>
      </w:r>
      <w:r w:rsidRPr="0003125A">
        <w:rPr>
          <w:rFonts w:ascii="Arial" w:hAnsi="Arial" w:cs="Arial"/>
        </w:rPr>
        <w:t xml:space="preserve"> v </w:t>
      </w:r>
      <w:r w:rsidRPr="0003125A">
        <w:rPr>
          <w:rFonts w:ascii="Arial" w:hAnsi="Arial" w:cs="Arial"/>
          <w:i/>
        </w:rPr>
        <w:t xml:space="preserve">Switzerland </w:t>
      </w:r>
      <w:r w:rsidRPr="0003125A">
        <w:rPr>
          <w:rFonts w:ascii="Arial" w:hAnsi="Arial" w:cs="Arial"/>
        </w:rPr>
        <w:t>[1990] ECHR 13 A/177</w:t>
      </w:r>
    </w:p>
    <w:p w14:paraId="53B9B107" w14:textId="77777777" w:rsidR="00014493" w:rsidRPr="0003125A" w:rsidRDefault="00014493" w:rsidP="00014493">
      <w:pPr>
        <w:pStyle w:val="FootnoteText"/>
        <w:rPr>
          <w:rFonts w:ascii="Arial" w:hAnsi="Arial" w:cs="Arial"/>
          <w:b/>
        </w:rPr>
      </w:pPr>
    </w:p>
    <w:p w14:paraId="15C92E37" w14:textId="77777777" w:rsidR="00014493" w:rsidRPr="0003125A" w:rsidRDefault="00014493" w:rsidP="00014493">
      <w:pPr>
        <w:pStyle w:val="FootnoteText"/>
        <w:rPr>
          <w:rFonts w:ascii="Arial" w:hAnsi="Arial" w:cs="Arial"/>
          <w:b/>
        </w:rPr>
      </w:pPr>
      <w:r w:rsidRPr="0003125A">
        <w:rPr>
          <w:rFonts w:ascii="Arial" w:hAnsi="Arial" w:cs="Arial"/>
          <w:b/>
        </w:rPr>
        <w:t>Resolutions</w:t>
      </w:r>
    </w:p>
    <w:p w14:paraId="61FEB132" w14:textId="77777777" w:rsidR="00014493" w:rsidRPr="0003125A" w:rsidRDefault="00014493" w:rsidP="00014493">
      <w:pPr>
        <w:pStyle w:val="FootnoteText"/>
        <w:rPr>
          <w:rFonts w:ascii="Arial" w:hAnsi="Arial" w:cs="Arial"/>
          <w:b/>
        </w:rPr>
      </w:pPr>
    </w:p>
    <w:p w14:paraId="02E0B45E" w14:textId="77777777" w:rsidR="00014493" w:rsidRPr="0003125A" w:rsidRDefault="00014493" w:rsidP="00014493">
      <w:pPr>
        <w:pStyle w:val="FootnoteText"/>
        <w:rPr>
          <w:rFonts w:ascii="Arial" w:hAnsi="Arial" w:cs="Arial"/>
        </w:rPr>
      </w:pPr>
      <w:r w:rsidRPr="0003125A">
        <w:rPr>
          <w:rFonts w:ascii="Arial" w:hAnsi="Arial" w:cs="Arial"/>
        </w:rPr>
        <w:t>Reservations to Multilateral Conventions [1952] UNGA 12; A/RES/598 (VI) (12 January 1952)</w:t>
      </w:r>
      <w:r w:rsidRPr="0003125A">
        <w:rPr>
          <w:rFonts w:ascii="Arial" w:hAnsi="Arial" w:cs="Arial"/>
          <w:b/>
        </w:rPr>
        <w:t xml:space="preserve"> </w:t>
      </w:r>
    </w:p>
    <w:p w14:paraId="01742E87" w14:textId="77777777" w:rsidR="00014493" w:rsidRPr="0003125A" w:rsidRDefault="00014493" w:rsidP="00014493">
      <w:pPr>
        <w:pStyle w:val="FootnoteText"/>
        <w:rPr>
          <w:rFonts w:ascii="Arial" w:hAnsi="Arial" w:cs="Arial"/>
          <w:b/>
        </w:rPr>
      </w:pPr>
    </w:p>
    <w:p w14:paraId="6129A33F" w14:textId="77777777" w:rsidR="00014493" w:rsidRPr="0003125A" w:rsidRDefault="00014493" w:rsidP="00014493">
      <w:pPr>
        <w:pStyle w:val="FootnoteText"/>
        <w:rPr>
          <w:rFonts w:ascii="Arial" w:hAnsi="Arial" w:cs="Arial"/>
          <w:b/>
        </w:rPr>
      </w:pPr>
      <w:r w:rsidRPr="0003125A">
        <w:rPr>
          <w:rFonts w:ascii="Arial" w:hAnsi="Arial" w:cs="Arial"/>
          <w:b/>
        </w:rPr>
        <w:t>Official Documents</w:t>
      </w:r>
    </w:p>
    <w:p w14:paraId="15688D30" w14:textId="77777777" w:rsidR="00014493" w:rsidRPr="0003125A" w:rsidRDefault="00014493" w:rsidP="00014493">
      <w:pPr>
        <w:pStyle w:val="FootnoteText"/>
        <w:rPr>
          <w:rFonts w:ascii="Arial" w:hAnsi="Arial" w:cs="Arial"/>
          <w:b/>
        </w:rPr>
      </w:pPr>
    </w:p>
    <w:p w14:paraId="66FD20FC" w14:textId="77777777" w:rsidR="00014493" w:rsidRPr="0003125A" w:rsidRDefault="00014493" w:rsidP="00014493">
      <w:pPr>
        <w:pStyle w:val="FootnoteText"/>
        <w:rPr>
          <w:rFonts w:ascii="Arial" w:hAnsi="Arial" w:cs="Arial"/>
        </w:rPr>
      </w:pPr>
      <w:r w:rsidRPr="0003125A">
        <w:rPr>
          <w:rFonts w:ascii="Arial" w:hAnsi="Arial" w:cs="Arial"/>
        </w:rPr>
        <w:t>‘Consolidated text of all draft guidelines adopted by the Commission or proposed by the Special Rapporteur’, UN doc. A/CN.4/526/Add. 1 of 16 May 2002</w:t>
      </w:r>
    </w:p>
    <w:p w14:paraId="17E74661" w14:textId="77777777" w:rsidR="00014493" w:rsidRPr="0003125A" w:rsidRDefault="00014493" w:rsidP="00014493">
      <w:pPr>
        <w:pStyle w:val="FootnoteText"/>
        <w:rPr>
          <w:rFonts w:ascii="Arial" w:hAnsi="Arial" w:cs="Arial"/>
          <w:lang w:val="en-US"/>
        </w:rPr>
      </w:pPr>
    </w:p>
    <w:p w14:paraId="1E83C11F" w14:textId="77777777" w:rsidR="00014493" w:rsidRPr="0003125A" w:rsidRDefault="00014493" w:rsidP="00014493">
      <w:pPr>
        <w:pStyle w:val="FootnoteText"/>
        <w:rPr>
          <w:rFonts w:ascii="Arial" w:hAnsi="Arial" w:cs="Arial"/>
          <w:lang w:val="en-US"/>
        </w:rPr>
      </w:pPr>
      <w:r w:rsidRPr="0003125A">
        <w:rPr>
          <w:rFonts w:ascii="Arial" w:hAnsi="Arial" w:cs="Arial"/>
          <w:lang w:val="en-US"/>
        </w:rPr>
        <w:t>Judge Can</w:t>
      </w:r>
      <w:r w:rsidRPr="0003125A">
        <w:rPr>
          <w:rFonts w:ascii="Arial" w:hAnsi="Arial" w:cs="Arial"/>
          <w:color w:val="000000"/>
        </w:rPr>
        <w:t>ç</w:t>
      </w:r>
      <w:r w:rsidRPr="0003125A">
        <w:rPr>
          <w:rFonts w:ascii="Arial" w:hAnsi="Arial" w:cs="Arial"/>
          <w:lang w:val="en-US"/>
        </w:rPr>
        <w:t>ado Trindade, Address to the 100th session of the Human Rights Committee, UN Doc. CCPR/C/SR. 2772 (2010)</w:t>
      </w:r>
    </w:p>
    <w:p w14:paraId="3F94797C" w14:textId="77777777" w:rsidR="00014493" w:rsidRPr="0003125A" w:rsidRDefault="00014493" w:rsidP="00014493">
      <w:pPr>
        <w:pStyle w:val="FootnoteText"/>
        <w:rPr>
          <w:rFonts w:ascii="Arial" w:hAnsi="Arial" w:cs="Arial"/>
          <w:lang w:val="en-US"/>
        </w:rPr>
      </w:pPr>
    </w:p>
    <w:p w14:paraId="3E055EDE" w14:textId="77777777" w:rsidR="00014493" w:rsidRPr="0003125A" w:rsidRDefault="00014493" w:rsidP="00014493">
      <w:pPr>
        <w:pStyle w:val="FootnoteText"/>
        <w:rPr>
          <w:rFonts w:ascii="Arial" w:hAnsi="Arial" w:cs="Arial"/>
        </w:rPr>
      </w:pPr>
      <w:r w:rsidRPr="0003125A">
        <w:rPr>
          <w:rFonts w:ascii="Arial" w:hAnsi="Arial" w:cs="Arial"/>
        </w:rPr>
        <w:t xml:space="preserve">Human Rights Committee, </w:t>
      </w:r>
      <w:r w:rsidRPr="0003125A">
        <w:rPr>
          <w:rFonts w:ascii="Arial" w:hAnsi="Arial" w:cs="Arial"/>
          <w:i/>
        </w:rPr>
        <w:t xml:space="preserve">General Comment No. 24/52 on Issues relating to Reservations </w:t>
      </w:r>
      <w:r w:rsidRPr="0003125A">
        <w:rPr>
          <w:rFonts w:ascii="Arial" w:hAnsi="Arial" w:cs="Arial"/>
          <w:i/>
          <w:iCs/>
          <w:lang w:val="en-US"/>
        </w:rPr>
        <w:t xml:space="preserve">Made upon Ratification or Accession to the Covenant or the Optional Protocols thereto, or in Relation to Declarations under Article 41 of the </w:t>
      </w:r>
      <w:r w:rsidRPr="0003125A">
        <w:rPr>
          <w:rFonts w:ascii="Arial" w:hAnsi="Arial" w:cs="Arial"/>
          <w:i/>
        </w:rPr>
        <w:t>UN Covenant on Civil and Political Rights</w:t>
      </w:r>
      <w:r w:rsidRPr="0003125A">
        <w:rPr>
          <w:rFonts w:ascii="Arial" w:hAnsi="Arial" w:cs="Arial"/>
        </w:rPr>
        <w:t xml:space="preserve">, 4 November 1994, CCPR/C/21/Rev.1/Add.6 </w:t>
      </w:r>
    </w:p>
    <w:p w14:paraId="6F1535CD"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Rodley N, Address to the 100th session of the Human Rights Committee, </w:t>
      </w:r>
      <w:r w:rsidRPr="0003125A">
        <w:rPr>
          <w:rFonts w:ascii="Arial" w:hAnsi="Arial" w:cs="Arial"/>
        </w:rPr>
        <w:t xml:space="preserve">UN Doc. </w:t>
      </w:r>
      <w:r w:rsidRPr="0003125A">
        <w:rPr>
          <w:rFonts w:ascii="Arial" w:hAnsi="Arial" w:cs="Arial"/>
          <w:lang w:val="en-US"/>
        </w:rPr>
        <w:t>CCPR/C/SR.2752/Add.1 (2010)</w:t>
      </w:r>
    </w:p>
    <w:p w14:paraId="1BBDDA6F" w14:textId="77777777" w:rsidR="00014493" w:rsidRPr="0003125A" w:rsidRDefault="00014493" w:rsidP="00014493">
      <w:pPr>
        <w:pStyle w:val="FootnoteText"/>
        <w:rPr>
          <w:rFonts w:ascii="Arial" w:hAnsi="Arial" w:cs="Arial"/>
          <w:lang w:val="en-US"/>
        </w:rPr>
      </w:pPr>
    </w:p>
    <w:p w14:paraId="5D718999" w14:textId="77777777" w:rsidR="00014493" w:rsidRPr="0003125A" w:rsidRDefault="00014493" w:rsidP="00014493">
      <w:pPr>
        <w:pStyle w:val="FootnoteText"/>
        <w:rPr>
          <w:rFonts w:ascii="Arial" w:hAnsi="Arial" w:cs="Arial"/>
          <w:lang w:val="en-US"/>
        </w:rPr>
      </w:pPr>
      <w:r w:rsidRPr="0003125A">
        <w:rPr>
          <w:rFonts w:ascii="Arial" w:hAnsi="Arial" w:cs="Arial"/>
          <w:lang w:val="en-US"/>
        </w:rPr>
        <w:t>Wood M, for the International Law Commission in 2013 (UN Doc. A/CN.4/663) and 2014 (UN Doc. A/CN.4/672)</w:t>
      </w:r>
    </w:p>
    <w:p w14:paraId="67B8920A" w14:textId="77777777" w:rsidR="00014493" w:rsidRPr="0003125A" w:rsidRDefault="00014493" w:rsidP="00014493">
      <w:pPr>
        <w:pStyle w:val="FootnoteText"/>
        <w:rPr>
          <w:rFonts w:ascii="Arial" w:hAnsi="Arial" w:cs="Arial"/>
          <w:b/>
        </w:rPr>
      </w:pPr>
    </w:p>
    <w:p w14:paraId="2EC77335" w14:textId="77777777" w:rsidR="00014493" w:rsidRPr="0003125A" w:rsidRDefault="00014493" w:rsidP="00014493">
      <w:pPr>
        <w:pStyle w:val="FootnoteText"/>
        <w:rPr>
          <w:rFonts w:ascii="Arial" w:hAnsi="Arial" w:cs="Arial"/>
          <w:b/>
        </w:rPr>
      </w:pPr>
      <w:r w:rsidRPr="0003125A">
        <w:rPr>
          <w:rFonts w:ascii="Arial" w:hAnsi="Arial" w:cs="Arial"/>
          <w:b/>
        </w:rPr>
        <w:t>Treaties</w:t>
      </w:r>
    </w:p>
    <w:p w14:paraId="349B8F79" w14:textId="77777777" w:rsidR="00014493" w:rsidRPr="0003125A" w:rsidRDefault="00014493" w:rsidP="00014493">
      <w:pPr>
        <w:pStyle w:val="FootnoteText"/>
        <w:rPr>
          <w:rFonts w:ascii="Arial" w:hAnsi="Arial" w:cs="Arial"/>
        </w:rPr>
      </w:pPr>
    </w:p>
    <w:p w14:paraId="4EDBD8EB" w14:textId="77777777" w:rsidR="00014493" w:rsidRPr="0003125A" w:rsidRDefault="00014493" w:rsidP="00014493">
      <w:pPr>
        <w:pStyle w:val="FootnoteText"/>
        <w:rPr>
          <w:rFonts w:ascii="Arial" w:hAnsi="Arial" w:cs="Arial"/>
          <w:lang w:val="en-US"/>
        </w:rPr>
      </w:pPr>
      <w:r w:rsidRPr="0003125A">
        <w:rPr>
          <w:rFonts w:ascii="Arial" w:hAnsi="Arial" w:cs="Arial"/>
          <w:iCs/>
          <w:lang w:val="en-US"/>
        </w:rPr>
        <w:t>The Convention Concerning Employment of Women during the Night</w:t>
      </w:r>
      <w:r w:rsidRPr="0003125A">
        <w:rPr>
          <w:rFonts w:ascii="Arial" w:hAnsi="Arial" w:cs="Arial"/>
          <w:i/>
          <w:iCs/>
          <w:lang w:val="en-US"/>
        </w:rPr>
        <w:t xml:space="preserve"> </w:t>
      </w:r>
      <w:r w:rsidRPr="0003125A">
        <w:rPr>
          <w:rFonts w:ascii="Arial" w:hAnsi="Arial" w:cs="Arial"/>
          <w:lang w:val="en-US"/>
        </w:rPr>
        <w:t>PCIJ (1932) Series A/B No. 50, 377</w:t>
      </w:r>
    </w:p>
    <w:p w14:paraId="631D7F8B" w14:textId="77777777" w:rsidR="00014493" w:rsidRPr="0003125A" w:rsidRDefault="00014493" w:rsidP="00014493">
      <w:pPr>
        <w:pStyle w:val="FootnoteText"/>
        <w:rPr>
          <w:rFonts w:ascii="Arial" w:hAnsi="Arial" w:cs="Arial"/>
        </w:rPr>
      </w:pPr>
    </w:p>
    <w:p w14:paraId="7DB2DEF8" w14:textId="77777777" w:rsidR="00014493" w:rsidRPr="0003125A" w:rsidRDefault="00014493" w:rsidP="00014493">
      <w:pPr>
        <w:pStyle w:val="FootnoteText"/>
        <w:rPr>
          <w:rFonts w:ascii="Arial" w:hAnsi="Arial" w:cs="Arial"/>
        </w:rPr>
      </w:pPr>
      <w:r w:rsidRPr="0003125A">
        <w:rPr>
          <w:rFonts w:ascii="Arial" w:hAnsi="Arial" w:cs="Arial"/>
        </w:rPr>
        <w:t>The Convention on the Elimination of All Forms of Discrimination Against Women [1979] 1249 UNTS 13</w:t>
      </w:r>
    </w:p>
    <w:p w14:paraId="5220CA60" w14:textId="77777777" w:rsidR="00014493" w:rsidRPr="0003125A" w:rsidRDefault="00014493" w:rsidP="00014493">
      <w:pPr>
        <w:pStyle w:val="FootnoteText"/>
        <w:rPr>
          <w:rFonts w:ascii="Arial" w:hAnsi="Arial" w:cs="Arial"/>
        </w:rPr>
      </w:pPr>
    </w:p>
    <w:p w14:paraId="4F00AF7F" w14:textId="77777777" w:rsidR="00014493" w:rsidRPr="0003125A" w:rsidRDefault="00014493" w:rsidP="00014493">
      <w:pPr>
        <w:pStyle w:val="FootnoteText"/>
        <w:rPr>
          <w:rFonts w:ascii="Arial" w:hAnsi="Arial" w:cs="Arial"/>
        </w:rPr>
      </w:pPr>
      <w:r w:rsidRPr="0003125A">
        <w:rPr>
          <w:rFonts w:ascii="Arial" w:hAnsi="Arial" w:cs="Arial"/>
        </w:rPr>
        <w:t>The Convention for the Protection of Human Rights and Fundamental Freedoms, 4 November 1950, 213 UNTS 222</w:t>
      </w:r>
    </w:p>
    <w:p w14:paraId="6859872E" w14:textId="77777777" w:rsidR="00014493" w:rsidRPr="0003125A" w:rsidRDefault="00014493" w:rsidP="00014493">
      <w:pPr>
        <w:pStyle w:val="FootnoteText"/>
        <w:rPr>
          <w:rFonts w:ascii="Arial" w:hAnsi="Arial" w:cs="Arial"/>
          <w:lang w:val="en-US"/>
        </w:rPr>
      </w:pPr>
    </w:p>
    <w:p w14:paraId="4DA3ED11" w14:textId="77777777" w:rsidR="00014493" w:rsidRPr="0003125A" w:rsidRDefault="00014493" w:rsidP="00014493">
      <w:pPr>
        <w:pStyle w:val="FootnoteText"/>
        <w:rPr>
          <w:rFonts w:ascii="Arial" w:hAnsi="Arial" w:cs="Arial"/>
        </w:rPr>
      </w:pPr>
      <w:r w:rsidRPr="0003125A">
        <w:rPr>
          <w:rFonts w:ascii="Arial" w:hAnsi="Arial" w:cs="Arial"/>
        </w:rPr>
        <w:t>The Convention on the Prevention and Punishment of the Crime of Genocide 1948 78 UNTS 277</w:t>
      </w:r>
    </w:p>
    <w:p w14:paraId="24CA7A99" w14:textId="77777777" w:rsidR="00014493" w:rsidRPr="0003125A" w:rsidRDefault="00014493" w:rsidP="00014493">
      <w:pPr>
        <w:pStyle w:val="FootnoteText"/>
        <w:rPr>
          <w:rFonts w:ascii="Arial" w:hAnsi="Arial" w:cs="Arial"/>
          <w:lang w:val="en-US"/>
        </w:rPr>
      </w:pPr>
    </w:p>
    <w:p w14:paraId="06CDF5C2" w14:textId="77777777" w:rsidR="00014493" w:rsidRPr="0003125A" w:rsidRDefault="00014493" w:rsidP="00014493">
      <w:pPr>
        <w:pStyle w:val="FootnoteText"/>
        <w:rPr>
          <w:rFonts w:ascii="Arial" w:hAnsi="Arial" w:cs="Arial"/>
          <w:color w:val="FF0000"/>
          <w:lang w:val="en-US"/>
        </w:rPr>
      </w:pPr>
      <w:r w:rsidRPr="0003125A">
        <w:rPr>
          <w:rFonts w:ascii="Arial" w:hAnsi="Arial" w:cs="Arial"/>
        </w:rPr>
        <w:t xml:space="preserve">The International Covenant on Civil and Political Rights (ICCPR) 999 UNTS 171 and 1057 UNTS 407 / [1980] ATS 23 / 6 ILM 368 (1967) </w:t>
      </w:r>
    </w:p>
    <w:p w14:paraId="2659D378" w14:textId="77777777" w:rsidR="00014493" w:rsidRPr="0003125A" w:rsidRDefault="00014493" w:rsidP="00014493">
      <w:pPr>
        <w:pStyle w:val="FootnoteText"/>
        <w:rPr>
          <w:rFonts w:ascii="Arial" w:hAnsi="Arial" w:cs="Arial"/>
        </w:rPr>
      </w:pPr>
    </w:p>
    <w:p w14:paraId="5F125AB7" w14:textId="77777777" w:rsidR="00014493" w:rsidRPr="0003125A" w:rsidRDefault="00014493" w:rsidP="00014493">
      <w:pPr>
        <w:pStyle w:val="FootnoteText"/>
        <w:rPr>
          <w:rFonts w:ascii="Arial" w:hAnsi="Arial" w:cs="Arial"/>
        </w:rPr>
      </w:pPr>
      <w:r w:rsidRPr="0003125A">
        <w:rPr>
          <w:rFonts w:ascii="Arial" w:hAnsi="Arial" w:cs="Arial"/>
          <w:lang w:val="en-US"/>
        </w:rPr>
        <w:t xml:space="preserve">The International Convention on the Elimination of All Forms of Racial Discrimination </w:t>
      </w:r>
      <w:r w:rsidRPr="0003125A">
        <w:rPr>
          <w:rFonts w:ascii="Arial" w:hAnsi="Arial" w:cs="Arial"/>
        </w:rPr>
        <w:t xml:space="preserve">UNTS 660 </w:t>
      </w:r>
    </w:p>
    <w:p w14:paraId="5E2EFA31" w14:textId="77777777" w:rsidR="00014493" w:rsidRPr="0003125A" w:rsidRDefault="00014493" w:rsidP="00014493">
      <w:pPr>
        <w:pStyle w:val="FootnoteText"/>
        <w:rPr>
          <w:rFonts w:ascii="Arial" w:hAnsi="Arial" w:cs="Arial"/>
        </w:rPr>
      </w:pPr>
    </w:p>
    <w:p w14:paraId="4B41103A" w14:textId="77777777" w:rsidR="00014493" w:rsidRPr="0003125A" w:rsidRDefault="00014493" w:rsidP="00014493">
      <w:pPr>
        <w:pStyle w:val="FootnoteText"/>
        <w:rPr>
          <w:rFonts w:ascii="Arial" w:hAnsi="Arial" w:cs="Arial"/>
          <w:lang w:val="en-US"/>
        </w:rPr>
      </w:pPr>
      <w:r w:rsidRPr="0003125A">
        <w:rPr>
          <w:rFonts w:ascii="Arial" w:hAnsi="Arial" w:cs="Arial"/>
        </w:rPr>
        <w:t xml:space="preserve">The </w:t>
      </w:r>
      <w:r w:rsidRPr="0003125A">
        <w:rPr>
          <w:rFonts w:ascii="Arial" w:hAnsi="Arial" w:cs="Arial"/>
          <w:lang w:val="en-US"/>
        </w:rPr>
        <w:t>Vienna Convention on the Law of Treaties, 1155 UNTS 331, 23 May 1969; (1969) 8 ILM 679</w:t>
      </w:r>
    </w:p>
    <w:p w14:paraId="1A186687" w14:textId="77777777" w:rsidR="00014493" w:rsidRPr="0003125A" w:rsidRDefault="00014493" w:rsidP="00014493">
      <w:pPr>
        <w:pStyle w:val="FootnoteText"/>
        <w:rPr>
          <w:rFonts w:ascii="Arial" w:hAnsi="Arial" w:cs="Arial"/>
          <w:b/>
        </w:rPr>
      </w:pPr>
    </w:p>
    <w:p w14:paraId="3521FA46" w14:textId="77777777" w:rsidR="00014493" w:rsidRPr="0003125A" w:rsidRDefault="00014493" w:rsidP="00014493">
      <w:pPr>
        <w:pStyle w:val="FootnoteText"/>
        <w:rPr>
          <w:rFonts w:ascii="Arial" w:hAnsi="Arial" w:cs="Arial"/>
        </w:rPr>
      </w:pPr>
      <w:r w:rsidRPr="0003125A">
        <w:rPr>
          <w:rFonts w:ascii="Arial" w:hAnsi="Arial" w:cs="Arial"/>
        </w:rPr>
        <w:t>Vienna Convention on the Law of Treaties between States and International Organizations or Between International Organizations 25 ILM 543 (1986)</w:t>
      </w:r>
    </w:p>
    <w:p w14:paraId="738B0FDD" w14:textId="77777777" w:rsidR="00014493" w:rsidRPr="0003125A" w:rsidRDefault="00014493" w:rsidP="00014493">
      <w:pPr>
        <w:pStyle w:val="FootnoteText"/>
        <w:rPr>
          <w:rFonts w:ascii="Arial" w:hAnsi="Arial" w:cs="Arial"/>
        </w:rPr>
      </w:pPr>
    </w:p>
    <w:p w14:paraId="38EC9995" w14:textId="77777777" w:rsidR="00014493" w:rsidRPr="0003125A" w:rsidRDefault="00014493" w:rsidP="00014493">
      <w:pPr>
        <w:pStyle w:val="FootnoteText"/>
        <w:rPr>
          <w:rFonts w:ascii="Arial" w:hAnsi="Arial" w:cs="Arial"/>
        </w:rPr>
      </w:pPr>
      <w:r w:rsidRPr="0003125A">
        <w:rPr>
          <w:rFonts w:ascii="Arial" w:hAnsi="Arial" w:cs="Arial"/>
        </w:rPr>
        <w:t>Vienna Convention on Succession of States in Respect of Treaties 1946 UNTS 3; 17 ILM 1488 (1978); 72 AJIL 971 (1978)</w:t>
      </w:r>
    </w:p>
    <w:p w14:paraId="67CCAC30" w14:textId="77777777" w:rsidR="00014493" w:rsidRPr="0003125A" w:rsidRDefault="00014493" w:rsidP="00014493">
      <w:pPr>
        <w:pStyle w:val="FootnoteText"/>
        <w:rPr>
          <w:rFonts w:ascii="Arial" w:hAnsi="Arial" w:cs="Arial"/>
          <w:b/>
        </w:rPr>
      </w:pPr>
    </w:p>
    <w:p w14:paraId="31F69D15" w14:textId="77777777" w:rsidR="00014493" w:rsidRPr="0003125A" w:rsidRDefault="00014493" w:rsidP="00014493">
      <w:pPr>
        <w:pStyle w:val="FootnoteText"/>
        <w:rPr>
          <w:rFonts w:ascii="Arial" w:hAnsi="Arial" w:cs="Arial"/>
          <w:b/>
        </w:rPr>
      </w:pPr>
      <w:r w:rsidRPr="0003125A">
        <w:rPr>
          <w:rFonts w:ascii="Arial" w:hAnsi="Arial" w:cs="Arial"/>
          <w:b/>
        </w:rPr>
        <w:t>Communications</w:t>
      </w:r>
    </w:p>
    <w:p w14:paraId="5CF4FAD4" w14:textId="77777777" w:rsidR="00014493" w:rsidRPr="0003125A" w:rsidRDefault="00014493" w:rsidP="00014493">
      <w:pPr>
        <w:pStyle w:val="FootnoteText"/>
        <w:rPr>
          <w:rFonts w:ascii="Arial" w:hAnsi="Arial" w:cs="Arial"/>
          <w:b/>
        </w:rPr>
      </w:pPr>
    </w:p>
    <w:p w14:paraId="3D478CCE" w14:textId="77777777" w:rsidR="00014493" w:rsidRPr="0003125A" w:rsidRDefault="00014493" w:rsidP="00014493">
      <w:pPr>
        <w:pStyle w:val="FootnoteText"/>
        <w:rPr>
          <w:rFonts w:ascii="Arial" w:hAnsi="Arial" w:cs="Arial"/>
          <w:lang w:val="en-US"/>
        </w:rPr>
      </w:pPr>
      <w:r w:rsidRPr="0003125A">
        <w:rPr>
          <w:rFonts w:ascii="Arial" w:hAnsi="Arial" w:cs="Arial"/>
          <w:lang w:val="en-US"/>
        </w:rPr>
        <w:t>Recommendation No. R (99) 13 of the Committee of Ministers to member states on responses to inadmissible reservations to international treaties, adopted on 18 May 1999</w:t>
      </w:r>
    </w:p>
    <w:p w14:paraId="7CF182FD" w14:textId="77777777" w:rsidR="00014493" w:rsidRPr="0003125A" w:rsidRDefault="00014493" w:rsidP="00014493">
      <w:pPr>
        <w:pStyle w:val="FootnoteText"/>
        <w:rPr>
          <w:rFonts w:ascii="Arial" w:hAnsi="Arial" w:cs="Arial"/>
          <w:lang w:val="en-US"/>
        </w:rPr>
      </w:pPr>
    </w:p>
    <w:p w14:paraId="583B210A" w14:textId="77777777" w:rsidR="00014493" w:rsidRPr="0003125A" w:rsidRDefault="00014493" w:rsidP="00014493">
      <w:pPr>
        <w:pStyle w:val="FootnoteText"/>
        <w:rPr>
          <w:rFonts w:ascii="Arial" w:hAnsi="Arial" w:cs="Arial"/>
          <w:b/>
          <w:u w:val="single"/>
          <w:lang w:val="en-US"/>
        </w:rPr>
      </w:pPr>
      <w:r w:rsidRPr="0003125A">
        <w:rPr>
          <w:rFonts w:ascii="Arial" w:hAnsi="Arial" w:cs="Arial"/>
          <w:b/>
          <w:u w:val="single"/>
          <w:lang w:val="en-US"/>
        </w:rPr>
        <w:t>Secondary sources</w:t>
      </w:r>
    </w:p>
    <w:p w14:paraId="6F6F63A8" w14:textId="77777777" w:rsidR="00014493" w:rsidRPr="0003125A" w:rsidRDefault="00014493" w:rsidP="00014493">
      <w:pPr>
        <w:pStyle w:val="FootnoteText"/>
        <w:rPr>
          <w:rFonts w:ascii="Arial" w:hAnsi="Arial" w:cs="Arial"/>
          <w:b/>
          <w:u w:val="single"/>
          <w:lang w:val="en-US"/>
        </w:rPr>
      </w:pPr>
    </w:p>
    <w:p w14:paraId="1F4F1ADF" w14:textId="77777777" w:rsidR="00014493" w:rsidRPr="0003125A" w:rsidRDefault="00014493" w:rsidP="00014493">
      <w:pPr>
        <w:pStyle w:val="FootnoteText"/>
        <w:rPr>
          <w:rFonts w:ascii="Arial" w:hAnsi="Arial" w:cs="Arial"/>
          <w:b/>
          <w:lang w:val="en-US"/>
        </w:rPr>
      </w:pPr>
      <w:r w:rsidRPr="0003125A">
        <w:rPr>
          <w:rFonts w:ascii="Arial" w:hAnsi="Arial" w:cs="Arial"/>
          <w:b/>
          <w:lang w:val="en-US"/>
        </w:rPr>
        <w:t>Books</w:t>
      </w:r>
    </w:p>
    <w:p w14:paraId="38C693C9" w14:textId="77777777" w:rsidR="00014493" w:rsidRPr="0003125A" w:rsidRDefault="00014493" w:rsidP="00014493">
      <w:pPr>
        <w:pStyle w:val="FootnoteText"/>
        <w:rPr>
          <w:rFonts w:ascii="Arial" w:hAnsi="Arial" w:cs="Arial"/>
          <w:b/>
          <w:lang w:val="en-US"/>
        </w:rPr>
      </w:pPr>
    </w:p>
    <w:p w14:paraId="35205765"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Bjorge E, ‘The Evolutionary Interpretation of Treaties’ (Oxford University Press 2014) </w:t>
      </w:r>
    </w:p>
    <w:p w14:paraId="34C57B35"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Cassese A, </w:t>
      </w:r>
      <w:r w:rsidRPr="0003125A">
        <w:rPr>
          <w:rFonts w:ascii="Arial" w:hAnsi="Arial" w:cs="Arial"/>
          <w:i/>
          <w:sz w:val="24"/>
          <w:szCs w:val="24"/>
        </w:rPr>
        <w:t xml:space="preserve">International Law </w:t>
      </w:r>
      <w:r w:rsidRPr="0003125A">
        <w:rPr>
          <w:rFonts w:ascii="Arial" w:hAnsi="Arial" w:cs="Arial"/>
          <w:sz w:val="24"/>
          <w:szCs w:val="24"/>
        </w:rPr>
        <w:t>(2</w:t>
      </w:r>
      <w:r w:rsidRPr="0003125A">
        <w:rPr>
          <w:rFonts w:ascii="Arial" w:hAnsi="Arial" w:cs="Arial"/>
          <w:sz w:val="24"/>
          <w:szCs w:val="24"/>
          <w:vertAlign w:val="superscript"/>
        </w:rPr>
        <w:t>nd</w:t>
      </w:r>
      <w:r w:rsidRPr="0003125A">
        <w:rPr>
          <w:rFonts w:ascii="Arial" w:hAnsi="Arial" w:cs="Arial"/>
          <w:sz w:val="24"/>
          <w:szCs w:val="24"/>
        </w:rPr>
        <w:t xml:space="preserve"> edn, Oxford University Press 2005)</w:t>
      </w:r>
    </w:p>
    <w:p w14:paraId="17147EF7"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Chinkin C et al (Gardner J ed.), </w:t>
      </w:r>
      <w:r w:rsidRPr="0003125A">
        <w:rPr>
          <w:rFonts w:ascii="Arial" w:hAnsi="Arial" w:cs="Arial"/>
          <w:i/>
          <w:iCs/>
          <w:sz w:val="24"/>
          <w:szCs w:val="24"/>
        </w:rPr>
        <w:t xml:space="preserve">Human Rights as General Norms and a State’s Right to Opt Out </w:t>
      </w:r>
      <w:r w:rsidRPr="0003125A">
        <w:rPr>
          <w:rFonts w:ascii="Arial" w:hAnsi="Arial" w:cs="Arial"/>
          <w:sz w:val="24"/>
          <w:szCs w:val="24"/>
        </w:rPr>
        <w:t>(London: British Institute of International and Comparative Law 1997)</w:t>
      </w:r>
    </w:p>
    <w:p w14:paraId="085793FD" w14:textId="77777777" w:rsidR="00014493" w:rsidRPr="0003125A" w:rsidRDefault="00014493" w:rsidP="00014493">
      <w:pPr>
        <w:pStyle w:val="FootnoteText"/>
        <w:rPr>
          <w:rFonts w:ascii="Arial" w:hAnsi="Arial" w:cs="Arial"/>
        </w:rPr>
      </w:pPr>
      <w:r w:rsidRPr="0003125A">
        <w:rPr>
          <w:rFonts w:ascii="Arial" w:hAnsi="Arial" w:cs="Arial"/>
        </w:rPr>
        <w:t xml:space="preserve">Crawford J, </w:t>
      </w:r>
      <w:r w:rsidRPr="0003125A">
        <w:rPr>
          <w:rFonts w:ascii="Arial" w:hAnsi="Arial" w:cs="Arial"/>
          <w:i/>
        </w:rPr>
        <w:t xml:space="preserve">Brownlie’s Principles of Public International Law </w:t>
      </w:r>
      <w:r w:rsidRPr="0003125A">
        <w:rPr>
          <w:rFonts w:ascii="Arial" w:hAnsi="Arial" w:cs="Arial"/>
        </w:rPr>
        <w:t>(8</w:t>
      </w:r>
      <w:r w:rsidRPr="0003125A">
        <w:rPr>
          <w:rFonts w:ascii="Arial" w:hAnsi="Arial" w:cs="Arial"/>
          <w:vertAlign w:val="superscript"/>
        </w:rPr>
        <w:t>th</w:t>
      </w:r>
      <w:r w:rsidRPr="0003125A">
        <w:rPr>
          <w:rFonts w:ascii="Arial" w:hAnsi="Arial" w:cs="Arial"/>
        </w:rPr>
        <w:t xml:space="preserve"> edn, Oxford University Press 2012)</w:t>
      </w:r>
    </w:p>
    <w:p w14:paraId="22D5049D" w14:textId="77777777" w:rsidR="00014493" w:rsidRPr="0003125A" w:rsidRDefault="00014493" w:rsidP="00014493">
      <w:pPr>
        <w:pStyle w:val="FootnoteText"/>
        <w:rPr>
          <w:rFonts w:ascii="Arial" w:hAnsi="Arial" w:cs="Arial"/>
        </w:rPr>
      </w:pPr>
    </w:p>
    <w:p w14:paraId="611EBB3F" w14:textId="77777777" w:rsidR="00014493" w:rsidRPr="0003125A" w:rsidRDefault="00014493" w:rsidP="00014493">
      <w:pPr>
        <w:pStyle w:val="FootnoteText"/>
        <w:rPr>
          <w:rFonts w:ascii="Arial" w:hAnsi="Arial" w:cs="Arial"/>
        </w:rPr>
      </w:pPr>
      <w:r w:rsidRPr="0003125A">
        <w:rPr>
          <w:rFonts w:ascii="Arial" w:hAnsi="Arial" w:cs="Arial"/>
        </w:rPr>
        <w:t xml:space="preserve">Dixon M, </w:t>
      </w:r>
      <w:r w:rsidRPr="0003125A">
        <w:rPr>
          <w:rFonts w:ascii="Arial" w:hAnsi="Arial" w:cs="Arial"/>
          <w:i/>
        </w:rPr>
        <w:t xml:space="preserve">Textbook on International Law </w:t>
      </w:r>
      <w:r w:rsidRPr="0003125A">
        <w:rPr>
          <w:rFonts w:ascii="Arial" w:hAnsi="Arial" w:cs="Arial"/>
        </w:rPr>
        <w:t>(7</w:t>
      </w:r>
      <w:r w:rsidRPr="0003125A">
        <w:rPr>
          <w:rFonts w:ascii="Arial" w:hAnsi="Arial" w:cs="Arial"/>
          <w:vertAlign w:val="superscript"/>
        </w:rPr>
        <w:t>th</w:t>
      </w:r>
      <w:r w:rsidRPr="0003125A">
        <w:rPr>
          <w:rFonts w:ascii="Arial" w:hAnsi="Arial" w:cs="Arial"/>
        </w:rPr>
        <w:t xml:space="preserve"> edn, Oxford University Press 2013)</w:t>
      </w:r>
    </w:p>
    <w:p w14:paraId="73025346" w14:textId="77777777" w:rsidR="00014493" w:rsidRPr="0003125A" w:rsidRDefault="00014493" w:rsidP="00014493">
      <w:pPr>
        <w:pStyle w:val="FootnoteText"/>
        <w:rPr>
          <w:rFonts w:ascii="Arial" w:hAnsi="Arial" w:cs="Arial"/>
        </w:rPr>
      </w:pPr>
    </w:p>
    <w:p w14:paraId="3B419A25" w14:textId="77777777" w:rsidR="00014493" w:rsidRPr="0003125A" w:rsidRDefault="00014493" w:rsidP="00014493">
      <w:pPr>
        <w:pStyle w:val="FootnoteText"/>
        <w:rPr>
          <w:rFonts w:ascii="Arial" w:hAnsi="Arial" w:cs="Arial"/>
          <w:lang w:val="en-US"/>
        </w:rPr>
      </w:pPr>
      <w:r w:rsidRPr="0003125A">
        <w:rPr>
          <w:rFonts w:ascii="Arial" w:hAnsi="Arial" w:cs="Arial"/>
        </w:rPr>
        <w:t xml:space="preserve">Gardiner R K, </w:t>
      </w:r>
      <w:r w:rsidRPr="0003125A">
        <w:rPr>
          <w:rFonts w:ascii="Arial" w:hAnsi="Arial" w:cs="Arial"/>
          <w:i/>
        </w:rPr>
        <w:t xml:space="preserve">Treaty Interpretation </w:t>
      </w:r>
      <w:r w:rsidRPr="0003125A">
        <w:rPr>
          <w:rFonts w:ascii="Arial" w:hAnsi="Arial" w:cs="Arial"/>
        </w:rPr>
        <w:t>(Oxford University Press 2008)</w:t>
      </w:r>
      <w:r w:rsidRPr="0003125A">
        <w:rPr>
          <w:rFonts w:ascii="Arial" w:hAnsi="Arial" w:cs="Arial"/>
          <w:lang w:val="en-US"/>
        </w:rPr>
        <w:t xml:space="preserve"> </w:t>
      </w:r>
    </w:p>
    <w:p w14:paraId="5EC33EB4" w14:textId="77777777" w:rsidR="00014493" w:rsidRPr="0003125A" w:rsidRDefault="00014493" w:rsidP="00014493">
      <w:pPr>
        <w:pStyle w:val="FootnoteText"/>
        <w:rPr>
          <w:rFonts w:ascii="Arial" w:hAnsi="Arial" w:cs="Arial"/>
          <w:lang w:val="en-US"/>
        </w:rPr>
      </w:pPr>
    </w:p>
    <w:p w14:paraId="03496140"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Imbert P-H, </w:t>
      </w:r>
      <w:r w:rsidRPr="0003125A">
        <w:rPr>
          <w:rFonts w:ascii="Arial" w:hAnsi="Arial" w:cs="Arial"/>
          <w:i/>
          <w:iCs/>
          <w:sz w:val="24"/>
          <w:szCs w:val="24"/>
          <w:lang w:val="en-US"/>
        </w:rPr>
        <w:t>Les r</w:t>
      </w:r>
      <w:r w:rsidRPr="0003125A">
        <w:rPr>
          <w:rFonts w:ascii="Arial" w:hAnsi="Arial" w:cs="Arial"/>
          <w:i/>
          <w:color w:val="000000"/>
          <w:sz w:val="24"/>
          <w:szCs w:val="24"/>
        </w:rPr>
        <w:t>é</w:t>
      </w:r>
      <w:r w:rsidRPr="0003125A">
        <w:rPr>
          <w:rFonts w:ascii="Arial" w:hAnsi="Arial" w:cs="Arial"/>
          <w:i/>
          <w:iCs/>
          <w:sz w:val="24"/>
          <w:szCs w:val="24"/>
          <w:lang w:val="en-US"/>
        </w:rPr>
        <w:t>serves aux trait</w:t>
      </w:r>
      <w:r w:rsidRPr="0003125A">
        <w:rPr>
          <w:rFonts w:ascii="Arial" w:hAnsi="Arial" w:cs="Arial"/>
          <w:i/>
          <w:color w:val="000000"/>
          <w:sz w:val="24"/>
          <w:szCs w:val="24"/>
        </w:rPr>
        <w:t>é</w:t>
      </w:r>
      <w:r w:rsidRPr="0003125A">
        <w:rPr>
          <w:rFonts w:ascii="Arial" w:hAnsi="Arial" w:cs="Arial"/>
          <w:i/>
          <w:iCs/>
          <w:sz w:val="24"/>
          <w:szCs w:val="24"/>
          <w:lang w:val="en-US"/>
        </w:rPr>
        <w:t xml:space="preserve">s multilateraux </w:t>
      </w:r>
      <w:r w:rsidRPr="0003125A">
        <w:rPr>
          <w:rFonts w:ascii="Arial" w:hAnsi="Arial" w:cs="Arial"/>
          <w:sz w:val="24"/>
          <w:szCs w:val="24"/>
          <w:lang w:val="en-US"/>
        </w:rPr>
        <w:t>(Paris: Pedone 1979)</w:t>
      </w:r>
    </w:p>
    <w:p w14:paraId="31249045"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Kühner R, </w:t>
      </w:r>
      <w:r w:rsidRPr="0003125A">
        <w:rPr>
          <w:rFonts w:ascii="Arial" w:hAnsi="Arial" w:cs="Arial"/>
          <w:i/>
          <w:iCs/>
          <w:lang w:val="en-US"/>
        </w:rPr>
        <w:t xml:space="preserve">Vorbehalte zu multilateralen völkerrechtlichen Verträge </w:t>
      </w:r>
      <w:r w:rsidRPr="0003125A">
        <w:rPr>
          <w:rFonts w:ascii="Arial" w:hAnsi="Arial" w:cs="Arial"/>
          <w:lang w:val="en-US"/>
        </w:rPr>
        <w:t>(Berlin: Springer 1986)</w:t>
      </w:r>
    </w:p>
    <w:p w14:paraId="62BF6D80" w14:textId="77777777" w:rsidR="00014493" w:rsidRPr="0003125A" w:rsidRDefault="00014493" w:rsidP="00014493">
      <w:pPr>
        <w:pStyle w:val="FootnoteText"/>
        <w:rPr>
          <w:rFonts w:ascii="Arial" w:hAnsi="Arial" w:cs="Arial"/>
          <w:lang w:val="en-US"/>
        </w:rPr>
      </w:pPr>
    </w:p>
    <w:p w14:paraId="64D8AE73"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Lijnzaad L, </w:t>
      </w:r>
      <w:r w:rsidRPr="0003125A">
        <w:rPr>
          <w:rFonts w:ascii="Arial" w:hAnsi="Arial" w:cs="Arial"/>
          <w:i/>
          <w:iCs/>
          <w:lang w:val="en-US"/>
        </w:rPr>
        <w:t xml:space="preserve">Reservations to UN Human Rights Treaties: Ratify and Ruin? </w:t>
      </w:r>
      <w:r w:rsidRPr="0003125A">
        <w:rPr>
          <w:rFonts w:ascii="Arial" w:hAnsi="Arial" w:cs="Arial"/>
          <w:lang w:val="en-US"/>
        </w:rPr>
        <w:t>(Martinus Nijhoff, Dordrecht, 1994)</w:t>
      </w:r>
    </w:p>
    <w:p w14:paraId="67A961A5" w14:textId="77777777" w:rsidR="00014493" w:rsidRPr="0003125A" w:rsidRDefault="00014493" w:rsidP="00014493">
      <w:pPr>
        <w:pStyle w:val="FootnoteText"/>
        <w:rPr>
          <w:rFonts w:ascii="Arial" w:hAnsi="Arial" w:cs="Arial"/>
          <w:lang w:val="en-US"/>
        </w:rPr>
      </w:pPr>
    </w:p>
    <w:p w14:paraId="6813D80C"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Lowe V, </w:t>
      </w:r>
      <w:r w:rsidRPr="0003125A">
        <w:rPr>
          <w:rFonts w:ascii="Arial" w:hAnsi="Arial" w:cs="Arial"/>
          <w:i/>
          <w:sz w:val="24"/>
          <w:szCs w:val="24"/>
        </w:rPr>
        <w:t xml:space="preserve">International Law </w:t>
      </w:r>
      <w:r w:rsidRPr="0003125A">
        <w:rPr>
          <w:rFonts w:ascii="Arial" w:hAnsi="Arial" w:cs="Arial"/>
          <w:sz w:val="24"/>
          <w:szCs w:val="24"/>
        </w:rPr>
        <w:t>(Oxford University Press 2007)</w:t>
      </w:r>
    </w:p>
    <w:p w14:paraId="5C542DC8" w14:textId="77777777" w:rsidR="00014493" w:rsidRPr="0003125A" w:rsidRDefault="00014493" w:rsidP="00014493">
      <w:pPr>
        <w:pStyle w:val="FootnoteText"/>
        <w:rPr>
          <w:rFonts w:ascii="Arial" w:hAnsi="Arial" w:cs="Arial"/>
        </w:rPr>
      </w:pPr>
      <w:r w:rsidRPr="0003125A">
        <w:rPr>
          <w:rFonts w:ascii="Arial" w:hAnsi="Arial" w:cs="Arial"/>
        </w:rPr>
        <w:t xml:space="preserve">Newman FC and Weissbrodt D, </w:t>
      </w:r>
      <w:r w:rsidRPr="0003125A">
        <w:rPr>
          <w:rFonts w:ascii="Arial" w:hAnsi="Arial" w:cs="Arial"/>
          <w:i/>
        </w:rPr>
        <w:t xml:space="preserve">International Human Rights </w:t>
      </w:r>
      <w:r w:rsidRPr="0003125A">
        <w:rPr>
          <w:rFonts w:ascii="Arial" w:hAnsi="Arial" w:cs="Arial"/>
        </w:rPr>
        <w:t>(Cincinnati: Anderson 1990)</w:t>
      </w:r>
    </w:p>
    <w:p w14:paraId="246D414D" w14:textId="77777777" w:rsidR="00014493" w:rsidRPr="0003125A" w:rsidRDefault="00014493" w:rsidP="00014493">
      <w:pPr>
        <w:pStyle w:val="FootnoteText"/>
        <w:rPr>
          <w:rFonts w:ascii="Arial" w:hAnsi="Arial" w:cs="Arial"/>
        </w:rPr>
      </w:pPr>
    </w:p>
    <w:p w14:paraId="0E6EF32E"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Reuter P, </w:t>
      </w:r>
      <w:r w:rsidRPr="0003125A">
        <w:rPr>
          <w:rFonts w:ascii="Arial" w:hAnsi="Arial" w:cs="Arial"/>
          <w:i/>
          <w:sz w:val="24"/>
          <w:szCs w:val="24"/>
        </w:rPr>
        <w:t>Introduction au droit des trait</w:t>
      </w:r>
      <w:r w:rsidRPr="0003125A">
        <w:rPr>
          <w:rFonts w:ascii="Arial" w:hAnsi="Arial" w:cs="Arial"/>
          <w:i/>
          <w:color w:val="000000"/>
          <w:sz w:val="24"/>
          <w:szCs w:val="24"/>
        </w:rPr>
        <w:t>é</w:t>
      </w:r>
      <w:r w:rsidRPr="0003125A">
        <w:rPr>
          <w:rFonts w:ascii="Arial" w:hAnsi="Arial" w:cs="Arial"/>
          <w:i/>
          <w:sz w:val="24"/>
          <w:szCs w:val="24"/>
        </w:rPr>
        <w:t>s,</w:t>
      </w:r>
      <w:r w:rsidRPr="0003125A">
        <w:rPr>
          <w:rFonts w:ascii="Arial" w:hAnsi="Arial" w:cs="Arial"/>
          <w:sz w:val="24"/>
          <w:szCs w:val="24"/>
        </w:rPr>
        <w:t xml:space="preserve"> 89 (Paris: Armand Collin 1972)</w:t>
      </w:r>
    </w:p>
    <w:p w14:paraId="5173D4C5"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Rosenne S, </w:t>
      </w:r>
      <w:r w:rsidRPr="0003125A">
        <w:rPr>
          <w:rFonts w:ascii="Arial" w:hAnsi="Arial" w:cs="Arial"/>
          <w:i/>
          <w:lang w:val="en-US"/>
        </w:rPr>
        <w:t>Developments in the Law of Treaties 1945–1986</w:t>
      </w:r>
      <w:r w:rsidRPr="0003125A">
        <w:rPr>
          <w:rFonts w:ascii="Arial" w:hAnsi="Arial" w:cs="Arial"/>
          <w:lang w:val="en-US"/>
        </w:rPr>
        <w:t xml:space="preserve"> (Cambridge: Cambridge University Press 1989)</w:t>
      </w:r>
    </w:p>
    <w:p w14:paraId="63B67815" w14:textId="77777777" w:rsidR="00014493" w:rsidRPr="0003125A" w:rsidRDefault="00014493" w:rsidP="00014493">
      <w:pPr>
        <w:pStyle w:val="FootnoteText"/>
        <w:rPr>
          <w:rFonts w:ascii="Arial" w:hAnsi="Arial" w:cs="Arial"/>
          <w:lang w:val="en-US"/>
        </w:rPr>
      </w:pPr>
    </w:p>
    <w:p w14:paraId="6A29BAC2"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Rosenne S, </w:t>
      </w:r>
      <w:r w:rsidRPr="0003125A">
        <w:rPr>
          <w:rFonts w:ascii="Arial" w:hAnsi="Arial" w:cs="Arial"/>
          <w:i/>
          <w:iCs/>
          <w:lang w:val="en-US"/>
        </w:rPr>
        <w:t>The Law and Practice of the International Court, 1920–1996</w:t>
      </w:r>
      <w:r w:rsidRPr="0003125A">
        <w:rPr>
          <w:rFonts w:ascii="Arial" w:hAnsi="Arial" w:cs="Arial"/>
          <w:lang w:val="en-US"/>
        </w:rPr>
        <w:t>, vol. 1: The Court and the United Nations (The Hague: Martinus Nijhoff, 3rd edn. 1997)</w:t>
      </w:r>
    </w:p>
    <w:p w14:paraId="5DEE8B5A" w14:textId="77777777" w:rsidR="00014493" w:rsidRPr="0003125A" w:rsidRDefault="00014493" w:rsidP="00014493">
      <w:pPr>
        <w:pStyle w:val="FootnoteText"/>
        <w:rPr>
          <w:rFonts w:ascii="Arial" w:hAnsi="Arial" w:cs="Arial"/>
          <w:lang w:val="en-US"/>
        </w:rPr>
      </w:pPr>
    </w:p>
    <w:p w14:paraId="2364E499" w14:textId="77777777" w:rsidR="00014493" w:rsidRPr="0003125A" w:rsidRDefault="00014493" w:rsidP="00014493">
      <w:pPr>
        <w:rPr>
          <w:rFonts w:ascii="Arial" w:hAnsi="Arial" w:cs="Arial"/>
          <w:sz w:val="24"/>
          <w:szCs w:val="24"/>
        </w:rPr>
      </w:pPr>
      <w:r w:rsidRPr="0003125A">
        <w:rPr>
          <w:rFonts w:ascii="Arial" w:hAnsi="Arial" w:cs="Arial"/>
          <w:sz w:val="24"/>
          <w:szCs w:val="24"/>
          <w:lang w:val="en-US"/>
        </w:rPr>
        <w:t xml:space="preserve">Sinclair I, </w:t>
      </w:r>
      <w:r w:rsidRPr="0003125A">
        <w:rPr>
          <w:rFonts w:ascii="Arial" w:hAnsi="Arial" w:cs="Arial"/>
          <w:i/>
          <w:sz w:val="24"/>
          <w:szCs w:val="24"/>
          <w:lang w:val="en-US"/>
        </w:rPr>
        <w:t>The Vienna Convention on the Law of Treaties</w:t>
      </w:r>
      <w:r w:rsidRPr="0003125A">
        <w:rPr>
          <w:rFonts w:ascii="Arial" w:hAnsi="Arial" w:cs="Arial"/>
          <w:sz w:val="24"/>
          <w:szCs w:val="24"/>
          <w:lang w:val="en-US"/>
        </w:rPr>
        <w:t xml:space="preserve"> (2nd edn, Manchester: Manchester University Press 1984)</w:t>
      </w:r>
    </w:p>
    <w:p w14:paraId="70A28072" w14:textId="77777777" w:rsidR="00014493" w:rsidRPr="0003125A" w:rsidRDefault="00014493" w:rsidP="00014493">
      <w:pPr>
        <w:pStyle w:val="FootnoteText"/>
        <w:rPr>
          <w:rFonts w:ascii="Arial" w:hAnsi="Arial" w:cs="Arial"/>
        </w:rPr>
      </w:pPr>
      <w:r w:rsidRPr="0003125A">
        <w:rPr>
          <w:rFonts w:ascii="Arial" w:hAnsi="Arial" w:cs="Arial"/>
        </w:rPr>
        <w:t xml:space="preserve">Thirlway H, </w:t>
      </w:r>
      <w:r w:rsidRPr="0003125A">
        <w:rPr>
          <w:rFonts w:ascii="Arial" w:hAnsi="Arial" w:cs="Arial"/>
          <w:i/>
        </w:rPr>
        <w:t xml:space="preserve">The Sources of International Law </w:t>
      </w:r>
      <w:r w:rsidRPr="0003125A">
        <w:rPr>
          <w:rFonts w:ascii="Arial" w:hAnsi="Arial" w:cs="Arial"/>
        </w:rPr>
        <w:t>(Oxford University Press 2014)</w:t>
      </w:r>
    </w:p>
    <w:p w14:paraId="25267E77" w14:textId="77777777" w:rsidR="00014493" w:rsidRPr="0003125A" w:rsidRDefault="00014493" w:rsidP="00014493">
      <w:pPr>
        <w:pStyle w:val="FootnoteText"/>
        <w:rPr>
          <w:rFonts w:ascii="Arial" w:hAnsi="Arial" w:cs="Arial"/>
          <w:lang w:val="en-US"/>
        </w:rPr>
      </w:pPr>
    </w:p>
    <w:p w14:paraId="50CE682E" w14:textId="77777777" w:rsidR="00014493" w:rsidRPr="0003125A" w:rsidRDefault="00014493" w:rsidP="00014493">
      <w:pPr>
        <w:pStyle w:val="FootnoteText"/>
        <w:rPr>
          <w:rFonts w:ascii="Arial" w:hAnsi="Arial" w:cs="Arial"/>
        </w:rPr>
      </w:pPr>
      <w:r w:rsidRPr="0003125A">
        <w:rPr>
          <w:rFonts w:ascii="Arial" w:hAnsi="Arial" w:cs="Arial"/>
        </w:rPr>
        <w:t xml:space="preserve">Wallace R. M.M &amp; Martin-Ortega O, </w:t>
      </w:r>
      <w:r w:rsidRPr="0003125A">
        <w:rPr>
          <w:rFonts w:ascii="Arial" w:hAnsi="Arial" w:cs="Arial"/>
          <w:i/>
        </w:rPr>
        <w:t xml:space="preserve">International Law </w:t>
      </w:r>
      <w:r w:rsidRPr="0003125A">
        <w:rPr>
          <w:rFonts w:ascii="Arial" w:hAnsi="Arial" w:cs="Arial"/>
        </w:rPr>
        <w:t>(7</w:t>
      </w:r>
      <w:r w:rsidRPr="0003125A">
        <w:rPr>
          <w:rFonts w:ascii="Arial" w:hAnsi="Arial" w:cs="Arial"/>
          <w:vertAlign w:val="superscript"/>
        </w:rPr>
        <w:t>th</w:t>
      </w:r>
      <w:r w:rsidRPr="0003125A">
        <w:rPr>
          <w:rFonts w:ascii="Arial" w:hAnsi="Arial" w:cs="Arial"/>
        </w:rPr>
        <w:t xml:space="preserve"> edn, Sweet &amp; Maxwell 2013)</w:t>
      </w:r>
    </w:p>
    <w:p w14:paraId="197F9B75" w14:textId="77777777" w:rsidR="00014493" w:rsidRPr="0003125A" w:rsidRDefault="00014493" w:rsidP="00014493">
      <w:pPr>
        <w:pStyle w:val="FootnoteText"/>
        <w:rPr>
          <w:rFonts w:ascii="Arial" w:hAnsi="Arial" w:cs="Arial"/>
        </w:rPr>
      </w:pPr>
    </w:p>
    <w:p w14:paraId="4F7B9CD0"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Webb P, </w:t>
      </w:r>
      <w:r w:rsidRPr="0003125A">
        <w:rPr>
          <w:rFonts w:ascii="Arial" w:hAnsi="Arial" w:cs="Arial"/>
          <w:i/>
          <w:iCs/>
          <w:lang w:val="en-US"/>
        </w:rPr>
        <w:t xml:space="preserve">International Judicial Integration and Fragmentation </w:t>
      </w:r>
      <w:r w:rsidRPr="0003125A">
        <w:rPr>
          <w:rFonts w:ascii="Arial" w:hAnsi="Arial" w:cs="Arial"/>
          <w:lang w:val="en-US"/>
        </w:rPr>
        <w:t>(Oxford: Oxford University Press 2013)</w:t>
      </w:r>
    </w:p>
    <w:p w14:paraId="543BB213" w14:textId="77777777" w:rsidR="00014493" w:rsidRPr="0003125A" w:rsidRDefault="00014493" w:rsidP="00014493">
      <w:pPr>
        <w:pStyle w:val="FootnoteText"/>
        <w:rPr>
          <w:rFonts w:ascii="Arial" w:hAnsi="Arial" w:cs="Arial"/>
          <w:b/>
          <w:lang w:val="en-US"/>
        </w:rPr>
      </w:pPr>
    </w:p>
    <w:p w14:paraId="112B6CEE" w14:textId="77777777" w:rsidR="00014493" w:rsidRPr="0003125A" w:rsidRDefault="00014493" w:rsidP="00014493">
      <w:pPr>
        <w:pStyle w:val="FootnoteText"/>
        <w:rPr>
          <w:rFonts w:ascii="Arial" w:hAnsi="Arial" w:cs="Arial"/>
          <w:b/>
          <w:lang w:val="en-US"/>
        </w:rPr>
      </w:pPr>
      <w:r w:rsidRPr="0003125A">
        <w:rPr>
          <w:rFonts w:ascii="Arial" w:hAnsi="Arial" w:cs="Arial"/>
          <w:b/>
          <w:lang w:val="en-US"/>
        </w:rPr>
        <w:t>Chapters in a Book</w:t>
      </w:r>
    </w:p>
    <w:p w14:paraId="49FE9AC3" w14:textId="77777777" w:rsidR="00014493" w:rsidRPr="0003125A" w:rsidRDefault="00014493" w:rsidP="00014493">
      <w:pPr>
        <w:pStyle w:val="FootnoteText"/>
        <w:rPr>
          <w:rFonts w:ascii="Arial" w:hAnsi="Arial" w:cs="Arial"/>
          <w:b/>
          <w:lang w:val="en-US"/>
        </w:rPr>
      </w:pPr>
    </w:p>
    <w:p w14:paraId="4783FC70" w14:textId="77777777" w:rsidR="00014493" w:rsidRPr="0003125A" w:rsidRDefault="00014493" w:rsidP="00014493">
      <w:pPr>
        <w:pStyle w:val="FootnoteText"/>
        <w:rPr>
          <w:rFonts w:ascii="Arial" w:hAnsi="Arial" w:cs="Arial"/>
          <w:lang w:val="en-US"/>
        </w:rPr>
      </w:pPr>
      <w:r w:rsidRPr="0003125A">
        <w:rPr>
          <w:rFonts w:ascii="Arial" w:hAnsi="Arial" w:cs="Arial"/>
        </w:rPr>
        <w:t>Andenas M, ‘</w:t>
      </w:r>
      <w:r w:rsidRPr="0003125A">
        <w:rPr>
          <w:rFonts w:ascii="Arial" w:hAnsi="Arial" w:cs="Arial"/>
          <w:bCs/>
          <w:lang w:val="en-US"/>
        </w:rPr>
        <w:t xml:space="preserve">Reassertion and transformation of international law’ in </w:t>
      </w:r>
      <w:r w:rsidRPr="0003125A">
        <w:rPr>
          <w:rFonts w:ascii="Arial" w:hAnsi="Arial" w:cs="Arial"/>
          <w:lang w:val="en-US"/>
        </w:rPr>
        <w:t xml:space="preserve">Andenas M &amp; Bjorge E (eds.), </w:t>
      </w:r>
      <w:r w:rsidRPr="0003125A">
        <w:rPr>
          <w:rFonts w:ascii="Arial" w:hAnsi="Arial" w:cs="Arial"/>
          <w:i/>
          <w:lang w:val="en-US"/>
        </w:rPr>
        <w:t xml:space="preserve">A Farewell to Fragmentation: Reassertion and Convergence in International Law </w:t>
      </w:r>
      <w:r w:rsidRPr="0003125A">
        <w:rPr>
          <w:rFonts w:ascii="Arial" w:hAnsi="Arial" w:cs="Arial"/>
          <w:lang w:val="en-US"/>
        </w:rPr>
        <w:t>(Cambridge University Press 2015)</w:t>
      </w:r>
    </w:p>
    <w:p w14:paraId="2D78271C" w14:textId="77777777" w:rsidR="00014493" w:rsidRPr="0003125A" w:rsidRDefault="00014493" w:rsidP="00014493">
      <w:pPr>
        <w:pStyle w:val="FootnoteText"/>
        <w:rPr>
          <w:rFonts w:ascii="Arial" w:hAnsi="Arial" w:cs="Arial"/>
          <w:lang w:val="en-US"/>
        </w:rPr>
      </w:pPr>
    </w:p>
    <w:p w14:paraId="75812F84" w14:textId="77777777" w:rsidR="00014493" w:rsidRPr="0003125A" w:rsidRDefault="00014493" w:rsidP="00014493">
      <w:pPr>
        <w:pStyle w:val="FootnoteText"/>
        <w:rPr>
          <w:rFonts w:ascii="Arial" w:hAnsi="Arial" w:cs="Arial"/>
          <w:lang w:val="en-US"/>
        </w:rPr>
      </w:pPr>
      <w:r w:rsidRPr="0003125A">
        <w:rPr>
          <w:rFonts w:ascii="Arial" w:hAnsi="Arial" w:cs="Arial"/>
          <w:lang w:val="en-US"/>
        </w:rPr>
        <w:t>Andenas M, ‘The Centre Reasserting Itself: From Fragmentation to Transformation of International Law’ in Derl</w:t>
      </w:r>
      <w:r w:rsidRPr="0003125A">
        <w:rPr>
          <w:rFonts w:ascii="Arial" w:hAnsi="Arial" w:cs="Arial"/>
          <w:color w:val="000000"/>
        </w:rPr>
        <w:t>é</w:t>
      </w:r>
      <w:r w:rsidRPr="0003125A">
        <w:rPr>
          <w:rFonts w:ascii="Arial" w:hAnsi="Arial" w:cs="Arial"/>
          <w:lang w:val="en-US"/>
        </w:rPr>
        <w:t>n M and Lindholm J (eds.),</w:t>
      </w:r>
      <w:r w:rsidRPr="0003125A">
        <w:rPr>
          <w:rFonts w:ascii="Arial" w:hAnsi="Arial" w:cs="Arial"/>
          <w:i/>
          <w:iCs/>
          <w:lang w:val="en-US"/>
        </w:rPr>
        <w:t xml:space="preserve"> Volume in Honor of P</w:t>
      </w:r>
      <w:r w:rsidRPr="0003125A">
        <w:rPr>
          <w:rFonts w:ascii="Arial" w:hAnsi="Arial" w:cs="Arial"/>
          <w:i/>
          <w:color w:val="000000"/>
        </w:rPr>
        <w:t>ä</w:t>
      </w:r>
      <w:r w:rsidRPr="0003125A">
        <w:rPr>
          <w:rFonts w:ascii="Arial" w:hAnsi="Arial" w:cs="Arial"/>
          <w:i/>
          <w:iCs/>
          <w:lang w:val="en-US"/>
        </w:rPr>
        <w:t>r Hallstr</w:t>
      </w:r>
      <w:r w:rsidRPr="0003125A">
        <w:rPr>
          <w:rFonts w:ascii="Arial" w:hAnsi="Arial" w:cs="Arial"/>
          <w:i/>
          <w:color w:val="000000"/>
        </w:rPr>
        <w:t>ö</w:t>
      </w:r>
      <w:r w:rsidRPr="0003125A">
        <w:rPr>
          <w:rFonts w:ascii="Arial" w:hAnsi="Arial" w:cs="Arial"/>
          <w:i/>
          <w:iCs/>
          <w:lang w:val="en-US"/>
        </w:rPr>
        <w:t>m</w:t>
      </w:r>
      <w:r w:rsidRPr="0003125A">
        <w:rPr>
          <w:rFonts w:ascii="Arial" w:hAnsi="Arial" w:cs="Arial"/>
          <w:lang w:val="en-US"/>
        </w:rPr>
        <w:t xml:space="preserve"> (Uppsala: Iustus 2012)</w:t>
      </w:r>
    </w:p>
    <w:p w14:paraId="7808CCB1" w14:textId="77777777" w:rsidR="00014493" w:rsidRPr="0003125A" w:rsidRDefault="00014493" w:rsidP="00014493">
      <w:pPr>
        <w:pStyle w:val="FootnoteText"/>
        <w:rPr>
          <w:rFonts w:ascii="Arial" w:hAnsi="Arial" w:cs="Arial"/>
          <w:lang w:val="en-US"/>
        </w:rPr>
      </w:pPr>
    </w:p>
    <w:p w14:paraId="04A19851" w14:textId="77777777" w:rsidR="00014493" w:rsidRPr="0003125A" w:rsidRDefault="00014493" w:rsidP="00014493">
      <w:pPr>
        <w:pStyle w:val="FootnoteText"/>
        <w:rPr>
          <w:rFonts w:ascii="Arial" w:hAnsi="Arial" w:cs="Arial"/>
          <w:lang w:val="en-US"/>
        </w:rPr>
      </w:pPr>
      <w:r w:rsidRPr="0003125A">
        <w:rPr>
          <w:rFonts w:ascii="Arial" w:hAnsi="Arial" w:cs="Arial"/>
        </w:rPr>
        <w:t>Andenas M &amp; Bjorge E, ‘</w:t>
      </w:r>
      <w:r w:rsidRPr="0003125A">
        <w:rPr>
          <w:rFonts w:ascii="Arial" w:hAnsi="Arial" w:cs="Arial"/>
          <w:lang w:val="en-US"/>
        </w:rPr>
        <w:t xml:space="preserve">Introduction: from fragmentation to convergence in international law’ in Andenas M &amp; Bjorge E (eds.), </w:t>
      </w:r>
      <w:r w:rsidRPr="0003125A">
        <w:rPr>
          <w:rFonts w:ascii="Arial" w:hAnsi="Arial" w:cs="Arial"/>
          <w:i/>
          <w:lang w:val="en-US"/>
        </w:rPr>
        <w:t xml:space="preserve">A Farewell to Fragmentation: Reassertion and Convergence in International Law </w:t>
      </w:r>
      <w:r w:rsidRPr="0003125A">
        <w:rPr>
          <w:rFonts w:ascii="Arial" w:hAnsi="Arial" w:cs="Arial"/>
          <w:lang w:val="en-US"/>
        </w:rPr>
        <w:t>(Cambridge University Press 2015)</w:t>
      </w:r>
    </w:p>
    <w:p w14:paraId="465D1233" w14:textId="77777777" w:rsidR="00014493" w:rsidRPr="0003125A" w:rsidRDefault="00014493" w:rsidP="00014493">
      <w:pPr>
        <w:pStyle w:val="FootnoteText"/>
        <w:rPr>
          <w:rFonts w:ascii="Arial" w:hAnsi="Arial" w:cs="Arial"/>
          <w:lang w:val="en-US"/>
        </w:rPr>
      </w:pPr>
    </w:p>
    <w:p w14:paraId="7B8FFFE5"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Berman F, ‘Community Law and International Law: How Far Does Either Belong to the Other?’, in Markesinis B.S. (ed.), </w:t>
      </w:r>
      <w:r w:rsidRPr="0003125A">
        <w:rPr>
          <w:rFonts w:ascii="Arial" w:hAnsi="Arial" w:cs="Arial"/>
          <w:i/>
          <w:iCs/>
          <w:lang w:val="en-US"/>
        </w:rPr>
        <w:t xml:space="preserve">The Clifford Chance Lectures Volume I: Bridging the Channel </w:t>
      </w:r>
      <w:r w:rsidRPr="0003125A">
        <w:rPr>
          <w:rFonts w:ascii="Arial" w:hAnsi="Arial" w:cs="Arial"/>
          <w:lang w:val="en-US"/>
        </w:rPr>
        <w:t>(Oxford: Oxford University Press 1996)</w:t>
      </w:r>
    </w:p>
    <w:p w14:paraId="5E58FE6F" w14:textId="77777777" w:rsidR="00014493" w:rsidRPr="0003125A" w:rsidRDefault="00014493" w:rsidP="00014493">
      <w:pPr>
        <w:pStyle w:val="FootnoteText"/>
        <w:rPr>
          <w:rFonts w:ascii="Arial" w:hAnsi="Arial" w:cs="Arial"/>
          <w:lang w:val="en-US"/>
        </w:rPr>
      </w:pPr>
    </w:p>
    <w:p w14:paraId="1725C71C" w14:textId="77777777" w:rsidR="00014493" w:rsidRPr="0003125A" w:rsidRDefault="00014493" w:rsidP="00014493">
      <w:pPr>
        <w:rPr>
          <w:rFonts w:ascii="Arial" w:hAnsi="Arial" w:cs="Arial"/>
          <w:sz w:val="24"/>
          <w:szCs w:val="24"/>
          <w:lang w:val="en-US"/>
        </w:rPr>
      </w:pPr>
      <w:r w:rsidRPr="0003125A">
        <w:rPr>
          <w:rFonts w:ascii="Arial" w:hAnsi="Arial" w:cs="Arial"/>
          <w:sz w:val="24"/>
          <w:szCs w:val="24"/>
        </w:rPr>
        <w:t>Bjorge E, ‘</w:t>
      </w:r>
      <w:r w:rsidRPr="0003125A">
        <w:rPr>
          <w:rFonts w:ascii="Arial" w:hAnsi="Arial" w:cs="Arial"/>
          <w:bCs/>
          <w:sz w:val="24"/>
          <w:szCs w:val="24"/>
          <w:lang w:val="en-US"/>
        </w:rPr>
        <w:t xml:space="preserve">The convergence of the methods of treaty interpretation: Different regimes, different methods of interpretation?’ in </w:t>
      </w:r>
      <w:r w:rsidRPr="0003125A">
        <w:rPr>
          <w:rFonts w:ascii="Arial" w:hAnsi="Arial" w:cs="Arial"/>
          <w:sz w:val="24"/>
          <w:szCs w:val="24"/>
          <w:lang w:val="en-US"/>
        </w:rPr>
        <w:t xml:space="preserve">Andenas M &amp; Bjorge E (eds.), </w:t>
      </w:r>
      <w:r w:rsidRPr="0003125A">
        <w:rPr>
          <w:rFonts w:ascii="Arial" w:hAnsi="Arial" w:cs="Arial"/>
          <w:i/>
          <w:sz w:val="24"/>
          <w:szCs w:val="24"/>
          <w:lang w:val="en-US"/>
        </w:rPr>
        <w:t xml:space="preserve">A Farewell to Fragmentation: Reassertion and Convergence in International Law </w:t>
      </w:r>
      <w:r w:rsidRPr="0003125A">
        <w:rPr>
          <w:rFonts w:ascii="Arial" w:hAnsi="Arial" w:cs="Arial"/>
          <w:sz w:val="24"/>
          <w:szCs w:val="24"/>
          <w:lang w:val="en-US"/>
        </w:rPr>
        <w:t>(Cambridge University Press 2015)</w:t>
      </w:r>
    </w:p>
    <w:p w14:paraId="1F544E65"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Cede F, “European Responses to Questionable Reservations”, in Benedek W et al. (eds.), </w:t>
      </w:r>
      <w:r w:rsidRPr="0003125A">
        <w:rPr>
          <w:rFonts w:ascii="Arial" w:hAnsi="Arial" w:cs="Arial"/>
          <w:i/>
          <w:iCs/>
          <w:lang w:val="en-US"/>
        </w:rPr>
        <w:t xml:space="preserve">Development and Developing International and European Law: Essays in Honour of Konrad Ginther on the Occasion of his 65th Birthday </w:t>
      </w:r>
      <w:r w:rsidRPr="0003125A">
        <w:rPr>
          <w:rFonts w:ascii="Arial" w:hAnsi="Arial" w:cs="Arial"/>
          <w:lang w:val="en-US"/>
        </w:rPr>
        <w:t xml:space="preserve">(Peter Lang, Frankfurt am Main, 1999) </w:t>
      </w:r>
    </w:p>
    <w:p w14:paraId="00504EA3" w14:textId="77777777" w:rsidR="00014493" w:rsidRPr="0003125A" w:rsidRDefault="00014493" w:rsidP="00014493">
      <w:pPr>
        <w:pStyle w:val="FootnoteText"/>
        <w:rPr>
          <w:rFonts w:ascii="Arial" w:hAnsi="Arial" w:cs="Arial"/>
          <w:lang w:val="en-US"/>
        </w:rPr>
      </w:pPr>
    </w:p>
    <w:p w14:paraId="23E583CE"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Crawford J and Nevill P, ‘Relations between International Courts and Tribunals: The “Regime Problem”’ in Young M A (ed.), </w:t>
      </w:r>
      <w:r w:rsidRPr="0003125A">
        <w:rPr>
          <w:rFonts w:ascii="Arial" w:hAnsi="Arial" w:cs="Arial"/>
          <w:i/>
          <w:iCs/>
          <w:lang w:val="en-US"/>
        </w:rPr>
        <w:t xml:space="preserve">Regime Interaction in International Law: Facing Fragmentation </w:t>
      </w:r>
      <w:r w:rsidRPr="0003125A">
        <w:rPr>
          <w:rFonts w:ascii="Arial" w:hAnsi="Arial" w:cs="Arial"/>
          <w:lang w:val="en-US"/>
        </w:rPr>
        <w:t>(Cambridge: Cambridge University Press 2012)</w:t>
      </w:r>
    </w:p>
    <w:p w14:paraId="36FE3F58" w14:textId="77777777" w:rsidR="00014493" w:rsidRPr="0003125A" w:rsidRDefault="00014493" w:rsidP="00014493">
      <w:pPr>
        <w:pStyle w:val="FootnoteText"/>
        <w:rPr>
          <w:rFonts w:ascii="Arial" w:hAnsi="Arial" w:cs="Arial"/>
          <w:lang w:val="en-US"/>
        </w:rPr>
      </w:pPr>
    </w:p>
    <w:p w14:paraId="52D0DC19"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Crawford J, ‘Chance, Order, Change: The Course of International Law’, in 365 </w:t>
      </w:r>
      <w:r w:rsidRPr="0003125A">
        <w:rPr>
          <w:rFonts w:ascii="Arial" w:hAnsi="Arial" w:cs="Arial"/>
          <w:i/>
          <w:iCs/>
          <w:lang w:val="en-US"/>
        </w:rPr>
        <w:t xml:space="preserve">Collected Courses of The Hague Academy of International Law </w:t>
      </w:r>
      <w:r w:rsidRPr="0003125A">
        <w:rPr>
          <w:rFonts w:ascii="Arial" w:hAnsi="Arial" w:cs="Arial"/>
          <w:lang w:val="en-US"/>
        </w:rPr>
        <w:t>(Leiden: Martinus Nijhoff Publishers, 2013)</w:t>
      </w:r>
    </w:p>
    <w:p w14:paraId="31988FB6" w14:textId="77777777" w:rsidR="00014493" w:rsidRPr="0003125A" w:rsidRDefault="00014493" w:rsidP="00014493">
      <w:pPr>
        <w:pStyle w:val="FootnoteText"/>
        <w:rPr>
          <w:rFonts w:ascii="Arial" w:hAnsi="Arial" w:cs="Arial"/>
          <w:lang w:val="en-US"/>
        </w:rPr>
      </w:pPr>
    </w:p>
    <w:p w14:paraId="44CE10C9" w14:textId="77777777" w:rsidR="00014493" w:rsidRPr="0003125A" w:rsidRDefault="00014493" w:rsidP="00014493">
      <w:pPr>
        <w:pStyle w:val="FootnoteText"/>
        <w:rPr>
          <w:rFonts w:ascii="Arial" w:hAnsi="Arial" w:cs="Arial"/>
        </w:rPr>
      </w:pPr>
      <w:r w:rsidRPr="0003125A">
        <w:rPr>
          <w:rFonts w:ascii="Arial" w:hAnsi="Arial" w:cs="Arial"/>
        </w:rPr>
        <w:t xml:space="preserve">Fitzmaurice M, ‘The Practical Working of the Law of Treaties’ in Evans M, </w:t>
      </w:r>
      <w:r w:rsidRPr="0003125A">
        <w:rPr>
          <w:rFonts w:ascii="Arial" w:hAnsi="Arial" w:cs="Arial"/>
          <w:i/>
        </w:rPr>
        <w:t xml:space="preserve">International Law </w:t>
      </w:r>
      <w:r w:rsidRPr="0003125A">
        <w:rPr>
          <w:rFonts w:ascii="Arial" w:hAnsi="Arial" w:cs="Arial"/>
        </w:rPr>
        <w:t>(4</w:t>
      </w:r>
      <w:r w:rsidRPr="0003125A">
        <w:rPr>
          <w:rFonts w:ascii="Arial" w:hAnsi="Arial" w:cs="Arial"/>
          <w:vertAlign w:val="superscript"/>
        </w:rPr>
        <w:t>th</w:t>
      </w:r>
      <w:r w:rsidRPr="0003125A">
        <w:rPr>
          <w:rFonts w:ascii="Arial" w:hAnsi="Arial" w:cs="Arial"/>
        </w:rPr>
        <w:t xml:space="preserve"> edn, Oxford University Press 2014)</w:t>
      </w:r>
    </w:p>
    <w:p w14:paraId="3066B66D" w14:textId="77777777" w:rsidR="00014493" w:rsidRPr="0003125A" w:rsidRDefault="00014493" w:rsidP="00014493">
      <w:pPr>
        <w:pStyle w:val="FootnoteText"/>
        <w:rPr>
          <w:rFonts w:ascii="Arial" w:hAnsi="Arial" w:cs="Arial"/>
        </w:rPr>
      </w:pPr>
    </w:p>
    <w:p w14:paraId="6F715168"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Frowein J A, “Reservations and the International </w:t>
      </w:r>
      <w:r w:rsidRPr="0003125A">
        <w:rPr>
          <w:rFonts w:ascii="Arial" w:hAnsi="Arial" w:cs="Arial"/>
          <w:i/>
          <w:iCs/>
          <w:lang w:val="en-US"/>
        </w:rPr>
        <w:t>ordre public</w:t>
      </w:r>
      <w:r w:rsidRPr="0003125A">
        <w:rPr>
          <w:rFonts w:ascii="Arial" w:hAnsi="Arial" w:cs="Arial"/>
          <w:lang w:val="en-US"/>
        </w:rPr>
        <w:t xml:space="preserve">”, in Makarczyk J (ed.), </w:t>
      </w:r>
      <w:r w:rsidRPr="0003125A">
        <w:rPr>
          <w:rFonts w:ascii="Arial" w:hAnsi="Arial" w:cs="Arial"/>
          <w:i/>
          <w:iCs/>
          <w:lang w:val="en-US"/>
        </w:rPr>
        <w:t xml:space="preserve">Theory of International Law at the Threshold of the 21st Century: Essays in Honour of Krzysztof Skubiszewski </w:t>
      </w:r>
      <w:r w:rsidRPr="0003125A">
        <w:rPr>
          <w:rFonts w:ascii="Arial" w:hAnsi="Arial" w:cs="Arial"/>
          <w:lang w:val="en-US"/>
        </w:rPr>
        <w:t xml:space="preserve">(The Hague: Kluwer Law International 1996) </w:t>
      </w:r>
    </w:p>
    <w:p w14:paraId="694CEC81" w14:textId="77777777" w:rsidR="00014493" w:rsidRPr="0003125A" w:rsidRDefault="00014493" w:rsidP="00014493">
      <w:pPr>
        <w:pStyle w:val="FootnoteText"/>
        <w:rPr>
          <w:rFonts w:ascii="Arial" w:hAnsi="Arial" w:cs="Arial"/>
          <w:lang w:val="en-US"/>
        </w:rPr>
      </w:pPr>
    </w:p>
    <w:p w14:paraId="4719F617"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Forowicz M, ‘Factors influencing the reception of international law in the ECtHR’s case law: an overview’ in Andenas M &amp; Bjorge E (eds.), </w:t>
      </w:r>
      <w:r w:rsidRPr="0003125A">
        <w:rPr>
          <w:rFonts w:ascii="Arial" w:hAnsi="Arial" w:cs="Arial"/>
          <w:i/>
          <w:lang w:val="en-US"/>
        </w:rPr>
        <w:t xml:space="preserve">A Farewell to Fragmentation: Reassertion and Convergence in International Law </w:t>
      </w:r>
      <w:r w:rsidRPr="0003125A">
        <w:rPr>
          <w:rFonts w:ascii="Arial" w:hAnsi="Arial" w:cs="Arial"/>
          <w:lang w:val="en-US"/>
        </w:rPr>
        <w:t>(Cambridge University Press 2015)</w:t>
      </w:r>
    </w:p>
    <w:p w14:paraId="4A02B968"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Gowlland-Debbas V, ‘The ICJ and the challenges of human rights law’ in Andenas M &amp; Bjorge E (eds.), </w:t>
      </w:r>
      <w:r w:rsidRPr="0003125A">
        <w:rPr>
          <w:rFonts w:ascii="Arial" w:hAnsi="Arial" w:cs="Arial"/>
          <w:i/>
          <w:sz w:val="24"/>
          <w:szCs w:val="24"/>
          <w:lang w:val="en-US"/>
        </w:rPr>
        <w:t xml:space="preserve">A Farewell to Fragmentation: Reassertion and Convergence in International Law </w:t>
      </w:r>
      <w:r w:rsidRPr="0003125A">
        <w:rPr>
          <w:rFonts w:ascii="Arial" w:hAnsi="Arial" w:cs="Arial"/>
          <w:sz w:val="24"/>
          <w:szCs w:val="24"/>
          <w:lang w:val="en-US"/>
        </w:rPr>
        <w:t>(Cambridge University Press 2015)</w:t>
      </w:r>
    </w:p>
    <w:p w14:paraId="658F9795" w14:textId="77777777" w:rsidR="00014493" w:rsidRPr="0003125A" w:rsidRDefault="00014493" w:rsidP="00014493">
      <w:pPr>
        <w:pStyle w:val="FootnoteText"/>
        <w:rPr>
          <w:rFonts w:ascii="Arial" w:hAnsi="Arial" w:cs="Arial"/>
        </w:rPr>
      </w:pPr>
      <w:r w:rsidRPr="0003125A">
        <w:rPr>
          <w:rFonts w:ascii="Arial" w:hAnsi="Arial" w:cs="Arial"/>
        </w:rPr>
        <w:t xml:space="preserve">Frowein J A, ‘Reservations to the European Convention on Human Rights’ in Matscher F and Petzold H (eds.), </w:t>
      </w:r>
      <w:r w:rsidRPr="0003125A">
        <w:rPr>
          <w:rFonts w:ascii="Arial" w:hAnsi="Arial" w:cs="Arial"/>
          <w:i/>
        </w:rPr>
        <w:t xml:space="preserve">Protecting Human Rights: the European Dimension. Studies in Honour of Gerard J. Wiarda </w:t>
      </w:r>
      <w:r w:rsidRPr="0003125A">
        <w:rPr>
          <w:rFonts w:ascii="Arial" w:hAnsi="Arial" w:cs="Arial"/>
        </w:rPr>
        <w:t xml:space="preserve">(Cologne: Carl Heymann 1988) 193  </w:t>
      </w:r>
    </w:p>
    <w:p w14:paraId="50B70FF0" w14:textId="77777777" w:rsidR="00014493" w:rsidRPr="0003125A" w:rsidRDefault="00014493" w:rsidP="00014493">
      <w:pPr>
        <w:pStyle w:val="FootnoteText"/>
        <w:rPr>
          <w:rFonts w:ascii="Arial" w:hAnsi="Arial" w:cs="Arial"/>
        </w:rPr>
      </w:pPr>
    </w:p>
    <w:p w14:paraId="19EB37BE" w14:textId="77777777" w:rsidR="00014493" w:rsidRPr="0003125A" w:rsidRDefault="00014493" w:rsidP="00014493">
      <w:pPr>
        <w:pStyle w:val="FootnoteText"/>
        <w:rPr>
          <w:rFonts w:ascii="Arial" w:hAnsi="Arial" w:cs="Arial"/>
          <w:color w:val="000000"/>
        </w:rPr>
      </w:pPr>
      <w:r w:rsidRPr="0003125A">
        <w:rPr>
          <w:rFonts w:ascii="Arial" w:hAnsi="Arial" w:cs="Arial"/>
          <w:color w:val="000000"/>
        </w:rPr>
        <w:t xml:space="preserve">Jennings R, ‘The Proliferation of Adjudicatory Bodies: Dangers and Possible Answers’ in </w:t>
      </w:r>
      <w:r w:rsidRPr="0003125A">
        <w:rPr>
          <w:rFonts w:ascii="Arial" w:hAnsi="Arial" w:cs="Arial"/>
          <w:i/>
          <w:color w:val="000000"/>
        </w:rPr>
        <w:t>Implications of the Proliferation of International Adjudicatory Bodies for Dispute Resolution</w:t>
      </w:r>
      <w:r w:rsidRPr="0003125A">
        <w:rPr>
          <w:rFonts w:ascii="Arial" w:hAnsi="Arial" w:cs="Arial"/>
          <w:color w:val="000000"/>
        </w:rPr>
        <w:t xml:space="preserve"> (ASIL Bulletin No. 9: Educational Resources on International Law 1995) </w:t>
      </w:r>
    </w:p>
    <w:p w14:paraId="6FC6276C" w14:textId="77777777" w:rsidR="00014493" w:rsidRPr="0003125A" w:rsidRDefault="00014493" w:rsidP="00014493">
      <w:pPr>
        <w:pStyle w:val="FootnoteText"/>
        <w:rPr>
          <w:rFonts w:ascii="Arial" w:hAnsi="Arial" w:cs="Arial"/>
          <w:color w:val="000000"/>
        </w:rPr>
      </w:pPr>
    </w:p>
    <w:p w14:paraId="1FE34B4E" w14:textId="77777777" w:rsidR="00014493" w:rsidRPr="0003125A" w:rsidRDefault="00014493" w:rsidP="00014493">
      <w:pPr>
        <w:pStyle w:val="FootnoteText"/>
        <w:rPr>
          <w:rFonts w:ascii="Arial" w:hAnsi="Arial" w:cs="Arial"/>
        </w:rPr>
      </w:pPr>
      <w:r w:rsidRPr="0003125A">
        <w:rPr>
          <w:rFonts w:ascii="Arial" w:hAnsi="Arial" w:cs="Arial"/>
        </w:rPr>
        <w:t xml:space="preserve">Klabbers J, ‘On Human Rights Treaties, Contractual Conceptions and Reservations’ in Ziemele I (ed.), </w:t>
      </w:r>
      <w:r w:rsidRPr="0003125A">
        <w:rPr>
          <w:rFonts w:ascii="Arial" w:hAnsi="Arial" w:cs="Arial"/>
          <w:i/>
        </w:rPr>
        <w:t>Reservations to Human Rights Treaties and the Vienna Convention Regime: Conflict, Harmony or Reconciliation</w:t>
      </w:r>
      <w:r w:rsidRPr="0003125A">
        <w:rPr>
          <w:rFonts w:ascii="Arial" w:hAnsi="Arial" w:cs="Arial"/>
        </w:rPr>
        <w:t xml:space="preserve"> (Leiden/Boston: Martinus Nijhoff Publishers 2004)</w:t>
      </w:r>
    </w:p>
    <w:p w14:paraId="6DCCA68E" w14:textId="77777777" w:rsidR="00014493" w:rsidRPr="0003125A" w:rsidRDefault="00014493" w:rsidP="00014493">
      <w:pPr>
        <w:pStyle w:val="FootnoteText"/>
        <w:rPr>
          <w:rFonts w:ascii="Arial" w:hAnsi="Arial" w:cs="Arial"/>
        </w:rPr>
      </w:pPr>
    </w:p>
    <w:p w14:paraId="5F1E90C4" w14:textId="77777777" w:rsidR="00014493" w:rsidRPr="0003125A" w:rsidRDefault="00014493" w:rsidP="00014493">
      <w:pPr>
        <w:pStyle w:val="FootnoteText"/>
        <w:rPr>
          <w:rFonts w:ascii="Arial" w:hAnsi="Arial" w:cs="Arial"/>
          <w:lang w:val="en-US"/>
        </w:rPr>
      </w:pPr>
      <w:r w:rsidRPr="0003125A">
        <w:rPr>
          <w:rFonts w:ascii="Arial" w:hAnsi="Arial" w:cs="Arial"/>
          <w:bCs/>
          <w:lang w:val="en-US"/>
        </w:rPr>
        <w:t xml:space="preserve">Lijnzaad L, </w:t>
      </w:r>
      <w:r w:rsidRPr="0003125A">
        <w:rPr>
          <w:rFonts w:ascii="Arial" w:hAnsi="Arial" w:cs="Arial"/>
          <w:i/>
          <w:lang w:val="en-US"/>
        </w:rPr>
        <w:t>Reservations to UN-</w:t>
      </w:r>
      <w:r w:rsidRPr="0003125A">
        <w:rPr>
          <w:rFonts w:ascii="Arial" w:hAnsi="Arial" w:cs="Arial"/>
          <w:bCs/>
          <w:i/>
          <w:lang w:val="en-US"/>
        </w:rPr>
        <w:t xml:space="preserve">Human </w:t>
      </w:r>
      <w:r w:rsidRPr="0003125A">
        <w:rPr>
          <w:rFonts w:ascii="Arial" w:hAnsi="Arial" w:cs="Arial"/>
          <w:i/>
          <w:lang w:val="en-US"/>
        </w:rPr>
        <w:t xml:space="preserve">Rights Treaties: Ratify </w:t>
      </w:r>
      <w:r w:rsidRPr="0003125A">
        <w:rPr>
          <w:rFonts w:ascii="Arial" w:hAnsi="Arial" w:cs="Arial"/>
          <w:bCs/>
          <w:i/>
          <w:lang w:val="en-US"/>
        </w:rPr>
        <w:t xml:space="preserve">and </w:t>
      </w:r>
      <w:r w:rsidRPr="0003125A">
        <w:rPr>
          <w:rFonts w:ascii="Arial" w:hAnsi="Arial" w:cs="Arial"/>
          <w:i/>
          <w:lang w:val="en-US"/>
        </w:rPr>
        <w:t>Ruin?</w:t>
      </w:r>
      <w:r w:rsidRPr="0003125A">
        <w:rPr>
          <w:rFonts w:ascii="Arial" w:hAnsi="Arial" w:cs="Arial"/>
          <w:lang w:val="en-US"/>
        </w:rPr>
        <w:t xml:space="preserve"> 186 in ‘International Studies in Human Rights’ (The Hague: </w:t>
      </w:r>
      <w:r w:rsidRPr="0003125A">
        <w:rPr>
          <w:rFonts w:ascii="Arial" w:hAnsi="Arial" w:cs="Arial"/>
        </w:rPr>
        <w:t xml:space="preserve">Martinus Nijhoff </w:t>
      </w:r>
      <w:r w:rsidRPr="0003125A">
        <w:rPr>
          <w:rFonts w:ascii="Arial" w:hAnsi="Arial" w:cs="Arial"/>
          <w:lang w:val="en-US"/>
        </w:rPr>
        <w:t>1995)</w:t>
      </w:r>
    </w:p>
    <w:p w14:paraId="32A4A0B8" w14:textId="77777777" w:rsidR="00014493" w:rsidRPr="0003125A" w:rsidRDefault="00014493" w:rsidP="00014493">
      <w:pPr>
        <w:pStyle w:val="FootnoteText"/>
        <w:rPr>
          <w:rFonts w:ascii="Arial" w:hAnsi="Arial" w:cs="Arial"/>
        </w:rPr>
      </w:pPr>
    </w:p>
    <w:p w14:paraId="70B693CC"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McNair A D and Lauterpacht H, ‘Preface’, in Lauterpacht H &amp; Fischer Williams J (eds.), </w:t>
      </w:r>
      <w:r w:rsidRPr="0003125A">
        <w:rPr>
          <w:rFonts w:ascii="Arial" w:hAnsi="Arial" w:cs="Arial"/>
          <w:i/>
          <w:iCs/>
          <w:lang w:val="en-US"/>
        </w:rPr>
        <w:t xml:space="preserve">Annual Digest of Public International Law Cases 1925–26 </w:t>
      </w:r>
      <w:r w:rsidRPr="0003125A">
        <w:rPr>
          <w:rFonts w:ascii="Arial" w:hAnsi="Arial" w:cs="Arial"/>
          <w:lang w:val="en-US"/>
        </w:rPr>
        <w:t>(Cambridge: Cambridge University Press 1929)</w:t>
      </w:r>
    </w:p>
    <w:p w14:paraId="2750FAF6" w14:textId="77777777" w:rsidR="00014493" w:rsidRPr="0003125A" w:rsidRDefault="00014493" w:rsidP="00014493">
      <w:pPr>
        <w:pStyle w:val="FootnoteText"/>
        <w:rPr>
          <w:rFonts w:ascii="Arial" w:hAnsi="Arial" w:cs="Arial"/>
        </w:rPr>
      </w:pPr>
    </w:p>
    <w:p w14:paraId="68B880F6" w14:textId="77777777" w:rsidR="00014493" w:rsidRPr="0003125A" w:rsidRDefault="00014493" w:rsidP="00014493">
      <w:pPr>
        <w:pStyle w:val="FootnoteText"/>
        <w:rPr>
          <w:rFonts w:ascii="Arial" w:hAnsi="Arial" w:cs="Arial"/>
        </w:rPr>
      </w:pPr>
      <w:r w:rsidRPr="0003125A">
        <w:rPr>
          <w:rFonts w:ascii="Arial" w:hAnsi="Arial" w:cs="Arial"/>
        </w:rPr>
        <w:t xml:space="preserve">Pellet A &amp; Müller D, ‘Reservations to Human Rights Treaties: Not an Absolute Evil’, in Fastenrath U </w:t>
      </w:r>
      <w:r w:rsidRPr="0003125A">
        <w:rPr>
          <w:rFonts w:ascii="Arial" w:hAnsi="Arial" w:cs="Arial"/>
          <w:iCs/>
        </w:rPr>
        <w:t>et al.</w:t>
      </w:r>
      <w:r w:rsidRPr="0003125A">
        <w:rPr>
          <w:rFonts w:ascii="Arial" w:hAnsi="Arial" w:cs="Arial"/>
          <w:i/>
          <w:iCs/>
        </w:rPr>
        <w:t xml:space="preserve"> </w:t>
      </w:r>
      <w:r w:rsidRPr="0003125A">
        <w:rPr>
          <w:rFonts w:ascii="Arial" w:hAnsi="Arial" w:cs="Arial"/>
        </w:rPr>
        <w:t xml:space="preserve">(eds.), </w:t>
      </w:r>
      <w:r w:rsidRPr="0003125A">
        <w:rPr>
          <w:rFonts w:ascii="Arial" w:hAnsi="Arial" w:cs="Arial"/>
          <w:i/>
          <w:iCs/>
        </w:rPr>
        <w:t xml:space="preserve">From Bilateralism to Community Interest – Essays in Honour of Judge Bruno Simma </w:t>
      </w:r>
      <w:r w:rsidRPr="0003125A">
        <w:rPr>
          <w:rFonts w:ascii="Arial" w:hAnsi="Arial" w:cs="Arial"/>
        </w:rPr>
        <w:t>(Oxford University Press 2011)</w:t>
      </w:r>
    </w:p>
    <w:p w14:paraId="09385628" w14:textId="77777777" w:rsidR="00014493" w:rsidRPr="0003125A" w:rsidRDefault="00014493" w:rsidP="00014493">
      <w:pPr>
        <w:pStyle w:val="FootnoteText"/>
        <w:rPr>
          <w:rFonts w:ascii="Arial" w:hAnsi="Arial" w:cs="Arial"/>
        </w:rPr>
      </w:pPr>
    </w:p>
    <w:p w14:paraId="514DE883"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Rodley N, ‘On the Necessity of United States Ratification of the International Human Rights Conventions’ in Lillich R.B. (ed.), </w:t>
      </w:r>
      <w:r w:rsidRPr="0003125A">
        <w:rPr>
          <w:rFonts w:ascii="Arial" w:hAnsi="Arial" w:cs="Arial"/>
          <w:i/>
          <w:sz w:val="24"/>
          <w:szCs w:val="24"/>
          <w:lang w:val="en-US"/>
        </w:rPr>
        <w:t>U.S. Ratification of the Human Rights Treaties: With or Without Reservations</w:t>
      </w:r>
      <w:r w:rsidRPr="0003125A">
        <w:rPr>
          <w:rFonts w:ascii="Arial" w:hAnsi="Arial" w:cs="Arial"/>
          <w:sz w:val="24"/>
          <w:szCs w:val="24"/>
          <w:lang w:val="en-US"/>
        </w:rPr>
        <w:t xml:space="preserve"> (Charlottesville: Virginia University Press 1981) </w:t>
      </w:r>
    </w:p>
    <w:p w14:paraId="34DDDB55" w14:textId="77777777" w:rsidR="00014493" w:rsidRPr="0003125A" w:rsidRDefault="00014493" w:rsidP="00014493">
      <w:pPr>
        <w:pStyle w:val="FootnoteText"/>
        <w:rPr>
          <w:rFonts w:ascii="Arial" w:hAnsi="Arial" w:cs="Arial"/>
          <w:lang w:val="en-US"/>
        </w:rPr>
      </w:pPr>
      <w:r w:rsidRPr="0003125A">
        <w:rPr>
          <w:rFonts w:ascii="Arial" w:hAnsi="Arial" w:cs="Arial"/>
        </w:rPr>
        <w:t xml:space="preserve">Rodley N, ‘The International Court of Justice and human rights treaty bodies’ in </w:t>
      </w:r>
      <w:r w:rsidRPr="0003125A">
        <w:rPr>
          <w:rFonts w:ascii="Arial" w:hAnsi="Arial" w:cs="Arial"/>
          <w:lang w:val="en-US"/>
        </w:rPr>
        <w:t xml:space="preserve">Andenas M &amp; Bjorge E (eds.), </w:t>
      </w:r>
      <w:r w:rsidRPr="0003125A">
        <w:rPr>
          <w:rFonts w:ascii="Arial" w:hAnsi="Arial" w:cs="Arial"/>
          <w:i/>
          <w:lang w:val="en-US"/>
        </w:rPr>
        <w:t xml:space="preserve">A Farewell to Fragmentation: Reassertion and Convergence in International Law </w:t>
      </w:r>
      <w:r w:rsidRPr="0003125A">
        <w:rPr>
          <w:rFonts w:ascii="Arial" w:hAnsi="Arial" w:cs="Arial"/>
          <w:lang w:val="en-US"/>
        </w:rPr>
        <w:t>(Cambridge University Press 2015)</w:t>
      </w:r>
    </w:p>
    <w:p w14:paraId="3E341B61" w14:textId="77777777" w:rsidR="00014493" w:rsidRPr="0003125A" w:rsidRDefault="00014493" w:rsidP="00014493">
      <w:pPr>
        <w:pStyle w:val="FootnoteText"/>
        <w:rPr>
          <w:rFonts w:ascii="Arial" w:hAnsi="Arial" w:cs="Arial"/>
          <w:lang w:val="en-US"/>
        </w:rPr>
      </w:pPr>
    </w:p>
    <w:p w14:paraId="700B275C"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Sand I J, ‘The Fragmentation of Law on the Global Level: Conflicts of Law or Processes  of Learning?’ in O. K. Fauchald and others (eds.), </w:t>
      </w:r>
      <w:r w:rsidRPr="0003125A">
        <w:rPr>
          <w:rFonts w:ascii="Arial" w:hAnsi="Arial" w:cs="Arial"/>
          <w:i/>
          <w:iCs/>
          <w:sz w:val="24"/>
          <w:szCs w:val="24"/>
          <w:lang w:val="en-US"/>
        </w:rPr>
        <w:t xml:space="preserve">Liber Amicorum Carl August Fleischer </w:t>
      </w:r>
      <w:r w:rsidRPr="0003125A">
        <w:rPr>
          <w:rFonts w:ascii="Arial" w:hAnsi="Arial" w:cs="Arial"/>
          <w:sz w:val="24"/>
          <w:szCs w:val="24"/>
          <w:lang w:val="en-US"/>
        </w:rPr>
        <w:t>(Oslo: Universitetsforlaget 2006)</w:t>
      </w:r>
    </w:p>
    <w:p w14:paraId="76F1ED6E" w14:textId="77777777" w:rsidR="00014493" w:rsidRPr="0003125A" w:rsidRDefault="00014493" w:rsidP="00014493">
      <w:pPr>
        <w:pStyle w:val="FootnoteText"/>
        <w:rPr>
          <w:rFonts w:ascii="Arial" w:hAnsi="Arial" w:cs="Arial"/>
        </w:rPr>
      </w:pPr>
      <w:r w:rsidRPr="0003125A">
        <w:rPr>
          <w:rFonts w:ascii="Arial" w:hAnsi="Arial" w:cs="Arial"/>
        </w:rPr>
        <w:t xml:space="preserve">Schachter O, ‘The Obligation to implement the Covenant in Domestic Law’ in Henkin L (ed.), </w:t>
      </w:r>
      <w:r w:rsidRPr="0003125A">
        <w:rPr>
          <w:rFonts w:ascii="Arial" w:hAnsi="Arial" w:cs="Arial"/>
          <w:i/>
        </w:rPr>
        <w:t xml:space="preserve">The International Bill of Rights </w:t>
      </w:r>
      <w:r w:rsidRPr="0003125A">
        <w:rPr>
          <w:rFonts w:ascii="Arial" w:hAnsi="Arial" w:cs="Arial"/>
        </w:rPr>
        <w:t>(New York: Columbia University Press 1981)</w:t>
      </w:r>
    </w:p>
    <w:p w14:paraId="3A2E7C4A" w14:textId="77777777" w:rsidR="00014493" w:rsidRPr="0003125A" w:rsidRDefault="00014493" w:rsidP="00014493">
      <w:pPr>
        <w:pStyle w:val="FootnoteText"/>
        <w:rPr>
          <w:rFonts w:ascii="Arial" w:hAnsi="Arial" w:cs="Arial"/>
        </w:rPr>
      </w:pPr>
    </w:p>
    <w:p w14:paraId="2462E8F1" w14:textId="77777777" w:rsidR="00014493" w:rsidRPr="0003125A" w:rsidRDefault="00014493" w:rsidP="00014493">
      <w:pPr>
        <w:pStyle w:val="FootnoteText"/>
        <w:rPr>
          <w:rFonts w:ascii="Arial" w:hAnsi="Arial" w:cs="Arial"/>
          <w:lang w:val="en-US"/>
        </w:rPr>
      </w:pPr>
      <w:r w:rsidRPr="0003125A">
        <w:rPr>
          <w:rFonts w:ascii="Arial" w:hAnsi="Arial" w:cs="Arial"/>
        </w:rPr>
        <w:t xml:space="preserve">Scheinin M, ‘Reservations by States under the International Covenant on Civil and Political Rights and its Optional Protocols, and the Practice of the Human Rights Committee’ in Ziemele I (ed.), </w:t>
      </w:r>
      <w:r w:rsidRPr="0003125A">
        <w:rPr>
          <w:rFonts w:ascii="Arial" w:hAnsi="Arial" w:cs="Arial"/>
          <w:i/>
        </w:rPr>
        <w:t>Reservations to Human Rights Treaties and the Vienna Convention Regime: Conflict, Harmony or Reconciliation</w:t>
      </w:r>
      <w:r w:rsidRPr="0003125A">
        <w:rPr>
          <w:rFonts w:ascii="Arial" w:hAnsi="Arial" w:cs="Arial"/>
        </w:rPr>
        <w:t xml:space="preserve"> (Leiden/Boston: Martinus Nijhoff Publishers 2004)</w:t>
      </w:r>
    </w:p>
    <w:p w14:paraId="018F3906" w14:textId="77777777" w:rsidR="00014493" w:rsidRPr="0003125A" w:rsidRDefault="00014493" w:rsidP="00014493">
      <w:pPr>
        <w:pStyle w:val="FootnoteText"/>
        <w:rPr>
          <w:rFonts w:ascii="Arial" w:hAnsi="Arial" w:cs="Arial"/>
        </w:rPr>
      </w:pPr>
    </w:p>
    <w:p w14:paraId="6E8B5BFD" w14:textId="77777777" w:rsidR="00014493" w:rsidRPr="0003125A" w:rsidRDefault="00014493" w:rsidP="00014493">
      <w:pPr>
        <w:pStyle w:val="FootnoteText"/>
        <w:rPr>
          <w:rFonts w:ascii="Arial" w:hAnsi="Arial" w:cs="Arial"/>
        </w:rPr>
      </w:pPr>
      <w:r w:rsidRPr="0003125A">
        <w:rPr>
          <w:rFonts w:ascii="Arial" w:hAnsi="Arial" w:cs="Arial"/>
        </w:rPr>
        <w:t xml:space="preserve">Seibert-Fohr A, ‘The Potentials of the Vienna Convention on the Law of Treaties with respect to Reservations to Human Rights Treaties’ in Ziemele I (ed.), </w:t>
      </w:r>
      <w:r w:rsidRPr="0003125A">
        <w:rPr>
          <w:rFonts w:ascii="Arial" w:hAnsi="Arial" w:cs="Arial"/>
          <w:i/>
        </w:rPr>
        <w:t>Reservations to Human Rights Treaties and the Vienna Convention Regime: Conflict, Harmony or Reconciliation</w:t>
      </w:r>
      <w:r w:rsidRPr="0003125A">
        <w:rPr>
          <w:rFonts w:ascii="Arial" w:hAnsi="Arial" w:cs="Arial"/>
        </w:rPr>
        <w:t xml:space="preserve"> (Leiden/Boston: Martinus Nijhoff Publishers 2004)</w:t>
      </w:r>
    </w:p>
    <w:p w14:paraId="7354FDAE" w14:textId="77777777" w:rsidR="00014493" w:rsidRPr="0003125A" w:rsidRDefault="00014493" w:rsidP="00014493">
      <w:pPr>
        <w:pStyle w:val="FootnoteText"/>
        <w:rPr>
          <w:rFonts w:ascii="Arial" w:hAnsi="Arial" w:cs="Arial"/>
        </w:rPr>
      </w:pPr>
    </w:p>
    <w:p w14:paraId="1E9502DC"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Simma B, ‘Reservations to Human Rights Treaties – Some Recent Developments’ in Hafner G et al. (eds.), </w:t>
      </w:r>
      <w:r w:rsidRPr="0003125A">
        <w:rPr>
          <w:rFonts w:ascii="Arial" w:hAnsi="Arial" w:cs="Arial"/>
          <w:i/>
          <w:iCs/>
          <w:lang w:val="en-US"/>
        </w:rPr>
        <w:t xml:space="preserve">Liber amicorum Professor Ignaz Seidl-Hohenveldern in Honour of his 80th Birthday </w:t>
      </w:r>
      <w:r w:rsidRPr="0003125A">
        <w:rPr>
          <w:rFonts w:ascii="Arial" w:hAnsi="Arial" w:cs="Arial"/>
          <w:lang w:val="en-US"/>
        </w:rPr>
        <w:t>(The Hague: Kluwer Law International, 1998)</w:t>
      </w:r>
    </w:p>
    <w:p w14:paraId="559B7522" w14:textId="77777777" w:rsidR="00014493" w:rsidRPr="0003125A" w:rsidRDefault="00014493" w:rsidP="00014493">
      <w:pPr>
        <w:pStyle w:val="FootnoteText"/>
        <w:rPr>
          <w:rFonts w:ascii="Arial" w:hAnsi="Arial" w:cs="Arial"/>
          <w:lang w:val="en-US"/>
        </w:rPr>
      </w:pPr>
    </w:p>
    <w:p w14:paraId="47E97091"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Sinclair I, ‘Estoppel and acquiescence’ in Lowe V and Fitzmaurice M (eds.), </w:t>
      </w:r>
      <w:r w:rsidRPr="0003125A">
        <w:rPr>
          <w:rFonts w:ascii="Arial" w:hAnsi="Arial" w:cs="Arial"/>
          <w:i/>
          <w:iCs/>
          <w:lang w:val="en-US"/>
        </w:rPr>
        <w:t xml:space="preserve">Fifty Years of the International Court of Justice </w:t>
      </w:r>
      <w:r w:rsidRPr="0003125A">
        <w:rPr>
          <w:rFonts w:ascii="Arial" w:hAnsi="Arial" w:cs="Arial"/>
          <w:lang w:val="en-US"/>
        </w:rPr>
        <w:t>(Cambridge: Cambridge University Press 1996)</w:t>
      </w:r>
    </w:p>
    <w:p w14:paraId="619054FF" w14:textId="77777777" w:rsidR="00014493" w:rsidRPr="0003125A" w:rsidRDefault="00014493" w:rsidP="00014493">
      <w:pPr>
        <w:pStyle w:val="FootnoteText"/>
        <w:rPr>
          <w:rFonts w:ascii="Arial" w:hAnsi="Arial" w:cs="Arial"/>
          <w:b/>
          <w:lang w:val="en-US"/>
        </w:rPr>
      </w:pPr>
    </w:p>
    <w:p w14:paraId="7919B12C" w14:textId="77777777" w:rsidR="00014493" w:rsidRPr="0003125A" w:rsidRDefault="00014493" w:rsidP="00014493">
      <w:pPr>
        <w:pStyle w:val="FootnoteText"/>
        <w:rPr>
          <w:rFonts w:ascii="Arial" w:hAnsi="Arial" w:cs="Arial"/>
          <w:b/>
          <w:lang w:val="en-US"/>
        </w:rPr>
      </w:pPr>
      <w:r w:rsidRPr="0003125A">
        <w:rPr>
          <w:rFonts w:ascii="Arial" w:hAnsi="Arial" w:cs="Arial"/>
          <w:b/>
          <w:lang w:val="en-US"/>
        </w:rPr>
        <w:t>Journals</w:t>
      </w:r>
    </w:p>
    <w:p w14:paraId="69AECC75" w14:textId="77777777" w:rsidR="00014493" w:rsidRPr="0003125A" w:rsidRDefault="00014493" w:rsidP="00014493">
      <w:pPr>
        <w:pStyle w:val="FootnoteText"/>
        <w:rPr>
          <w:rFonts w:ascii="Arial" w:hAnsi="Arial" w:cs="Arial"/>
          <w:b/>
          <w:lang w:val="en-US"/>
        </w:rPr>
      </w:pPr>
    </w:p>
    <w:p w14:paraId="71E69EDC" w14:textId="77777777" w:rsidR="00014493" w:rsidRPr="0003125A" w:rsidRDefault="00014493" w:rsidP="00014493">
      <w:pPr>
        <w:pStyle w:val="FootnoteText"/>
        <w:rPr>
          <w:rFonts w:ascii="Arial" w:hAnsi="Arial" w:cs="Arial"/>
          <w:i/>
          <w:color w:val="FF0000"/>
        </w:rPr>
      </w:pPr>
      <w:r w:rsidRPr="0003125A">
        <w:rPr>
          <w:rFonts w:ascii="Arial" w:hAnsi="Arial" w:cs="Arial"/>
          <w:i/>
        </w:rPr>
        <w:t xml:space="preserve">Anglo-French Continental Shelf </w:t>
      </w:r>
      <w:r w:rsidRPr="0003125A">
        <w:rPr>
          <w:rFonts w:ascii="Arial" w:hAnsi="Arial" w:cs="Arial"/>
        </w:rPr>
        <w:t xml:space="preserve">arbitration, decision of 30 June 1977, 18 </w:t>
      </w:r>
      <w:r w:rsidRPr="0003125A">
        <w:rPr>
          <w:rFonts w:ascii="Arial" w:hAnsi="Arial" w:cs="Arial"/>
          <w:i/>
        </w:rPr>
        <w:t xml:space="preserve">International Legal Materials </w:t>
      </w:r>
      <w:r w:rsidRPr="0003125A">
        <w:rPr>
          <w:rFonts w:ascii="Arial" w:hAnsi="Arial" w:cs="Arial"/>
        </w:rPr>
        <w:t>(1979) 397 = RIAAXVIII</w:t>
      </w:r>
    </w:p>
    <w:p w14:paraId="37694F84" w14:textId="77777777" w:rsidR="00014493" w:rsidRPr="0003125A" w:rsidRDefault="00014493" w:rsidP="00014493">
      <w:pPr>
        <w:pStyle w:val="FootnoteText"/>
        <w:rPr>
          <w:rFonts w:ascii="Arial" w:hAnsi="Arial" w:cs="Arial"/>
        </w:rPr>
      </w:pPr>
    </w:p>
    <w:p w14:paraId="5E1C3C84" w14:textId="77777777" w:rsidR="00014493" w:rsidRPr="0003125A" w:rsidRDefault="00014493" w:rsidP="00014493">
      <w:pPr>
        <w:pStyle w:val="FootnoteText"/>
        <w:rPr>
          <w:rFonts w:ascii="Arial" w:hAnsi="Arial" w:cs="Arial"/>
        </w:rPr>
      </w:pPr>
      <w:r w:rsidRPr="0003125A">
        <w:rPr>
          <w:rFonts w:ascii="Arial" w:hAnsi="Arial" w:cs="Arial"/>
          <w:lang w:val="en-US"/>
        </w:rPr>
        <w:t xml:space="preserve">Baratta R, ‘Should Invalid Reservations to Human Rights Treaties be Disregarded?’  (2000) 11(2) </w:t>
      </w:r>
      <w:r w:rsidRPr="0003125A">
        <w:rPr>
          <w:rFonts w:ascii="Arial" w:hAnsi="Arial" w:cs="Arial"/>
          <w:i/>
        </w:rPr>
        <w:t>European Journal of International Law</w:t>
      </w:r>
      <w:r w:rsidRPr="0003125A">
        <w:rPr>
          <w:rFonts w:ascii="Arial" w:hAnsi="Arial" w:cs="Arial"/>
          <w:lang w:val="en-US"/>
        </w:rPr>
        <w:t>, 416</w:t>
      </w:r>
    </w:p>
    <w:p w14:paraId="7C4A6B51" w14:textId="77777777" w:rsidR="00014493" w:rsidRPr="0003125A" w:rsidRDefault="00014493" w:rsidP="00014493">
      <w:pPr>
        <w:pStyle w:val="FootnoteText"/>
        <w:rPr>
          <w:rFonts w:ascii="Arial" w:hAnsi="Arial" w:cs="Arial"/>
          <w:lang w:val="en-US"/>
        </w:rPr>
      </w:pPr>
    </w:p>
    <w:p w14:paraId="4E03FAAF" w14:textId="77777777" w:rsidR="00014493" w:rsidRPr="0003125A" w:rsidRDefault="00014493" w:rsidP="00014493">
      <w:pPr>
        <w:pStyle w:val="FootnoteText"/>
        <w:rPr>
          <w:rFonts w:ascii="Arial" w:hAnsi="Arial" w:cs="Arial"/>
          <w:i/>
          <w:color w:val="FF0000"/>
        </w:rPr>
      </w:pPr>
      <w:r w:rsidRPr="0003125A">
        <w:rPr>
          <w:rFonts w:ascii="Arial" w:hAnsi="Arial" w:cs="Arial"/>
          <w:lang w:val="en-US"/>
        </w:rPr>
        <w:t xml:space="preserve">Baylis E A, ‘General Comment 24: Confronting the Problem of Reservations to Human Rights Treaties’, 17 </w:t>
      </w:r>
      <w:r w:rsidRPr="0003125A">
        <w:rPr>
          <w:rFonts w:ascii="Arial" w:hAnsi="Arial" w:cs="Arial"/>
          <w:i/>
        </w:rPr>
        <w:t>Berkley Journal of International Law</w:t>
      </w:r>
      <w:r w:rsidRPr="0003125A">
        <w:rPr>
          <w:rFonts w:ascii="Arial" w:hAnsi="Arial" w:cs="Arial"/>
          <w:i/>
          <w:color w:val="FF0000"/>
        </w:rPr>
        <w:t xml:space="preserve"> </w:t>
      </w:r>
      <w:r w:rsidRPr="0003125A">
        <w:rPr>
          <w:rFonts w:ascii="Arial" w:hAnsi="Arial" w:cs="Arial"/>
          <w:lang w:val="en-US"/>
        </w:rPr>
        <w:t>277 (1999)</w:t>
      </w:r>
      <w:r w:rsidRPr="0003125A">
        <w:rPr>
          <w:rFonts w:ascii="Arial" w:hAnsi="Arial" w:cs="Arial"/>
        </w:rPr>
        <w:t xml:space="preserve"> </w:t>
      </w:r>
    </w:p>
    <w:p w14:paraId="09B4F9F2" w14:textId="77777777" w:rsidR="00014493" w:rsidRPr="0003125A" w:rsidRDefault="00014493" w:rsidP="00014493">
      <w:pPr>
        <w:pStyle w:val="FootnoteText"/>
        <w:rPr>
          <w:rFonts w:ascii="Arial" w:hAnsi="Arial" w:cs="Arial"/>
          <w:lang w:val="en-US"/>
        </w:rPr>
      </w:pPr>
    </w:p>
    <w:p w14:paraId="7EE581BE"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Bourguignon H, ‘The Belilos Case: New Light on  Reservations to Multilateral Treaties’ (1989) 29 </w:t>
      </w:r>
      <w:r w:rsidRPr="0003125A">
        <w:rPr>
          <w:rFonts w:ascii="Arial" w:hAnsi="Arial" w:cs="Arial"/>
          <w:i/>
          <w:lang w:val="en-US"/>
        </w:rPr>
        <w:t>Virginia Journal of International Law</w:t>
      </w:r>
      <w:r w:rsidRPr="0003125A">
        <w:rPr>
          <w:rFonts w:ascii="Arial" w:hAnsi="Arial" w:cs="Arial"/>
          <w:lang w:val="en-US"/>
        </w:rPr>
        <w:t xml:space="preserve"> 347 </w:t>
      </w:r>
    </w:p>
    <w:p w14:paraId="45AF4524" w14:textId="77777777" w:rsidR="00014493" w:rsidRPr="0003125A" w:rsidRDefault="00014493" w:rsidP="00014493">
      <w:pPr>
        <w:pStyle w:val="FootnoteText"/>
        <w:rPr>
          <w:rFonts w:ascii="Arial" w:hAnsi="Arial" w:cs="Arial"/>
          <w:lang w:val="en-US"/>
        </w:rPr>
      </w:pPr>
    </w:p>
    <w:p w14:paraId="6FFC5E4D"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Bowett D W, ‘Reservations to Non-Restricted Multilateral Treaties’, 48 </w:t>
      </w:r>
      <w:r w:rsidRPr="0003125A">
        <w:rPr>
          <w:rFonts w:ascii="Arial" w:hAnsi="Arial" w:cs="Arial"/>
          <w:i/>
          <w:iCs/>
          <w:lang w:val="en-US"/>
        </w:rPr>
        <w:t xml:space="preserve">British Yearbook of International Law </w:t>
      </w:r>
      <w:r w:rsidRPr="0003125A">
        <w:rPr>
          <w:rFonts w:ascii="Arial" w:hAnsi="Arial" w:cs="Arial"/>
          <w:lang w:val="en-US"/>
        </w:rPr>
        <w:t xml:space="preserve">(Oxford University Press 1978) </w:t>
      </w:r>
    </w:p>
    <w:p w14:paraId="3FBAA336" w14:textId="77777777" w:rsidR="00014493" w:rsidRPr="0003125A" w:rsidRDefault="00014493" w:rsidP="00014493">
      <w:pPr>
        <w:pStyle w:val="FootnoteText"/>
        <w:rPr>
          <w:rFonts w:ascii="Arial" w:hAnsi="Arial" w:cs="Arial"/>
          <w:lang w:val="en-US"/>
        </w:rPr>
      </w:pPr>
    </w:p>
    <w:p w14:paraId="7614368A"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Buffard I and Zemanek K, “The ‘Object and Purpose’ of a Treaty: An Enigma?”, 3 </w:t>
      </w:r>
      <w:r w:rsidRPr="0003125A">
        <w:rPr>
          <w:rFonts w:ascii="Arial" w:hAnsi="Arial" w:cs="Arial"/>
          <w:i/>
          <w:iCs/>
          <w:lang w:val="en-US"/>
        </w:rPr>
        <w:t xml:space="preserve">Austrian Review of International and European Law </w:t>
      </w:r>
      <w:r w:rsidRPr="0003125A">
        <w:rPr>
          <w:rFonts w:ascii="Arial" w:hAnsi="Arial" w:cs="Arial"/>
          <w:lang w:val="en-US"/>
        </w:rPr>
        <w:t>(1998)</w:t>
      </w:r>
    </w:p>
    <w:p w14:paraId="007D49DE" w14:textId="77777777" w:rsidR="00014493" w:rsidRPr="0003125A" w:rsidRDefault="00014493" w:rsidP="00014493">
      <w:pPr>
        <w:pStyle w:val="FootnoteText"/>
        <w:rPr>
          <w:rFonts w:ascii="Arial" w:hAnsi="Arial" w:cs="Arial"/>
          <w:lang w:val="en-US"/>
        </w:rPr>
      </w:pPr>
    </w:p>
    <w:p w14:paraId="61877554" w14:textId="77777777" w:rsidR="00014493" w:rsidRPr="0003125A" w:rsidRDefault="00014493" w:rsidP="00014493">
      <w:pPr>
        <w:pStyle w:val="FootnoteText"/>
        <w:rPr>
          <w:rFonts w:ascii="Arial" w:hAnsi="Arial" w:cs="Arial"/>
          <w:i/>
          <w:color w:val="FF0000"/>
        </w:rPr>
      </w:pPr>
      <w:r w:rsidRPr="0003125A">
        <w:rPr>
          <w:rFonts w:ascii="Arial" w:hAnsi="Arial" w:cs="Arial"/>
          <w:lang w:val="en-US"/>
        </w:rPr>
        <w:t xml:space="preserve">Dupuy P-M, ‘The Danger of Fragmentation or Unification of the International Legal System and the International Court of Justice’, 31 </w:t>
      </w:r>
      <w:r w:rsidRPr="0003125A">
        <w:rPr>
          <w:rFonts w:ascii="Arial" w:hAnsi="Arial" w:cs="Arial"/>
          <w:i/>
        </w:rPr>
        <w:t>New York University Journal of International Law and Politics</w:t>
      </w:r>
      <w:r w:rsidRPr="0003125A">
        <w:rPr>
          <w:rFonts w:ascii="Arial" w:hAnsi="Arial" w:cs="Arial"/>
          <w:i/>
          <w:lang w:val="en-US"/>
        </w:rPr>
        <w:t xml:space="preserve"> </w:t>
      </w:r>
      <w:r w:rsidRPr="0003125A">
        <w:rPr>
          <w:rFonts w:ascii="Arial" w:hAnsi="Arial" w:cs="Arial"/>
          <w:lang w:val="en-US"/>
        </w:rPr>
        <w:t>791, 798–801 (1999)</w:t>
      </w:r>
    </w:p>
    <w:p w14:paraId="24AD13C0" w14:textId="77777777" w:rsidR="00014493" w:rsidRPr="0003125A" w:rsidRDefault="00014493" w:rsidP="00014493">
      <w:pPr>
        <w:pStyle w:val="FootnoteText"/>
        <w:rPr>
          <w:rFonts w:ascii="Arial" w:hAnsi="Arial" w:cs="Arial"/>
          <w:lang w:val="en-US"/>
        </w:rPr>
      </w:pPr>
    </w:p>
    <w:p w14:paraId="1EDB71D6" w14:textId="77777777" w:rsidR="00014493" w:rsidRPr="0003125A" w:rsidRDefault="00014493" w:rsidP="00014493">
      <w:pPr>
        <w:pStyle w:val="FootnoteText"/>
        <w:rPr>
          <w:rFonts w:ascii="Arial" w:hAnsi="Arial" w:cs="Arial"/>
          <w:i/>
          <w:color w:val="FF0000"/>
        </w:rPr>
      </w:pPr>
      <w:r w:rsidRPr="0003125A">
        <w:rPr>
          <w:rFonts w:ascii="Arial" w:hAnsi="Arial" w:cs="Arial"/>
          <w:lang w:val="en-US"/>
        </w:rPr>
        <w:t xml:space="preserve">Edwards R Jr., ‘Reservations to Treaties’ (1989) 10 </w:t>
      </w:r>
      <w:r w:rsidRPr="0003125A">
        <w:rPr>
          <w:rFonts w:ascii="Arial" w:hAnsi="Arial" w:cs="Arial"/>
          <w:bCs/>
          <w:i/>
          <w:iCs/>
        </w:rPr>
        <w:t>Melbourne Journal of International Law</w:t>
      </w:r>
      <w:r w:rsidRPr="0003125A">
        <w:rPr>
          <w:rFonts w:ascii="Arial" w:hAnsi="Arial" w:cs="Arial"/>
          <w:lang w:val="en-US"/>
        </w:rPr>
        <w:t xml:space="preserve"> 362</w:t>
      </w:r>
    </w:p>
    <w:p w14:paraId="63AAE459" w14:textId="77777777" w:rsidR="00014493" w:rsidRPr="0003125A" w:rsidRDefault="00014493" w:rsidP="00014493">
      <w:pPr>
        <w:pStyle w:val="FootnoteText"/>
        <w:rPr>
          <w:rFonts w:ascii="Arial" w:hAnsi="Arial" w:cs="Arial"/>
          <w:lang w:val="en-US"/>
        </w:rPr>
      </w:pPr>
    </w:p>
    <w:p w14:paraId="2E0720B8" w14:textId="77777777" w:rsidR="00014493" w:rsidRPr="0003125A" w:rsidRDefault="00014493" w:rsidP="00014493">
      <w:pPr>
        <w:pStyle w:val="FootnoteText"/>
        <w:rPr>
          <w:rFonts w:ascii="Arial" w:hAnsi="Arial" w:cs="Arial"/>
        </w:rPr>
      </w:pPr>
      <w:r w:rsidRPr="0003125A">
        <w:rPr>
          <w:rFonts w:ascii="Arial" w:hAnsi="Arial" w:cs="Arial"/>
          <w:lang w:val="en-US"/>
        </w:rPr>
        <w:t>Fon V &amp; Parisi F</w:t>
      </w:r>
      <w:r w:rsidRPr="0003125A">
        <w:rPr>
          <w:rFonts w:ascii="Arial" w:hAnsi="Arial" w:cs="Arial"/>
        </w:rPr>
        <w:t>, ‘</w:t>
      </w:r>
      <w:r w:rsidRPr="0003125A">
        <w:rPr>
          <w:rFonts w:ascii="Arial" w:hAnsi="Arial" w:cs="Arial"/>
          <w:lang w:val="en-US"/>
        </w:rPr>
        <w:t xml:space="preserve">The Hidden Bias of the Vienna Convention on the International Law of Treaties’, </w:t>
      </w:r>
      <w:r w:rsidRPr="0003125A">
        <w:rPr>
          <w:rFonts w:ascii="Arial" w:hAnsi="Arial" w:cs="Arial"/>
          <w:i/>
          <w:lang w:val="en-US"/>
        </w:rPr>
        <w:t>Review of Law and Economics</w:t>
      </w:r>
      <w:r w:rsidRPr="0003125A">
        <w:rPr>
          <w:rFonts w:ascii="Arial" w:hAnsi="Arial" w:cs="Arial"/>
          <w:lang w:val="en-US"/>
        </w:rPr>
        <w:t xml:space="preserve"> (2008) </w:t>
      </w:r>
      <w:r w:rsidRPr="0003125A">
        <w:rPr>
          <w:rFonts w:ascii="Arial" w:hAnsi="Arial" w:cs="Arial"/>
        </w:rPr>
        <w:t>4:1</w:t>
      </w:r>
    </w:p>
    <w:p w14:paraId="627F0C62" w14:textId="77777777" w:rsidR="00014493" w:rsidRPr="0003125A" w:rsidRDefault="00014493" w:rsidP="00014493">
      <w:pPr>
        <w:pStyle w:val="FootnoteText"/>
        <w:rPr>
          <w:rFonts w:ascii="Arial" w:hAnsi="Arial" w:cs="Arial"/>
        </w:rPr>
      </w:pPr>
    </w:p>
    <w:p w14:paraId="3F0AE7C4"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Ghandhi P R, ‘Human Rights and the International Court of Justice in the </w:t>
      </w:r>
      <w:r w:rsidRPr="0003125A">
        <w:rPr>
          <w:rFonts w:ascii="Arial" w:hAnsi="Arial" w:cs="Arial"/>
          <w:i/>
          <w:iCs/>
          <w:lang w:val="en-US"/>
        </w:rPr>
        <w:t xml:space="preserve">Ahmadou Sadio Diallo </w:t>
      </w:r>
      <w:r w:rsidRPr="0003125A">
        <w:rPr>
          <w:rFonts w:ascii="Arial" w:hAnsi="Arial" w:cs="Arial"/>
          <w:lang w:val="en-US"/>
        </w:rPr>
        <w:t xml:space="preserve">Case’, </w:t>
      </w:r>
      <w:r w:rsidRPr="0003125A">
        <w:rPr>
          <w:rFonts w:ascii="Arial" w:hAnsi="Arial" w:cs="Arial"/>
          <w:i/>
          <w:iCs/>
          <w:lang w:val="en-US"/>
        </w:rPr>
        <w:t xml:space="preserve">Human Rights Law Review </w:t>
      </w:r>
      <w:r w:rsidRPr="0003125A">
        <w:rPr>
          <w:rFonts w:ascii="Arial" w:hAnsi="Arial" w:cs="Arial"/>
          <w:lang w:val="en-US"/>
        </w:rPr>
        <w:t>11, 3 (2011)</w:t>
      </w:r>
    </w:p>
    <w:p w14:paraId="206A0DB7" w14:textId="77777777" w:rsidR="00014493" w:rsidRPr="0003125A" w:rsidRDefault="00014493" w:rsidP="00014493">
      <w:pPr>
        <w:pStyle w:val="FootnoteText"/>
        <w:rPr>
          <w:rFonts w:ascii="Arial" w:hAnsi="Arial" w:cs="Arial"/>
          <w:lang w:val="en-US"/>
        </w:rPr>
      </w:pPr>
    </w:p>
    <w:p w14:paraId="1F9CF236"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Goodman R, ‘Human Rights Treaties, Invalid Reservations, and State Consent’ (2002) 96 </w:t>
      </w:r>
      <w:r w:rsidRPr="0003125A">
        <w:rPr>
          <w:rFonts w:ascii="Arial" w:hAnsi="Arial" w:cs="Arial"/>
          <w:bCs/>
          <w:i/>
          <w:iCs/>
        </w:rPr>
        <w:t>American Journal of International Law</w:t>
      </w:r>
      <w:r w:rsidRPr="0003125A">
        <w:rPr>
          <w:rFonts w:ascii="Arial" w:hAnsi="Arial" w:cs="Arial"/>
          <w:i/>
          <w:color w:val="FF0000"/>
          <w:lang w:val="en-US"/>
        </w:rPr>
        <w:t xml:space="preserve"> </w:t>
      </w:r>
      <w:r w:rsidRPr="0003125A">
        <w:rPr>
          <w:rFonts w:ascii="Arial" w:hAnsi="Arial" w:cs="Arial"/>
          <w:lang w:val="en-US"/>
        </w:rPr>
        <w:t xml:space="preserve">531 </w:t>
      </w:r>
    </w:p>
    <w:p w14:paraId="6304B517" w14:textId="77777777" w:rsidR="00014493" w:rsidRPr="0003125A" w:rsidRDefault="00014493" w:rsidP="00014493">
      <w:pPr>
        <w:pStyle w:val="FootnoteText"/>
        <w:rPr>
          <w:rFonts w:ascii="Arial" w:hAnsi="Arial" w:cs="Arial"/>
          <w:lang w:val="en-US"/>
        </w:rPr>
      </w:pPr>
    </w:p>
    <w:p w14:paraId="46A42B64"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Greig D.W, ‘Reciprocity, Proportionality, and the Law of Treaties’, 34 </w:t>
      </w:r>
      <w:r w:rsidRPr="0003125A">
        <w:rPr>
          <w:rFonts w:ascii="Arial" w:hAnsi="Arial" w:cs="Arial"/>
          <w:i/>
          <w:iCs/>
          <w:lang w:val="en-US"/>
        </w:rPr>
        <w:t xml:space="preserve">Virginia Journal of International Law </w:t>
      </w:r>
      <w:r w:rsidRPr="0003125A">
        <w:rPr>
          <w:rFonts w:ascii="Arial" w:hAnsi="Arial" w:cs="Arial"/>
          <w:lang w:val="en-US"/>
        </w:rPr>
        <w:t>(1994)</w:t>
      </w:r>
    </w:p>
    <w:p w14:paraId="232174B8" w14:textId="77777777" w:rsidR="00014493" w:rsidRPr="0003125A" w:rsidRDefault="00014493" w:rsidP="00014493">
      <w:pPr>
        <w:pStyle w:val="FootnoteText"/>
        <w:rPr>
          <w:rFonts w:ascii="Arial" w:hAnsi="Arial" w:cs="Arial"/>
          <w:lang w:val="en-US"/>
        </w:rPr>
      </w:pPr>
    </w:p>
    <w:p w14:paraId="55878511" w14:textId="77777777" w:rsidR="00014493" w:rsidRPr="0003125A" w:rsidRDefault="00014493" w:rsidP="00014493">
      <w:pPr>
        <w:pStyle w:val="FootnoteText"/>
        <w:rPr>
          <w:rFonts w:ascii="Arial" w:hAnsi="Arial" w:cs="Arial"/>
        </w:rPr>
      </w:pPr>
      <w:r w:rsidRPr="0003125A">
        <w:rPr>
          <w:rFonts w:ascii="Arial" w:hAnsi="Arial" w:cs="Arial"/>
        </w:rPr>
        <w:t>Helfer L R, ‘Overlegalizing Human Rights: International Relations Theory and the Commonwealth Caribbean Backlash Against Human Rights Regimes’, 102 </w:t>
      </w:r>
      <w:r w:rsidRPr="0003125A">
        <w:rPr>
          <w:rFonts w:ascii="Arial" w:hAnsi="Arial" w:cs="Arial"/>
          <w:i/>
          <w:iCs/>
        </w:rPr>
        <w:t>Columbia Law Review</w:t>
      </w:r>
      <w:r w:rsidRPr="0003125A">
        <w:rPr>
          <w:rFonts w:ascii="Arial" w:hAnsi="Arial" w:cs="Arial"/>
        </w:rPr>
        <w:t xml:space="preserve"> (2002) 1832-1911 </w:t>
      </w:r>
    </w:p>
    <w:p w14:paraId="4B08CF4B" w14:textId="77777777" w:rsidR="00014493" w:rsidRPr="0003125A" w:rsidRDefault="00014493" w:rsidP="00014493">
      <w:pPr>
        <w:pStyle w:val="FootnoteText"/>
        <w:rPr>
          <w:rFonts w:ascii="Arial" w:hAnsi="Arial" w:cs="Arial"/>
          <w:lang w:val="en-US"/>
        </w:rPr>
      </w:pPr>
    </w:p>
    <w:p w14:paraId="2C053C3A" w14:textId="77777777" w:rsidR="00014493" w:rsidRPr="0003125A" w:rsidRDefault="00014493" w:rsidP="00014493">
      <w:pPr>
        <w:pStyle w:val="FootnoteText"/>
        <w:rPr>
          <w:rFonts w:ascii="Arial" w:hAnsi="Arial" w:cs="Arial"/>
        </w:rPr>
      </w:pPr>
      <w:r w:rsidRPr="0003125A">
        <w:rPr>
          <w:rFonts w:ascii="Arial" w:hAnsi="Arial" w:cs="Arial"/>
        </w:rPr>
        <w:t xml:space="preserve">Henkin L, ‘US Ratification of Human Rights Conventions: The Ghost of Senator Bricker’, 89 </w:t>
      </w:r>
      <w:r w:rsidRPr="0003125A">
        <w:rPr>
          <w:rFonts w:ascii="Arial" w:hAnsi="Arial" w:cs="Arial"/>
          <w:i/>
        </w:rPr>
        <w:t xml:space="preserve">American Journal of International Law </w:t>
      </w:r>
      <w:r w:rsidRPr="0003125A">
        <w:rPr>
          <w:rFonts w:ascii="Arial" w:hAnsi="Arial" w:cs="Arial"/>
        </w:rPr>
        <w:t>(1995)</w:t>
      </w:r>
    </w:p>
    <w:p w14:paraId="5FE43796" w14:textId="77777777" w:rsidR="00014493" w:rsidRPr="0003125A" w:rsidRDefault="00014493" w:rsidP="00014493">
      <w:pPr>
        <w:pStyle w:val="FootnoteText"/>
        <w:rPr>
          <w:rFonts w:ascii="Arial" w:hAnsi="Arial" w:cs="Arial"/>
        </w:rPr>
      </w:pPr>
    </w:p>
    <w:p w14:paraId="51357060" w14:textId="77777777" w:rsidR="00014493" w:rsidRPr="0003125A" w:rsidRDefault="00014493" w:rsidP="00014493">
      <w:pPr>
        <w:pStyle w:val="FootnoteText"/>
        <w:rPr>
          <w:rFonts w:ascii="Arial" w:hAnsi="Arial" w:cs="Arial"/>
          <w:lang w:val="en-US"/>
        </w:rPr>
      </w:pPr>
      <w:r w:rsidRPr="0003125A">
        <w:rPr>
          <w:rFonts w:ascii="Arial" w:hAnsi="Arial" w:cs="Arial"/>
        </w:rPr>
        <w:t xml:space="preserve">Higgins R, ‘The ICJ, the ECJ and the Integrity of International Law’ (2003) 52 </w:t>
      </w:r>
      <w:r w:rsidRPr="0003125A">
        <w:rPr>
          <w:rFonts w:ascii="Arial" w:hAnsi="Arial" w:cs="Arial"/>
          <w:bCs/>
          <w:i/>
          <w:iCs/>
        </w:rPr>
        <w:t>International Comparative Law Quarterly</w:t>
      </w:r>
      <w:r w:rsidRPr="0003125A">
        <w:rPr>
          <w:rFonts w:ascii="Arial" w:hAnsi="Arial" w:cs="Arial"/>
        </w:rPr>
        <w:t xml:space="preserve"> 1</w:t>
      </w:r>
    </w:p>
    <w:p w14:paraId="0A24E886" w14:textId="77777777" w:rsidR="00014493" w:rsidRPr="0003125A" w:rsidRDefault="00014493" w:rsidP="00014493">
      <w:pPr>
        <w:pStyle w:val="FootnoteText"/>
        <w:rPr>
          <w:rFonts w:ascii="Arial" w:hAnsi="Arial" w:cs="Arial"/>
        </w:rPr>
      </w:pPr>
    </w:p>
    <w:p w14:paraId="44F90165"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Hylton D.N, ‘Default Breakdown: The Vienna Convention on the Law of Treaties’ Inadequate Framework on Reservations’, 27 </w:t>
      </w:r>
      <w:r w:rsidRPr="0003125A">
        <w:rPr>
          <w:rFonts w:ascii="Arial" w:hAnsi="Arial" w:cs="Arial"/>
          <w:i/>
          <w:iCs/>
          <w:lang w:val="en-US"/>
        </w:rPr>
        <w:t xml:space="preserve">Vanderbilt Journal of Transnational Law </w:t>
      </w:r>
      <w:r w:rsidRPr="0003125A">
        <w:rPr>
          <w:rFonts w:ascii="Arial" w:hAnsi="Arial" w:cs="Arial"/>
          <w:lang w:val="en-US"/>
        </w:rPr>
        <w:t>(1994)</w:t>
      </w:r>
    </w:p>
    <w:p w14:paraId="1FB759AF" w14:textId="77777777" w:rsidR="00014493" w:rsidRPr="0003125A" w:rsidRDefault="00014493" w:rsidP="00014493">
      <w:pPr>
        <w:pStyle w:val="FootnoteText"/>
        <w:rPr>
          <w:rFonts w:ascii="Arial" w:hAnsi="Arial" w:cs="Arial"/>
          <w:lang w:val="en-US"/>
        </w:rPr>
      </w:pPr>
    </w:p>
    <w:p w14:paraId="57F847D1" w14:textId="77777777" w:rsidR="00014493" w:rsidRPr="0003125A" w:rsidRDefault="00014493" w:rsidP="00014493">
      <w:pPr>
        <w:pStyle w:val="FootnoteText"/>
        <w:rPr>
          <w:rFonts w:ascii="Arial" w:hAnsi="Arial" w:cs="Arial"/>
          <w:color w:val="000000"/>
        </w:rPr>
      </w:pPr>
      <w:r w:rsidRPr="0003125A">
        <w:rPr>
          <w:rFonts w:ascii="Arial" w:hAnsi="Arial" w:cs="Arial"/>
        </w:rPr>
        <w:t>Imbert P-H, ‘La question des r</w:t>
      </w:r>
      <w:r w:rsidRPr="0003125A">
        <w:rPr>
          <w:rFonts w:ascii="Arial" w:hAnsi="Arial" w:cs="Arial"/>
          <w:color w:val="000000"/>
        </w:rPr>
        <w:t>é</w:t>
      </w:r>
      <w:r w:rsidRPr="0003125A">
        <w:rPr>
          <w:rFonts w:ascii="Arial" w:hAnsi="Arial" w:cs="Arial"/>
        </w:rPr>
        <w:t>serves dans la decision</w:t>
      </w:r>
      <w:r w:rsidRPr="0003125A">
        <w:rPr>
          <w:rFonts w:ascii="Arial" w:hAnsi="Arial" w:cs="Arial"/>
          <w:color w:val="000000"/>
        </w:rPr>
        <w:t xml:space="preserve"> arbitrale du 30 juin 1977 relative à la délimitation du plateau continental entre la République française et le </w:t>
      </w:r>
    </w:p>
    <w:p w14:paraId="6AE8146F" w14:textId="77777777" w:rsidR="00014493" w:rsidRPr="0003125A" w:rsidRDefault="00014493" w:rsidP="00014493">
      <w:pPr>
        <w:pStyle w:val="FootnoteText"/>
        <w:rPr>
          <w:rFonts w:ascii="Arial" w:hAnsi="Arial" w:cs="Arial"/>
          <w:color w:val="000000"/>
        </w:rPr>
      </w:pPr>
    </w:p>
    <w:p w14:paraId="6464DBA9" w14:textId="77777777" w:rsidR="00014493" w:rsidRPr="0003125A" w:rsidRDefault="00014493" w:rsidP="00014493">
      <w:pPr>
        <w:pStyle w:val="FootnoteText"/>
        <w:rPr>
          <w:rFonts w:ascii="Arial" w:hAnsi="Arial" w:cs="Arial"/>
          <w:i/>
          <w:iCs/>
          <w:color w:val="FF0000"/>
        </w:rPr>
      </w:pPr>
      <w:r w:rsidRPr="0003125A">
        <w:rPr>
          <w:rFonts w:ascii="Arial" w:hAnsi="Arial" w:cs="Arial"/>
          <w:lang w:val="en-US"/>
        </w:rPr>
        <w:t xml:space="preserve">Jennings R, ‘The Judiciary, International and National, and the Development of International Law’ (1996) 45 </w:t>
      </w:r>
      <w:r w:rsidRPr="0003125A">
        <w:rPr>
          <w:rFonts w:ascii="Arial" w:hAnsi="Arial" w:cs="Arial"/>
          <w:bCs/>
          <w:i/>
          <w:iCs/>
        </w:rPr>
        <w:t>International Comparative Law Quarterly</w:t>
      </w:r>
      <w:r w:rsidRPr="0003125A">
        <w:rPr>
          <w:rFonts w:ascii="Arial" w:hAnsi="Arial" w:cs="Arial"/>
          <w:i/>
          <w:iCs/>
          <w:lang w:val="en-US"/>
        </w:rPr>
        <w:t xml:space="preserve"> </w:t>
      </w:r>
      <w:r w:rsidRPr="0003125A">
        <w:rPr>
          <w:rFonts w:ascii="Arial" w:hAnsi="Arial" w:cs="Arial"/>
          <w:lang w:val="en-US"/>
        </w:rPr>
        <w:t>1</w:t>
      </w:r>
    </w:p>
    <w:p w14:paraId="0C4BCD9F" w14:textId="77777777" w:rsidR="00014493" w:rsidRPr="0003125A" w:rsidRDefault="00014493" w:rsidP="00014493">
      <w:pPr>
        <w:pStyle w:val="FootnoteText"/>
        <w:rPr>
          <w:rFonts w:ascii="Arial" w:hAnsi="Arial" w:cs="Arial"/>
          <w:lang w:val="en-US"/>
        </w:rPr>
      </w:pPr>
    </w:p>
    <w:p w14:paraId="531BFD77" w14:textId="77777777" w:rsidR="00014493" w:rsidRPr="0003125A" w:rsidRDefault="00014493" w:rsidP="00014493">
      <w:pPr>
        <w:pStyle w:val="FootnoteText"/>
        <w:rPr>
          <w:rFonts w:ascii="Arial" w:hAnsi="Arial" w:cs="Arial"/>
          <w:color w:val="000000"/>
        </w:rPr>
      </w:pPr>
      <w:r w:rsidRPr="0003125A">
        <w:rPr>
          <w:rFonts w:ascii="Arial" w:hAnsi="Arial" w:cs="Arial"/>
          <w:color w:val="000000"/>
        </w:rPr>
        <w:t xml:space="preserve">Jennings R, ‘The Proliferation of Adjudicatory Bodies: Dangers and Possible Answers’ in </w:t>
      </w:r>
      <w:r w:rsidRPr="0003125A">
        <w:rPr>
          <w:rFonts w:ascii="Arial" w:hAnsi="Arial" w:cs="Arial"/>
          <w:i/>
          <w:color w:val="000000"/>
        </w:rPr>
        <w:t>Implications of the Proliferation of International Adjudicatory Bodies for Dispute Resolution</w:t>
      </w:r>
      <w:r w:rsidRPr="0003125A">
        <w:rPr>
          <w:rFonts w:ascii="Arial" w:hAnsi="Arial" w:cs="Arial"/>
          <w:color w:val="000000"/>
        </w:rPr>
        <w:t xml:space="preserve"> (ASIL Bulletin No. 9: Educational Resources on International Law 1995) </w:t>
      </w:r>
    </w:p>
    <w:p w14:paraId="73D79A9D" w14:textId="77777777" w:rsidR="00014493" w:rsidRPr="0003125A" w:rsidRDefault="00014493" w:rsidP="00014493">
      <w:pPr>
        <w:pStyle w:val="FootnoteText"/>
        <w:rPr>
          <w:rFonts w:ascii="Arial" w:hAnsi="Arial" w:cs="Arial"/>
          <w:color w:val="000000"/>
        </w:rPr>
      </w:pPr>
    </w:p>
    <w:p w14:paraId="315377D1" w14:textId="77777777" w:rsidR="00014493" w:rsidRPr="0003125A" w:rsidRDefault="00014493" w:rsidP="00014493">
      <w:pPr>
        <w:pStyle w:val="FootnoteText"/>
        <w:rPr>
          <w:rFonts w:ascii="Arial" w:hAnsi="Arial" w:cs="Arial"/>
          <w:color w:val="000000"/>
        </w:rPr>
      </w:pPr>
      <w:r w:rsidRPr="0003125A">
        <w:rPr>
          <w:rFonts w:ascii="Arial" w:hAnsi="Arial" w:cs="Arial"/>
          <w:color w:val="000000"/>
        </w:rPr>
        <w:t xml:space="preserve">Jones H and Wachala K, “Watching Over the Rights of Women,” </w:t>
      </w:r>
      <w:r w:rsidRPr="0003125A">
        <w:rPr>
          <w:rFonts w:ascii="Arial" w:hAnsi="Arial" w:cs="Arial"/>
          <w:i/>
          <w:iCs/>
          <w:color w:val="000000"/>
        </w:rPr>
        <w:t>Social Policy and Society</w:t>
      </w:r>
      <w:r w:rsidRPr="0003125A">
        <w:rPr>
          <w:rFonts w:ascii="Arial" w:hAnsi="Arial" w:cs="Arial"/>
          <w:color w:val="000000"/>
        </w:rPr>
        <w:t xml:space="preserve">, 5:1 (Cambridge: Cambridge University Press 2006) </w:t>
      </w:r>
    </w:p>
    <w:p w14:paraId="6A284D49" w14:textId="77777777" w:rsidR="00014493" w:rsidRPr="0003125A" w:rsidRDefault="00014493" w:rsidP="00014493">
      <w:pPr>
        <w:pStyle w:val="FootnoteText"/>
        <w:rPr>
          <w:rFonts w:ascii="Arial" w:hAnsi="Arial" w:cs="Arial"/>
          <w:color w:val="000000"/>
        </w:rPr>
      </w:pPr>
    </w:p>
    <w:p w14:paraId="2729EAD9" w14:textId="77777777" w:rsidR="00014493" w:rsidRPr="0003125A" w:rsidRDefault="00014493" w:rsidP="00014493">
      <w:pPr>
        <w:pStyle w:val="FootnoteText"/>
        <w:rPr>
          <w:rFonts w:ascii="Arial" w:hAnsi="Arial" w:cs="Arial"/>
          <w:i/>
          <w:color w:val="FF0000"/>
        </w:rPr>
      </w:pPr>
      <w:r w:rsidRPr="0003125A">
        <w:rPr>
          <w:rFonts w:ascii="Arial" w:hAnsi="Arial" w:cs="Arial"/>
        </w:rPr>
        <w:t>Klabbers J, ‘</w:t>
      </w:r>
      <w:r w:rsidRPr="0003125A">
        <w:rPr>
          <w:rFonts w:ascii="Arial" w:hAnsi="Arial" w:cs="Arial"/>
          <w:bCs/>
          <w:lang w:val="en-US"/>
        </w:rPr>
        <w:t>Accepting the Unacceptable? A New Nordic Approach to Reservations to Multilateral Treaties’</w:t>
      </w:r>
      <w:r w:rsidRPr="0003125A">
        <w:rPr>
          <w:rFonts w:ascii="Arial" w:hAnsi="Arial" w:cs="Arial"/>
        </w:rPr>
        <w:t xml:space="preserve">, 69 </w:t>
      </w:r>
      <w:r w:rsidRPr="0003125A">
        <w:rPr>
          <w:rFonts w:ascii="Arial" w:hAnsi="Arial" w:cs="Arial"/>
          <w:i/>
        </w:rPr>
        <w:t>Nordic Journal of International </w:t>
      </w:r>
      <w:r w:rsidRPr="0003125A">
        <w:rPr>
          <w:rFonts w:ascii="Arial" w:hAnsi="Arial" w:cs="Arial"/>
          <w:bCs/>
          <w:i/>
        </w:rPr>
        <w:t>Law</w:t>
      </w:r>
      <w:r w:rsidRPr="0003125A">
        <w:rPr>
          <w:rFonts w:ascii="Arial" w:hAnsi="Arial" w:cs="Arial"/>
          <w:i/>
        </w:rPr>
        <w:t xml:space="preserve"> </w:t>
      </w:r>
      <w:r w:rsidRPr="0003125A">
        <w:rPr>
          <w:rFonts w:ascii="Arial" w:hAnsi="Arial" w:cs="Arial"/>
        </w:rPr>
        <w:t>(2000)</w:t>
      </w:r>
    </w:p>
    <w:p w14:paraId="0E234DF1" w14:textId="77777777" w:rsidR="00014493" w:rsidRPr="0003125A" w:rsidRDefault="00014493" w:rsidP="00014493">
      <w:pPr>
        <w:pStyle w:val="FootnoteText"/>
        <w:rPr>
          <w:rFonts w:ascii="Arial" w:hAnsi="Arial" w:cs="Arial"/>
        </w:rPr>
      </w:pPr>
    </w:p>
    <w:p w14:paraId="7B71D87C"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Klabbers J, ‘Re-Inventing the Law of Treaties: The Contribution of the EC Courts’, 30 </w:t>
      </w:r>
      <w:r w:rsidRPr="0003125A">
        <w:rPr>
          <w:rFonts w:ascii="Arial" w:hAnsi="Arial" w:cs="Arial"/>
          <w:i/>
          <w:iCs/>
          <w:sz w:val="24"/>
          <w:szCs w:val="24"/>
          <w:lang w:val="en-US"/>
        </w:rPr>
        <w:t xml:space="preserve">Netherlands Yearbook of International Law </w:t>
      </w:r>
      <w:r w:rsidRPr="0003125A">
        <w:rPr>
          <w:rFonts w:ascii="Arial" w:hAnsi="Arial" w:cs="Arial"/>
          <w:sz w:val="24"/>
          <w:szCs w:val="24"/>
          <w:lang w:val="en-US"/>
        </w:rPr>
        <w:t>(1999)</w:t>
      </w:r>
    </w:p>
    <w:p w14:paraId="598B0741"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Klabbers J, “Some Problems Regarding the Object and Purpose of Treaties”, 8 </w:t>
      </w:r>
      <w:r w:rsidRPr="0003125A">
        <w:rPr>
          <w:rFonts w:ascii="Arial" w:hAnsi="Arial" w:cs="Arial"/>
          <w:i/>
          <w:iCs/>
          <w:lang w:val="en-US"/>
        </w:rPr>
        <w:t xml:space="preserve">Finnish Yearbook of International Law </w:t>
      </w:r>
      <w:r w:rsidRPr="0003125A">
        <w:rPr>
          <w:rFonts w:ascii="Arial" w:hAnsi="Arial" w:cs="Arial"/>
          <w:lang w:val="en-US"/>
        </w:rPr>
        <w:t>(1997)</w:t>
      </w:r>
    </w:p>
    <w:p w14:paraId="45A22C58" w14:textId="77777777" w:rsidR="00014493" w:rsidRPr="0003125A" w:rsidRDefault="00014493" w:rsidP="00014493">
      <w:pPr>
        <w:pStyle w:val="FootnoteText"/>
        <w:rPr>
          <w:rFonts w:ascii="Arial" w:hAnsi="Arial" w:cs="Arial"/>
          <w:lang w:val="en-US"/>
        </w:rPr>
      </w:pPr>
    </w:p>
    <w:p w14:paraId="798BFCBD" w14:textId="77777777" w:rsidR="00014493" w:rsidRPr="0003125A" w:rsidRDefault="00014493" w:rsidP="00014493">
      <w:pPr>
        <w:pStyle w:val="FootnoteText"/>
        <w:rPr>
          <w:rFonts w:ascii="Arial" w:hAnsi="Arial" w:cs="Arial"/>
        </w:rPr>
      </w:pPr>
      <w:r w:rsidRPr="0003125A">
        <w:rPr>
          <w:rFonts w:ascii="Arial" w:hAnsi="Arial" w:cs="Arial"/>
        </w:rPr>
        <w:t xml:space="preserve">Korkelia K, ‘New Challenges to the Regime of Reservations under the International Covenant on Civil and Political Rights’, </w:t>
      </w:r>
      <w:r w:rsidRPr="0003125A">
        <w:rPr>
          <w:rFonts w:ascii="Arial" w:hAnsi="Arial" w:cs="Arial"/>
          <w:i/>
        </w:rPr>
        <w:t>European Journal of International Law</w:t>
      </w:r>
      <w:r w:rsidRPr="0003125A">
        <w:rPr>
          <w:rFonts w:ascii="Arial" w:hAnsi="Arial" w:cs="Arial"/>
        </w:rPr>
        <w:t xml:space="preserve"> (2002) 13:2</w:t>
      </w:r>
    </w:p>
    <w:p w14:paraId="0A6BD786" w14:textId="77777777" w:rsidR="00014493" w:rsidRPr="0003125A" w:rsidRDefault="00014493" w:rsidP="00014493">
      <w:pPr>
        <w:pStyle w:val="FootnoteText"/>
        <w:rPr>
          <w:rFonts w:ascii="Arial" w:hAnsi="Arial" w:cs="Arial"/>
        </w:rPr>
      </w:pPr>
    </w:p>
    <w:p w14:paraId="6637E2B4"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Koskenniemi M, ‘The Case for Comparative International Law’ (2009) 20 </w:t>
      </w:r>
      <w:r w:rsidRPr="0003125A">
        <w:rPr>
          <w:rFonts w:ascii="Arial" w:hAnsi="Arial" w:cs="Arial"/>
          <w:i/>
          <w:iCs/>
          <w:lang w:val="en-US"/>
        </w:rPr>
        <w:t xml:space="preserve">Finnish Yearbook of International Law </w:t>
      </w:r>
      <w:r w:rsidRPr="0003125A">
        <w:rPr>
          <w:rFonts w:ascii="Arial" w:hAnsi="Arial" w:cs="Arial"/>
          <w:lang w:val="en-US"/>
        </w:rPr>
        <w:t>5</w:t>
      </w:r>
    </w:p>
    <w:p w14:paraId="090107FC" w14:textId="77777777" w:rsidR="00014493" w:rsidRPr="0003125A" w:rsidRDefault="00014493" w:rsidP="00014493">
      <w:pPr>
        <w:pStyle w:val="FootnoteText"/>
        <w:rPr>
          <w:rFonts w:ascii="Arial" w:hAnsi="Arial" w:cs="Arial"/>
          <w:lang w:val="en-US"/>
        </w:rPr>
      </w:pPr>
    </w:p>
    <w:p w14:paraId="079BF3F1" w14:textId="77777777" w:rsidR="00014493" w:rsidRPr="0003125A" w:rsidRDefault="00014493" w:rsidP="00014493">
      <w:pPr>
        <w:pStyle w:val="FootnoteText"/>
        <w:rPr>
          <w:rFonts w:ascii="Arial" w:hAnsi="Arial" w:cs="Arial"/>
        </w:rPr>
      </w:pPr>
      <w:r w:rsidRPr="0003125A">
        <w:rPr>
          <w:rFonts w:ascii="Arial" w:hAnsi="Arial" w:cs="Arial"/>
        </w:rPr>
        <w:t>Lauterpacht H, ‘Some Possible Solutions of the Problem of Reservations to Treaties’ (1953) 39 GST 97</w:t>
      </w:r>
    </w:p>
    <w:p w14:paraId="04EA0A2B" w14:textId="77777777" w:rsidR="00014493" w:rsidRPr="0003125A" w:rsidRDefault="00014493" w:rsidP="00014493">
      <w:pPr>
        <w:pStyle w:val="FootnoteText"/>
        <w:rPr>
          <w:rFonts w:ascii="Arial" w:hAnsi="Arial" w:cs="Arial"/>
          <w:lang w:val="en-US"/>
        </w:rPr>
      </w:pPr>
    </w:p>
    <w:p w14:paraId="2194CE24" w14:textId="77777777" w:rsidR="00014493" w:rsidRPr="0003125A" w:rsidRDefault="00014493" w:rsidP="00014493">
      <w:pPr>
        <w:pStyle w:val="FootnoteText"/>
        <w:rPr>
          <w:rFonts w:ascii="Arial" w:hAnsi="Arial" w:cs="Arial"/>
        </w:rPr>
      </w:pPr>
      <w:r w:rsidRPr="0003125A">
        <w:rPr>
          <w:rFonts w:ascii="Arial" w:hAnsi="Arial" w:cs="Arial"/>
        </w:rPr>
        <w:t>Marks S, ‘</w:t>
      </w:r>
      <w:r w:rsidRPr="0003125A">
        <w:rPr>
          <w:rFonts w:ascii="Arial" w:hAnsi="Arial" w:cs="Arial"/>
          <w:lang w:val="en-US"/>
        </w:rPr>
        <w:t xml:space="preserve">Reservations Unhinged: The BELILOS Case before the European Court of Human Rights’, </w:t>
      </w:r>
      <w:r w:rsidRPr="0003125A">
        <w:rPr>
          <w:rFonts w:ascii="Arial" w:hAnsi="Arial" w:cs="Arial"/>
        </w:rPr>
        <w:t xml:space="preserve">39 </w:t>
      </w:r>
      <w:r w:rsidRPr="0003125A">
        <w:rPr>
          <w:rFonts w:ascii="Arial" w:hAnsi="Arial" w:cs="Arial"/>
          <w:i/>
          <w:iCs/>
        </w:rPr>
        <w:t>International and Comparative </w:t>
      </w:r>
      <w:r w:rsidRPr="0003125A">
        <w:rPr>
          <w:rFonts w:ascii="Arial" w:hAnsi="Arial" w:cs="Arial"/>
          <w:bCs/>
          <w:i/>
          <w:iCs/>
        </w:rPr>
        <w:t>Law</w:t>
      </w:r>
      <w:r w:rsidRPr="0003125A">
        <w:rPr>
          <w:rFonts w:ascii="Arial" w:hAnsi="Arial" w:cs="Arial"/>
          <w:i/>
          <w:iCs/>
        </w:rPr>
        <w:t> Quarterly</w:t>
      </w:r>
      <w:r w:rsidRPr="0003125A">
        <w:rPr>
          <w:rFonts w:ascii="Arial" w:hAnsi="Arial" w:cs="Arial"/>
          <w:i/>
        </w:rPr>
        <w:t xml:space="preserve"> </w:t>
      </w:r>
      <w:r w:rsidRPr="0003125A">
        <w:rPr>
          <w:rFonts w:ascii="Arial" w:hAnsi="Arial" w:cs="Arial"/>
        </w:rPr>
        <w:t>(1990)</w:t>
      </w:r>
    </w:p>
    <w:p w14:paraId="64B50F98" w14:textId="77777777" w:rsidR="00014493" w:rsidRPr="0003125A" w:rsidRDefault="00014493" w:rsidP="00014493">
      <w:pPr>
        <w:pStyle w:val="FootnoteText"/>
        <w:rPr>
          <w:rFonts w:ascii="Arial" w:hAnsi="Arial" w:cs="Arial"/>
        </w:rPr>
      </w:pPr>
    </w:p>
    <w:p w14:paraId="1124363A"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McCall-Smith K.L, ‘Reservations and the Determinative Function of the Human Rights Treaty Bodies’, 54 </w:t>
      </w:r>
      <w:r w:rsidRPr="0003125A">
        <w:rPr>
          <w:rFonts w:ascii="Arial" w:hAnsi="Arial" w:cs="Arial"/>
          <w:i/>
          <w:iCs/>
          <w:sz w:val="24"/>
          <w:szCs w:val="24"/>
          <w:lang w:val="en-US"/>
        </w:rPr>
        <w:t xml:space="preserve">German Yearbook of International Law </w:t>
      </w:r>
      <w:r w:rsidRPr="0003125A">
        <w:rPr>
          <w:rFonts w:ascii="Arial" w:hAnsi="Arial" w:cs="Arial"/>
          <w:sz w:val="24"/>
          <w:szCs w:val="24"/>
          <w:lang w:val="en-US"/>
        </w:rPr>
        <w:t>(2012) 521</w:t>
      </w:r>
    </w:p>
    <w:p w14:paraId="35411A26"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McLachlan C, ‘The Principle of Systemic Integration, and Article 31 (3)(c) of the Vienna Convention’ (2005) </w:t>
      </w:r>
      <w:r w:rsidRPr="0003125A">
        <w:rPr>
          <w:rFonts w:ascii="Arial" w:hAnsi="Arial" w:cs="Arial"/>
          <w:i/>
          <w:iCs/>
          <w:sz w:val="24"/>
          <w:szCs w:val="24"/>
        </w:rPr>
        <w:t>International and Comparative </w:t>
      </w:r>
      <w:r w:rsidRPr="0003125A">
        <w:rPr>
          <w:rFonts w:ascii="Arial" w:hAnsi="Arial" w:cs="Arial"/>
          <w:bCs/>
          <w:i/>
          <w:iCs/>
          <w:sz w:val="24"/>
          <w:szCs w:val="24"/>
        </w:rPr>
        <w:t>Law</w:t>
      </w:r>
      <w:r w:rsidRPr="0003125A">
        <w:rPr>
          <w:rFonts w:ascii="Arial" w:hAnsi="Arial" w:cs="Arial"/>
          <w:i/>
          <w:iCs/>
          <w:sz w:val="24"/>
          <w:szCs w:val="24"/>
        </w:rPr>
        <w:t> Quarterly</w:t>
      </w:r>
      <w:r w:rsidRPr="0003125A">
        <w:rPr>
          <w:rFonts w:ascii="Arial" w:hAnsi="Arial" w:cs="Arial"/>
          <w:sz w:val="24"/>
          <w:szCs w:val="24"/>
          <w:lang w:val="en-US"/>
        </w:rPr>
        <w:t xml:space="preserve"> 54 </w:t>
      </w:r>
    </w:p>
    <w:p w14:paraId="1D94FDCC" w14:textId="77777777" w:rsidR="00014493" w:rsidRPr="0003125A" w:rsidRDefault="00014493" w:rsidP="00014493">
      <w:pPr>
        <w:pStyle w:val="FootnoteText"/>
        <w:rPr>
          <w:rFonts w:ascii="Arial" w:hAnsi="Arial" w:cs="Arial"/>
          <w:color w:val="000000"/>
        </w:rPr>
      </w:pPr>
      <w:r w:rsidRPr="0003125A">
        <w:rPr>
          <w:rFonts w:ascii="Arial" w:hAnsi="Arial" w:cs="Arial"/>
          <w:color w:val="000000"/>
        </w:rPr>
        <w:t xml:space="preserve">McRae D, ‘The Legal Effect of Interpretative Declarations’, 49 </w:t>
      </w:r>
      <w:r w:rsidRPr="0003125A">
        <w:rPr>
          <w:rFonts w:ascii="Arial" w:hAnsi="Arial" w:cs="Arial"/>
          <w:i/>
          <w:iCs/>
          <w:lang w:val="en-US"/>
        </w:rPr>
        <w:t>British Yearbook of International Law</w:t>
      </w:r>
      <w:r w:rsidRPr="0003125A">
        <w:rPr>
          <w:rFonts w:ascii="Arial" w:hAnsi="Arial" w:cs="Arial"/>
          <w:i/>
          <w:color w:val="000000"/>
        </w:rPr>
        <w:t xml:space="preserve"> </w:t>
      </w:r>
      <w:r w:rsidRPr="0003125A">
        <w:rPr>
          <w:rFonts w:ascii="Arial" w:hAnsi="Arial" w:cs="Arial"/>
          <w:color w:val="000000"/>
        </w:rPr>
        <w:t>155 (1978)</w:t>
      </w:r>
    </w:p>
    <w:p w14:paraId="77D9345A" w14:textId="77777777" w:rsidR="00014493" w:rsidRPr="0003125A" w:rsidRDefault="00014493" w:rsidP="00014493">
      <w:pPr>
        <w:pStyle w:val="FootnoteText"/>
        <w:rPr>
          <w:rFonts w:ascii="Arial" w:hAnsi="Arial" w:cs="Arial"/>
          <w:color w:val="000000"/>
        </w:rPr>
      </w:pPr>
    </w:p>
    <w:p w14:paraId="62BA5834" w14:textId="77777777" w:rsidR="00014493" w:rsidRPr="0003125A" w:rsidRDefault="00014493" w:rsidP="00014493">
      <w:pPr>
        <w:pStyle w:val="FootnoteText"/>
        <w:rPr>
          <w:rFonts w:ascii="Arial" w:hAnsi="Arial" w:cs="Arial"/>
          <w:iCs/>
          <w:lang w:val="en-US"/>
        </w:rPr>
      </w:pPr>
      <w:r w:rsidRPr="0003125A">
        <w:rPr>
          <w:rFonts w:ascii="Arial" w:hAnsi="Arial" w:cs="Arial"/>
        </w:rPr>
        <w:t xml:space="preserve">Milanovic M &amp; </w:t>
      </w:r>
      <w:r w:rsidRPr="0003125A">
        <w:rPr>
          <w:rFonts w:ascii="Arial" w:hAnsi="Arial" w:cs="Arial"/>
          <w:lang w:val="en-US"/>
        </w:rPr>
        <w:t>Sicilianos L-A, ‘</w:t>
      </w:r>
      <w:r w:rsidRPr="0003125A">
        <w:rPr>
          <w:rFonts w:ascii="Arial" w:hAnsi="Arial" w:cs="Arial"/>
          <w:iCs/>
          <w:lang w:val="en-US"/>
        </w:rPr>
        <w:t>Reservations to Treaties: An Introduction’,</w:t>
      </w:r>
      <w:r w:rsidRPr="0003125A">
        <w:rPr>
          <w:rFonts w:ascii="Arial" w:hAnsi="Arial" w:cs="Arial"/>
          <w:iCs/>
          <w:color w:val="FF0000"/>
          <w:lang w:val="en-US"/>
        </w:rPr>
        <w:t xml:space="preserve"> </w:t>
      </w:r>
      <w:r w:rsidRPr="0003125A">
        <w:rPr>
          <w:rFonts w:ascii="Arial" w:hAnsi="Arial" w:cs="Arial"/>
          <w:i/>
        </w:rPr>
        <w:t>European Journal of International Law</w:t>
      </w:r>
      <w:r w:rsidRPr="0003125A">
        <w:rPr>
          <w:rFonts w:ascii="Arial" w:hAnsi="Arial" w:cs="Arial"/>
          <w:i/>
          <w:iCs/>
          <w:lang w:val="en-US"/>
        </w:rPr>
        <w:t xml:space="preserve"> </w:t>
      </w:r>
      <w:r w:rsidRPr="0003125A">
        <w:rPr>
          <w:rFonts w:ascii="Arial" w:hAnsi="Arial" w:cs="Arial"/>
          <w:iCs/>
          <w:lang w:val="en-US"/>
        </w:rPr>
        <w:t xml:space="preserve">(2013), 24:4 </w:t>
      </w:r>
    </w:p>
    <w:p w14:paraId="21D6B84E" w14:textId="77777777" w:rsidR="00014493" w:rsidRPr="0003125A" w:rsidRDefault="00014493" w:rsidP="00014493">
      <w:pPr>
        <w:pStyle w:val="FootnoteText"/>
        <w:rPr>
          <w:rFonts w:ascii="Arial" w:hAnsi="Arial" w:cs="Arial"/>
          <w:iCs/>
          <w:lang w:val="en-US"/>
        </w:rPr>
      </w:pPr>
    </w:p>
    <w:p w14:paraId="45695403" w14:textId="77777777" w:rsidR="00014493" w:rsidRPr="0003125A" w:rsidRDefault="00014493" w:rsidP="00014493">
      <w:pPr>
        <w:pStyle w:val="FootnoteText"/>
        <w:rPr>
          <w:rFonts w:ascii="Arial" w:hAnsi="Arial" w:cs="Arial"/>
          <w:bCs/>
        </w:rPr>
      </w:pPr>
      <w:r w:rsidRPr="0003125A">
        <w:rPr>
          <w:rFonts w:ascii="Arial" w:hAnsi="Arial" w:cs="Arial"/>
        </w:rPr>
        <w:t>Moloney R, ‘</w:t>
      </w:r>
      <w:r w:rsidRPr="0003125A">
        <w:rPr>
          <w:rFonts w:ascii="Arial" w:hAnsi="Arial" w:cs="Arial"/>
          <w:lang w:val="en-US"/>
        </w:rPr>
        <w:t xml:space="preserve">Incompatible Reservations to Human Rights Treaties: Severability and the Problem of State Consent’, 5(1) </w:t>
      </w:r>
      <w:r w:rsidRPr="0003125A">
        <w:rPr>
          <w:rFonts w:ascii="Arial" w:hAnsi="Arial" w:cs="Arial"/>
          <w:bCs/>
          <w:i/>
          <w:iCs/>
        </w:rPr>
        <w:t>Melbourne Journal of International Law</w:t>
      </w:r>
      <w:r w:rsidRPr="0003125A">
        <w:rPr>
          <w:rFonts w:ascii="Arial" w:hAnsi="Arial" w:cs="Arial"/>
          <w:lang w:val="en-US"/>
        </w:rPr>
        <w:t xml:space="preserve"> </w:t>
      </w:r>
      <w:r w:rsidRPr="0003125A">
        <w:rPr>
          <w:rFonts w:ascii="Arial" w:hAnsi="Arial" w:cs="Arial"/>
          <w:bCs/>
        </w:rPr>
        <w:t>6 (2004) 5(1)</w:t>
      </w:r>
    </w:p>
    <w:p w14:paraId="74C8E276" w14:textId="77777777" w:rsidR="00014493" w:rsidRPr="0003125A" w:rsidRDefault="00014493" w:rsidP="00014493">
      <w:pPr>
        <w:pStyle w:val="FootnoteText"/>
        <w:rPr>
          <w:rFonts w:ascii="Arial" w:hAnsi="Arial" w:cs="Arial"/>
          <w:iCs/>
          <w:lang w:val="en-US"/>
        </w:rPr>
      </w:pPr>
    </w:p>
    <w:p w14:paraId="59A4ADDF"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Paris F and Ghei N, ‘The Role of Reciprocity in International Law’, </w:t>
      </w:r>
      <w:r w:rsidRPr="0003125A">
        <w:rPr>
          <w:rFonts w:ascii="Arial" w:hAnsi="Arial" w:cs="Arial"/>
          <w:i/>
          <w:lang w:val="en-US"/>
        </w:rPr>
        <w:t>Cambridge International Law Journal</w:t>
      </w:r>
      <w:r w:rsidRPr="0003125A">
        <w:rPr>
          <w:rFonts w:ascii="Arial" w:hAnsi="Arial" w:cs="Arial"/>
          <w:lang w:val="en-US"/>
        </w:rPr>
        <w:t xml:space="preserve"> 36:1 (2003)</w:t>
      </w:r>
    </w:p>
    <w:p w14:paraId="1DAF1829" w14:textId="77777777" w:rsidR="00014493" w:rsidRPr="0003125A" w:rsidRDefault="00014493" w:rsidP="00014493">
      <w:pPr>
        <w:pStyle w:val="FootnoteText"/>
        <w:rPr>
          <w:rFonts w:ascii="Arial" w:hAnsi="Arial" w:cs="Arial"/>
          <w:lang w:val="en-US"/>
        </w:rPr>
      </w:pPr>
    </w:p>
    <w:p w14:paraId="613E8FB2" w14:textId="77777777" w:rsidR="00014493" w:rsidRPr="0003125A" w:rsidRDefault="00014493" w:rsidP="00014493">
      <w:pPr>
        <w:rPr>
          <w:rFonts w:ascii="Arial" w:hAnsi="Arial" w:cs="Arial"/>
          <w:sz w:val="24"/>
          <w:szCs w:val="24"/>
        </w:rPr>
      </w:pPr>
      <w:r w:rsidRPr="0003125A">
        <w:rPr>
          <w:rFonts w:ascii="Arial" w:hAnsi="Arial" w:cs="Arial"/>
          <w:sz w:val="24"/>
          <w:szCs w:val="24"/>
          <w:lang w:val="en-US"/>
        </w:rPr>
        <w:t xml:space="preserve">Pellet A, ‘The ILC Guide to Practice on Reservations to Treaties: A General Presentation by the Special Rapporteur’, </w:t>
      </w:r>
      <w:r w:rsidRPr="0003125A">
        <w:rPr>
          <w:rFonts w:ascii="Arial" w:hAnsi="Arial" w:cs="Arial"/>
          <w:i/>
          <w:sz w:val="24"/>
          <w:szCs w:val="24"/>
        </w:rPr>
        <w:t>European Journal of International Law</w:t>
      </w:r>
      <w:r w:rsidRPr="0003125A">
        <w:rPr>
          <w:rFonts w:ascii="Arial" w:hAnsi="Arial" w:cs="Arial"/>
          <w:i/>
          <w:iCs/>
          <w:sz w:val="24"/>
          <w:szCs w:val="24"/>
          <w:lang w:val="en-US"/>
        </w:rPr>
        <w:t xml:space="preserve"> </w:t>
      </w:r>
      <w:r w:rsidRPr="0003125A">
        <w:rPr>
          <w:rFonts w:ascii="Arial" w:hAnsi="Arial" w:cs="Arial"/>
          <w:sz w:val="24"/>
          <w:szCs w:val="24"/>
          <w:lang w:val="en-US"/>
        </w:rPr>
        <w:t>24:4 UN Doc. A/66/10 (2013)</w:t>
      </w:r>
    </w:p>
    <w:p w14:paraId="381B7F59" w14:textId="77777777" w:rsidR="00014493" w:rsidRPr="0003125A" w:rsidRDefault="00014493" w:rsidP="00014493">
      <w:pPr>
        <w:pStyle w:val="FootnoteText"/>
        <w:rPr>
          <w:rFonts w:ascii="Arial" w:hAnsi="Arial" w:cs="Arial"/>
        </w:rPr>
      </w:pPr>
      <w:r w:rsidRPr="0003125A">
        <w:rPr>
          <w:rFonts w:ascii="Arial" w:hAnsi="Arial" w:cs="Arial"/>
        </w:rPr>
        <w:t xml:space="preserve">Provost R, ‘Reciprocity in Human Rights and Humanitarian Law’, 65 </w:t>
      </w:r>
      <w:r w:rsidRPr="0003125A">
        <w:rPr>
          <w:rFonts w:ascii="Arial" w:hAnsi="Arial" w:cs="Arial"/>
          <w:i/>
        </w:rPr>
        <w:t xml:space="preserve">British Yearbook of International Law </w:t>
      </w:r>
      <w:r w:rsidRPr="0003125A">
        <w:rPr>
          <w:rFonts w:ascii="Arial" w:hAnsi="Arial" w:cs="Arial"/>
        </w:rPr>
        <w:t>(1994) 383</w:t>
      </w:r>
    </w:p>
    <w:p w14:paraId="11F15173" w14:textId="77777777" w:rsidR="00014493" w:rsidRPr="0003125A" w:rsidRDefault="00014493" w:rsidP="00014493">
      <w:pPr>
        <w:pStyle w:val="FootnoteText"/>
        <w:rPr>
          <w:rStyle w:val="FootnoteReference"/>
          <w:rFonts w:ascii="Arial" w:hAnsi="Arial" w:cs="Arial"/>
          <w:lang w:val="en-US"/>
        </w:rPr>
      </w:pPr>
    </w:p>
    <w:p w14:paraId="71CE73A1"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Redgwell C, ‘Universality or Integrity: Some Reflections on Reservations to General Multilateral Treaties’, 64 </w:t>
      </w:r>
      <w:r w:rsidRPr="0003125A">
        <w:rPr>
          <w:rFonts w:ascii="Arial" w:hAnsi="Arial" w:cs="Arial"/>
          <w:i/>
          <w:iCs/>
          <w:lang w:val="en-US"/>
        </w:rPr>
        <w:t xml:space="preserve">British Yearbook of International Law </w:t>
      </w:r>
      <w:r w:rsidRPr="0003125A">
        <w:rPr>
          <w:rFonts w:ascii="Arial" w:hAnsi="Arial" w:cs="Arial"/>
          <w:lang w:val="en-US"/>
        </w:rPr>
        <w:t xml:space="preserve">(Oxford University Press 1993) </w:t>
      </w:r>
    </w:p>
    <w:p w14:paraId="1836D2F0" w14:textId="77777777" w:rsidR="00014493" w:rsidRPr="0003125A" w:rsidRDefault="00014493" w:rsidP="00014493">
      <w:pPr>
        <w:pStyle w:val="FootnoteText"/>
        <w:rPr>
          <w:rFonts w:ascii="Arial" w:hAnsi="Arial" w:cs="Arial"/>
          <w:lang w:val="en-US"/>
        </w:rPr>
      </w:pPr>
    </w:p>
    <w:p w14:paraId="0A4706F3" w14:textId="77777777" w:rsidR="00014493" w:rsidRPr="0003125A" w:rsidRDefault="00014493" w:rsidP="00014493">
      <w:pPr>
        <w:pStyle w:val="FootnoteText"/>
        <w:rPr>
          <w:rFonts w:ascii="Arial" w:hAnsi="Arial" w:cs="Arial"/>
          <w:b/>
          <w:bCs/>
          <w:iCs/>
        </w:rPr>
      </w:pPr>
      <w:r w:rsidRPr="0003125A">
        <w:rPr>
          <w:rFonts w:ascii="Arial" w:hAnsi="Arial" w:cs="Arial"/>
          <w:iCs/>
          <w:lang w:val="en-US"/>
        </w:rPr>
        <w:t>Marston G, ‘</w:t>
      </w:r>
      <w:r w:rsidRPr="0003125A">
        <w:rPr>
          <w:rFonts w:ascii="Arial" w:hAnsi="Arial" w:cs="Arial"/>
          <w:bCs/>
          <w:iCs/>
        </w:rPr>
        <w:t>United Kingdom Materials on International Law 1995’,</w:t>
      </w:r>
      <w:r w:rsidRPr="0003125A">
        <w:rPr>
          <w:rFonts w:ascii="Arial" w:hAnsi="Arial" w:cs="Arial"/>
          <w:b/>
          <w:bCs/>
          <w:iCs/>
        </w:rPr>
        <w:t xml:space="preserve"> </w:t>
      </w:r>
      <w:r w:rsidRPr="0003125A">
        <w:rPr>
          <w:rFonts w:ascii="Arial" w:hAnsi="Arial" w:cs="Arial"/>
          <w:iCs/>
          <w:lang w:val="en-US"/>
        </w:rPr>
        <w:t xml:space="preserve">66 </w:t>
      </w:r>
      <w:r w:rsidRPr="0003125A">
        <w:rPr>
          <w:rFonts w:ascii="Arial" w:hAnsi="Arial" w:cs="Arial"/>
          <w:i/>
          <w:iCs/>
          <w:lang w:val="en-US"/>
        </w:rPr>
        <w:t xml:space="preserve">British Yearbook of International Law </w:t>
      </w:r>
      <w:r w:rsidRPr="0003125A">
        <w:rPr>
          <w:rFonts w:ascii="Arial" w:hAnsi="Arial" w:cs="Arial"/>
          <w:lang w:val="en-US"/>
        </w:rPr>
        <w:t xml:space="preserve">(Oxford University Press 1995) </w:t>
      </w:r>
    </w:p>
    <w:p w14:paraId="61E24FDF" w14:textId="77777777" w:rsidR="00014493" w:rsidRPr="0003125A" w:rsidRDefault="00014493" w:rsidP="00014493">
      <w:pPr>
        <w:pStyle w:val="FootnoteText"/>
        <w:rPr>
          <w:rFonts w:ascii="Arial" w:hAnsi="Arial" w:cs="Arial"/>
          <w:lang w:val="en-US"/>
        </w:rPr>
      </w:pPr>
    </w:p>
    <w:p w14:paraId="421F15AC" w14:textId="77777777" w:rsidR="00014493" w:rsidRPr="0003125A" w:rsidRDefault="00014493" w:rsidP="00014493">
      <w:pPr>
        <w:pStyle w:val="FootnoteText"/>
        <w:rPr>
          <w:rFonts w:ascii="Arial" w:hAnsi="Arial" w:cs="Arial"/>
          <w:i/>
        </w:rPr>
      </w:pPr>
      <w:r w:rsidRPr="0003125A">
        <w:rPr>
          <w:rFonts w:ascii="Arial" w:hAnsi="Arial" w:cs="Arial"/>
          <w:lang w:val="en-US"/>
        </w:rPr>
        <w:t xml:space="preserve">Redgwell C, ‘Universality or Integrity?’ in ‘Reservations to Treaties and Human Rights Committee </w:t>
      </w:r>
      <w:r w:rsidRPr="0003125A">
        <w:rPr>
          <w:rFonts w:ascii="Arial" w:hAnsi="Arial" w:cs="Arial"/>
          <w:i/>
          <w:lang w:val="en-US"/>
        </w:rPr>
        <w:t>General Comment No 24(52)</w:t>
      </w:r>
      <w:r w:rsidRPr="0003125A">
        <w:rPr>
          <w:rFonts w:ascii="Arial" w:hAnsi="Arial" w:cs="Arial"/>
          <w:lang w:val="en-US"/>
        </w:rPr>
        <w:t xml:space="preserve">’ (1997) 46 </w:t>
      </w:r>
      <w:r w:rsidRPr="0003125A">
        <w:rPr>
          <w:rFonts w:ascii="Arial" w:hAnsi="Arial" w:cs="Arial"/>
          <w:i/>
        </w:rPr>
        <w:t>International and Comparative </w:t>
      </w:r>
      <w:r w:rsidRPr="0003125A">
        <w:rPr>
          <w:rFonts w:ascii="Arial" w:hAnsi="Arial" w:cs="Arial"/>
          <w:bCs/>
          <w:i/>
        </w:rPr>
        <w:t>Law</w:t>
      </w:r>
      <w:r w:rsidRPr="0003125A">
        <w:rPr>
          <w:rFonts w:ascii="Arial" w:hAnsi="Arial" w:cs="Arial"/>
          <w:i/>
        </w:rPr>
        <w:t> Quarterly</w:t>
      </w:r>
      <w:r w:rsidRPr="0003125A">
        <w:rPr>
          <w:rFonts w:ascii="Arial" w:hAnsi="Arial" w:cs="Arial"/>
          <w:i/>
          <w:lang w:val="en-US"/>
        </w:rPr>
        <w:t xml:space="preserve"> </w:t>
      </w:r>
      <w:r w:rsidRPr="0003125A">
        <w:rPr>
          <w:rFonts w:ascii="Arial" w:hAnsi="Arial" w:cs="Arial"/>
          <w:lang w:val="en-US"/>
        </w:rPr>
        <w:t>390</w:t>
      </w:r>
    </w:p>
    <w:p w14:paraId="3D8F4465" w14:textId="77777777" w:rsidR="00014493" w:rsidRPr="0003125A" w:rsidRDefault="00014493" w:rsidP="00014493">
      <w:pPr>
        <w:pStyle w:val="FootnoteText"/>
        <w:rPr>
          <w:rFonts w:ascii="Arial" w:hAnsi="Arial" w:cs="Arial"/>
          <w:lang w:val="en-US"/>
        </w:rPr>
      </w:pPr>
    </w:p>
    <w:p w14:paraId="3C3FB986" w14:textId="77777777" w:rsidR="00014493" w:rsidRPr="0003125A" w:rsidRDefault="00014493" w:rsidP="00014493">
      <w:pPr>
        <w:rPr>
          <w:rFonts w:ascii="Arial" w:hAnsi="Arial" w:cs="Arial"/>
          <w:i/>
          <w:iCs/>
          <w:color w:val="FF0000"/>
          <w:sz w:val="24"/>
          <w:szCs w:val="24"/>
        </w:rPr>
      </w:pPr>
      <w:r w:rsidRPr="0003125A">
        <w:rPr>
          <w:rFonts w:ascii="Arial" w:hAnsi="Arial" w:cs="Arial"/>
          <w:sz w:val="24"/>
          <w:szCs w:val="24"/>
          <w:lang w:val="en-US"/>
        </w:rPr>
        <w:t xml:space="preserve">Rodley N, ‘Human Rights and Humanitarian Intervention: The Case Law of the World Court’, 38 </w:t>
      </w:r>
      <w:r w:rsidRPr="0003125A">
        <w:rPr>
          <w:rFonts w:ascii="Arial" w:hAnsi="Arial" w:cs="Arial"/>
          <w:i/>
          <w:iCs/>
          <w:sz w:val="24"/>
          <w:szCs w:val="24"/>
        </w:rPr>
        <w:t>International and Comparative </w:t>
      </w:r>
      <w:r w:rsidRPr="0003125A">
        <w:rPr>
          <w:rFonts w:ascii="Arial" w:hAnsi="Arial" w:cs="Arial"/>
          <w:bCs/>
          <w:i/>
          <w:iCs/>
          <w:sz w:val="24"/>
          <w:szCs w:val="24"/>
        </w:rPr>
        <w:t>Law</w:t>
      </w:r>
      <w:r w:rsidRPr="0003125A">
        <w:rPr>
          <w:rFonts w:ascii="Arial" w:hAnsi="Arial" w:cs="Arial"/>
          <w:i/>
          <w:iCs/>
          <w:sz w:val="24"/>
          <w:szCs w:val="24"/>
        </w:rPr>
        <w:t> Quarterly</w:t>
      </w:r>
      <w:r w:rsidRPr="0003125A">
        <w:rPr>
          <w:rFonts w:ascii="Arial" w:hAnsi="Arial" w:cs="Arial"/>
          <w:i/>
          <w:iCs/>
          <w:sz w:val="24"/>
          <w:szCs w:val="24"/>
          <w:lang w:val="en-US"/>
        </w:rPr>
        <w:t xml:space="preserve"> </w:t>
      </w:r>
      <w:r w:rsidRPr="0003125A">
        <w:rPr>
          <w:rFonts w:ascii="Arial" w:hAnsi="Arial" w:cs="Arial"/>
          <w:sz w:val="24"/>
          <w:szCs w:val="24"/>
          <w:lang w:val="en-US"/>
        </w:rPr>
        <w:t>(1989)</w:t>
      </w:r>
    </w:p>
    <w:p w14:paraId="73BD138E"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Rodley N, ‘The Extraterritorial Reach and Applicability in Armed Conflict of the International Covenant on Civil and Political Rights: A Rejoinder to Dennis and Surena’, </w:t>
      </w:r>
      <w:r w:rsidRPr="0003125A">
        <w:rPr>
          <w:rFonts w:ascii="Arial" w:hAnsi="Arial" w:cs="Arial"/>
          <w:i/>
          <w:iCs/>
          <w:sz w:val="24"/>
          <w:szCs w:val="24"/>
          <w:lang w:val="en-US"/>
        </w:rPr>
        <w:t xml:space="preserve">European Human Rights Law Review </w:t>
      </w:r>
      <w:r w:rsidRPr="0003125A">
        <w:rPr>
          <w:rFonts w:ascii="Arial" w:hAnsi="Arial" w:cs="Arial"/>
          <w:sz w:val="24"/>
          <w:szCs w:val="24"/>
          <w:lang w:val="en-US"/>
        </w:rPr>
        <w:t>6 (2009)</w:t>
      </w:r>
    </w:p>
    <w:p w14:paraId="37A43289"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Ruda J M, ‘Reservations to Treaties’, 146 </w:t>
      </w:r>
      <w:r w:rsidRPr="0003125A">
        <w:rPr>
          <w:rFonts w:ascii="Arial" w:hAnsi="Arial" w:cs="Arial"/>
          <w:i/>
          <w:iCs/>
          <w:lang w:val="en-US"/>
        </w:rPr>
        <w:t xml:space="preserve">Recueil des Cours </w:t>
      </w:r>
      <w:r w:rsidRPr="0003125A">
        <w:rPr>
          <w:rFonts w:ascii="Arial" w:hAnsi="Arial" w:cs="Arial"/>
          <w:lang w:val="en-US"/>
        </w:rPr>
        <w:t xml:space="preserve">(1975/II) </w:t>
      </w:r>
    </w:p>
    <w:p w14:paraId="313386AA" w14:textId="77777777" w:rsidR="00014493" w:rsidRPr="0003125A" w:rsidRDefault="00014493" w:rsidP="00014493">
      <w:pPr>
        <w:pStyle w:val="FootnoteText"/>
        <w:rPr>
          <w:rFonts w:ascii="Arial" w:hAnsi="Arial" w:cs="Arial"/>
        </w:rPr>
      </w:pPr>
    </w:p>
    <w:p w14:paraId="20C1F9E2"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Rodley N, ‘United Nations Human Rights Treaty Bodies and Special Procedures of the Commission on Human Rights: Complementary or Competition?’ (2003) 25 </w:t>
      </w:r>
      <w:r w:rsidRPr="0003125A">
        <w:rPr>
          <w:rFonts w:ascii="Arial" w:hAnsi="Arial" w:cs="Arial"/>
          <w:i/>
          <w:lang w:val="en-US"/>
        </w:rPr>
        <w:t>Human Rights Quarterly</w:t>
      </w:r>
      <w:r w:rsidRPr="0003125A">
        <w:rPr>
          <w:rFonts w:ascii="Arial" w:hAnsi="Arial" w:cs="Arial"/>
          <w:lang w:val="en-US"/>
        </w:rPr>
        <w:t xml:space="preserve"> 882</w:t>
      </w:r>
    </w:p>
    <w:p w14:paraId="4C9C0993" w14:textId="77777777" w:rsidR="00014493" w:rsidRPr="0003125A" w:rsidRDefault="00014493" w:rsidP="00014493">
      <w:pPr>
        <w:pStyle w:val="FootnoteText"/>
        <w:rPr>
          <w:rFonts w:ascii="Arial" w:hAnsi="Arial" w:cs="Arial"/>
          <w:color w:val="000000"/>
        </w:rPr>
      </w:pPr>
      <w:r w:rsidRPr="0003125A">
        <w:rPr>
          <w:rFonts w:ascii="Arial" w:hAnsi="Arial" w:cs="Arial"/>
          <w:color w:val="000000"/>
        </w:rPr>
        <w:t xml:space="preserve">Royaume-Uni de Grande-Bretagne et l’Irlande du Nord’, 24 </w:t>
      </w:r>
      <w:r w:rsidRPr="0003125A">
        <w:rPr>
          <w:rFonts w:ascii="Arial" w:hAnsi="Arial" w:cs="Arial"/>
          <w:i/>
          <w:color w:val="000000"/>
        </w:rPr>
        <w:t xml:space="preserve">Annuaire français de droit international </w:t>
      </w:r>
      <w:r w:rsidRPr="0003125A">
        <w:rPr>
          <w:rFonts w:ascii="Arial" w:hAnsi="Arial" w:cs="Arial"/>
          <w:color w:val="000000"/>
        </w:rPr>
        <w:t>(1978)</w:t>
      </w:r>
    </w:p>
    <w:p w14:paraId="19282844" w14:textId="77777777" w:rsidR="00014493" w:rsidRPr="0003125A" w:rsidRDefault="00014493" w:rsidP="00014493">
      <w:pPr>
        <w:pStyle w:val="FootnoteText"/>
        <w:rPr>
          <w:rFonts w:ascii="Arial" w:hAnsi="Arial" w:cs="Arial"/>
          <w:color w:val="000000"/>
        </w:rPr>
      </w:pPr>
    </w:p>
    <w:p w14:paraId="349D86B4" w14:textId="77777777" w:rsidR="00014493" w:rsidRPr="0003125A" w:rsidRDefault="00014493" w:rsidP="00014493">
      <w:pPr>
        <w:pStyle w:val="FootnoteText"/>
        <w:rPr>
          <w:rFonts w:ascii="Arial" w:hAnsi="Arial" w:cs="Arial"/>
        </w:rPr>
      </w:pPr>
      <w:r w:rsidRPr="0003125A">
        <w:rPr>
          <w:rFonts w:ascii="Arial" w:hAnsi="Arial" w:cs="Arial"/>
        </w:rPr>
        <w:t xml:space="preserve">Seibert-Fohr A, ‘Domestic Implementation of the International Covenant on Civil and Political Rights Pursuant to its article 2 para. 2’, </w:t>
      </w:r>
      <w:r w:rsidRPr="0003125A">
        <w:rPr>
          <w:rFonts w:ascii="Arial" w:hAnsi="Arial" w:cs="Arial"/>
          <w:i/>
        </w:rPr>
        <w:t>Max Planck United Nations Year Book</w:t>
      </w:r>
      <w:r w:rsidRPr="0003125A">
        <w:rPr>
          <w:rFonts w:ascii="Arial" w:hAnsi="Arial" w:cs="Arial"/>
        </w:rPr>
        <w:t xml:space="preserve"> 5</w:t>
      </w:r>
      <w:r w:rsidRPr="0003125A">
        <w:rPr>
          <w:rFonts w:ascii="Arial" w:hAnsi="Arial" w:cs="Arial"/>
          <w:i/>
        </w:rPr>
        <w:t xml:space="preserve"> </w:t>
      </w:r>
      <w:r w:rsidRPr="0003125A">
        <w:rPr>
          <w:rFonts w:ascii="Arial" w:hAnsi="Arial" w:cs="Arial"/>
        </w:rPr>
        <w:t>(2001)</w:t>
      </w:r>
    </w:p>
    <w:p w14:paraId="1A45849B" w14:textId="77777777" w:rsidR="00014493" w:rsidRPr="0003125A" w:rsidRDefault="00014493" w:rsidP="00014493">
      <w:pPr>
        <w:pStyle w:val="FootnoteText"/>
        <w:rPr>
          <w:rFonts w:ascii="Arial" w:hAnsi="Arial" w:cs="Arial"/>
        </w:rPr>
      </w:pPr>
    </w:p>
    <w:p w14:paraId="77FCE048"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Simma B, ‘From Bilateralism to Community Interest in International Law’, 250 </w:t>
      </w:r>
      <w:r w:rsidRPr="0003125A">
        <w:rPr>
          <w:rFonts w:ascii="Arial" w:hAnsi="Arial" w:cs="Arial"/>
          <w:i/>
          <w:sz w:val="24"/>
          <w:szCs w:val="24"/>
        </w:rPr>
        <w:t xml:space="preserve">Recueil des Cours </w:t>
      </w:r>
      <w:r w:rsidRPr="0003125A">
        <w:rPr>
          <w:rFonts w:ascii="Arial" w:hAnsi="Arial" w:cs="Arial"/>
          <w:sz w:val="24"/>
          <w:szCs w:val="24"/>
        </w:rPr>
        <w:t>(1994-VI) 229</w:t>
      </w:r>
    </w:p>
    <w:p w14:paraId="3B353047" w14:textId="77777777" w:rsidR="00014493" w:rsidRPr="0003125A" w:rsidRDefault="00014493" w:rsidP="00014493">
      <w:pPr>
        <w:pStyle w:val="FootnoteText"/>
        <w:rPr>
          <w:rFonts w:ascii="Arial" w:hAnsi="Arial" w:cs="Arial"/>
        </w:rPr>
      </w:pPr>
      <w:r w:rsidRPr="0003125A">
        <w:rPr>
          <w:rFonts w:ascii="Arial" w:hAnsi="Arial" w:cs="Arial"/>
        </w:rPr>
        <w:t xml:space="preserve">Tzevelekos V P, </w:t>
      </w:r>
      <w:r w:rsidRPr="0003125A">
        <w:rPr>
          <w:rFonts w:ascii="Arial" w:hAnsi="Arial" w:cs="Arial"/>
          <w:i/>
        </w:rPr>
        <w:t>The Use of Article 31(3)(c) of the VCLT in the Case Law of the ECtHR: An Effective Anti-Fragmentation Tool or a Selective Loophole for the Reinforcement of Human Rights Teleology?</w:t>
      </w:r>
      <w:r w:rsidRPr="0003125A">
        <w:rPr>
          <w:rFonts w:ascii="Arial" w:hAnsi="Arial" w:cs="Arial"/>
        </w:rPr>
        <w:t xml:space="preserve">, 31 </w:t>
      </w:r>
      <w:r w:rsidRPr="0003125A">
        <w:rPr>
          <w:rFonts w:ascii="Arial" w:hAnsi="Arial" w:cs="Arial"/>
          <w:i/>
        </w:rPr>
        <w:t>Melbourne Journal of International Law</w:t>
      </w:r>
      <w:r w:rsidRPr="0003125A">
        <w:rPr>
          <w:rFonts w:ascii="Arial" w:hAnsi="Arial" w:cs="Arial"/>
        </w:rPr>
        <w:t xml:space="preserve"> 621 (2010)</w:t>
      </w:r>
    </w:p>
    <w:p w14:paraId="0289F308" w14:textId="77777777" w:rsidR="00014493" w:rsidRPr="0003125A" w:rsidRDefault="00014493" w:rsidP="00014493">
      <w:pPr>
        <w:pStyle w:val="FootnoteText"/>
        <w:rPr>
          <w:rFonts w:ascii="Arial" w:hAnsi="Arial" w:cs="Arial"/>
        </w:rPr>
      </w:pPr>
    </w:p>
    <w:p w14:paraId="013D2837"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Waibel M, ‘Demystifying the Art of Interpretation’ (2010) 22 </w:t>
      </w:r>
      <w:r w:rsidRPr="0003125A">
        <w:rPr>
          <w:rFonts w:ascii="Arial" w:hAnsi="Arial" w:cs="Arial"/>
          <w:i/>
          <w:sz w:val="24"/>
          <w:szCs w:val="24"/>
        </w:rPr>
        <w:t>European Journal of International Law</w:t>
      </w:r>
      <w:r w:rsidRPr="0003125A">
        <w:rPr>
          <w:rFonts w:ascii="Arial" w:hAnsi="Arial" w:cs="Arial"/>
          <w:i/>
          <w:iCs/>
          <w:color w:val="FF0000"/>
          <w:sz w:val="24"/>
          <w:szCs w:val="24"/>
          <w:lang w:val="en-US"/>
        </w:rPr>
        <w:t xml:space="preserve"> </w:t>
      </w:r>
      <w:r w:rsidRPr="0003125A">
        <w:rPr>
          <w:rFonts w:ascii="Arial" w:hAnsi="Arial" w:cs="Arial"/>
          <w:sz w:val="24"/>
          <w:szCs w:val="24"/>
          <w:lang w:val="en-US"/>
        </w:rPr>
        <w:t>571</w:t>
      </w:r>
    </w:p>
    <w:p w14:paraId="223C8334"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Weiler J.H.H, ‘The Geology of International Law – Governance, Democracy and Legitimacy’ (2005) 64 </w:t>
      </w:r>
      <w:r w:rsidRPr="0003125A">
        <w:rPr>
          <w:rFonts w:ascii="Arial" w:hAnsi="Arial" w:cs="Arial"/>
          <w:i/>
          <w:iCs/>
          <w:sz w:val="24"/>
          <w:szCs w:val="24"/>
          <w:lang w:val="en-US"/>
        </w:rPr>
        <w:t>Zeitschrift f</w:t>
      </w:r>
      <w:r w:rsidRPr="0003125A">
        <w:rPr>
          <w:rFonts w:ascii="Arial" w:hAnsi="Arial" w:cs="Arial"/>
          <w:i/>
          <w:sz w:val="24"/>
          <w:szCs w:val="24"/>
        </w:rPr>
        <w:t>ü</w:t>
      </w:r>
      <w:r w:rsidRPr="0003125A">
        <w:rPr>
          <w:rFonts w:ascii="Arial" w:hAnsi="Arial" w:cs="Arial"/>
          <w:i/>
          <w:iCs/>
          <w:sz w:val="24"/>
          <w:szCs w:val="24"/>
          <w:lang w:val="en-US"/>
        </w:rPr>
        <w:t>r ausl</w:t>
      </w:r>
      <w:r w:rsidRPr="0003125A">
        <w:rPr>
          <w:rFonts w:ascii="Arial" w:hAnsi="Arial" w:cs="Arial"/>
          <w:i/>
          <w:sz w:val="24"/>
          <w:szCs w:val="24"/>
        </w:rPr>
        <w:t>ä</w:t>
      </w:r>
      <w:r w:rsidRPr="0003125A">
        <w:rPr>
          <w:rFonts w:ascii="Arial" w:hAnsi="Arial" w:cs="Arial"/>
          <w:i/>
          <w:iCs/>
          <w:sz w:val="24"/>
          <w:szCs w:val="24"/>
          <w:lang w:val="en-US"/>
        </w:rPr>
        <w:t xml:space="preserve">ndisches </w:t>
      </w:r>
      <w:r w:rsidRPr="0003125A">
        <w:rPr>
          <w:rFonts w:ascii="Arial" w:hAnsi="Arial" w:cs="Arial"/>
          <w:i/>
          <w:sz w:val="24"/>
          <w:szCs w:val="24"/>
        </w:rPr>
        <w:t>ö</w:t>
      </w:r>
      <w:r w:rsidRPr="0003125A">
        <w:rPr>
          <w:rFonts w:ascii="Arial" w:hAnsi="Arial" w:cs="Arial"/>
          <w:i/>
          <w:iCs/>
          <w:sz w:val="24"/>
          <w:szCs w:val="24"/>
          <w:lang w:val="en-US"/>
        </w:rPr>
        <w:t>ffentliches Recht und V</w:t>
      </w:r>
      <w:r w:rsidRPr="0003125A">
        <w:rPr>
          <w:rFonts w:ascii="Arial" w:hAnsi="Arial" w:cs="Arial"/>
          <w:i/>
          <w:sz w:val="24"/>
          <w:szCs w:val="24"/>
        </w:rPr>
        <w:t>ö</w:t>
      </w:r>
      <w:r w:rsidRPr="0003125A">
        <w:rPr>
          <w:rFonts w:ascii="Arial" w:hAnsi="Arial" w:cs="Arial"/>
          <w:i/>
          <w:iCs/>
          <w:sz w:val="24"/>
          <w:szCs w:val="24"/>
          <w:lang w:val="en-US"/>
        </w:rPr>
        <w:t xml:space="preserve">lkerrecht </w:t>
      </w:r>
      <w:r w:rsidRPr="0003125A">
        <w:rPr>
          <w:rFonts w:ascii="Arial" w:hAnsi="Arial" w:cs="Arial"/>
          <w:sz w:val="24"/>
          <w:szCs w:val="24"/>
          <w:lang w:val="en-US"/>
        </w:rPr>
        <w:t>547</w:t>
      </w:r>
    </w:p>
    <w:p w14:paraId="0682155D" w14:textId="77777777" w:rsidR="00014493" w:rsidRPr="0003125A" w:rsidRDefault="00014493" w:rsidP="00014493">
      <w:pPr>
        <w:pStyle w:val="FootnoteText"/>
        <w:rPr>
          <w:rFonts w:ascii="Arial" w:hAnsi="Arial" w:cs="Arial"/>
          <w:lang w:val="en-US"/>
        </w:rPr>
      </w:pPr>
      <w:r w:rsidRPr="0003125A">
        <w:rPr>
          <w:rFonts w:ascii="Arial" w:hAnsi="Arial" w:cs="Arial"/>
        </w:rPr>
        <w:t>Wood M, ‘</w:t>
      </w:r>
      <w:r w:rsidRPr="0003125A">
        <w:rPr>
          <w:rFonts w:ascii="Arial" w:hAnsi="Arial" w:cs="Arial"/>
          <w:iCs/>
          <w:lang w:val="en-US"/>
        </w:rPr>
        <w:t>Institutional Aspects of the Guide to Practice on Reservations’,</w:t>
      </w:r>
      <w:r w:rsidRPr="0003125A">
        <w:rPr>
          <w:rFonts w:ascii="Arial" w:hAnsi="Arial" w:cs="Arial"/>
          <w:i/>
          <w:iCs/>
          <w:lang w:val="en-US"/>
        </w:rPr>
        <w:t xml:space="preserve"> </w:t>
      </w:r>
      <w:r w:rsidRPr="0003125A">
        <w:rPr>
          <w:rFonts w:ascii="Arial" w:hAnsi="Arial" w:cs="Arial"/>
          <w:i/>
        </w:rPr>
        <w:t>European Journal of International Law</w:t>
      </w:r>
      <w:r w:rsidRPr="0003125A">
        <w:rPr>
          <w:rFonts w:ascii="Arial" w:hAnsi="Arial" w:cs="Arial"/>
          <w:i/>
          <w:iCs/>
          <w:lang w:val="en-US"/>
        </w:rPr>
        <w:t xml:space="preserve"> </w:t>
      </w:r>
      <w:r w:rsidRPr="0003125A">
        <w:rPr>
          <w:rFonts w:ascii="Arial" w:hAnsi="Arial" w:cs="Arial"/>
          <w:lang w:val="en-US"/>
        </w:rPr>
        <w:t>24 (2013)</w:t>
      </w:r>
    </w:p>
    <w:p w14:paraId="477A4F50" w14:textId="77777777" w:rsidR="00014493" w:rsidRPr="0003125A" w:rsidRDefault="00014493" w:rsidP="00014493">
      <w:pPr>
        <w:pStyle w:val="FootnoteText"/>
        <w:rPr>
          <w:rFonts w:ascii="Arial" w:hAnsi="Arial" w:cs="Arial"/>
        </w:rPr>
      </w:pPr>
    </w:p>
    <w:p w14:paraId="3A418CF0" w14:textId="77777777" w:rsidR="00014493" w:rsidRPr="0003125A" w:rsidRDefault="00014493" w:rsidP="00014493">
      <w:pPr>
        <w:pStyle w:val="FootnoteText"/>
        <w:rPr>
          <w:rFonts w:ascii="Arial" w:hAnsi="Arial" w:cs="Arial"/>
          <w:b/>
          <w:lang w:val="en-US"/>
        </w:rPr>
      </w:pPr>
      <w:r w:rsidRPr="0003125A">
        <w:rPr>
          <w:rFonts w:ascii="Arial" w:hAnsi="Arial" w:cs="Arial"/>
          <w:b/>
          <w:lang w:val="en-US"/>
        </w:rPr>
        <w:t>Reports</w:t>
      </w:r>
    </w:p>
    <w:p w14:paraId="7FC89F50" w14:textId="77777777" w:rsidR="00014493" w:rsidRPr="0003125A" w:rsidRDefault="00014493" w:rsidP="00014493">
      <w:pPr>
        <w:pStyle w:val="FootnoteText"/>
        <w:rPr>
          <w:rFonts w:ascii="Arial" w:hAnsi="Arial" w:cs="Arial"/>
          <w:lang w:val="en-US"/>
        </w:rPr>
      </w:pPr>
    </w:p>
    <w:p w14:paraId="4E94AEE2" w14:textId="77777777" w:rsidR="00014493" w:rsidRPr="0003125A" w:rsidRDefault="00014493" w:rsidP="00014493">
      <w:pPr>
        <w:pStyle w:val="FootnoteText"/>
        <w:rPr>
          <w:rFonts w:ascii="Arial" w:hAnsi="Arial" w:cs="Arial"/>
        </w:rPr>
      </w:pPr>
      <w:r w:rsidRPr="0003125A">
        <w:rPr>
          <w:rFonts w:ascii="Arial" w:hAnsi="Arial" w:cs="Arial"/>
          <w:i/>
        </w:rPr>
        <w:t>Annual Report 1995 of the Human Rights Committee</w:t>
      </w:r>
      <w:r w:rsidRPr="0003125A">
        <w:rPr>
          <w:rFonts w:ascii="Arial" w:hAnsi="Arial" w:cs="Arial"/>
        </w:rPr>
        <w:t>, A/50/40 vol. I</w:t>
      </w:r>
    </w:p>
    <w:p w14:paraId="3905E074" w14:textId="77777777" w:rsidR="00014493" w:rsidRPr="0003125A" w:rsidRDefault="00014493" w:rsidP="00014493">
      <w:pPr>
        <w:pStyle w:val="FootnoteText"/>
        <w:rPr>
          <w:rFonts w:ascii="Arial" w:hAnsi="Arial" w:cs="Arial"/>
        </w:rPr>
      </w:pPr>
    </w:p>
    <w:p w14:paraId="31809F81" w14:textId="77777777" w:rsidR="00014493" w:rsidRPr="0003125A" w:rsidRDefault="00014493" w:rsidP="00014493">
      <w:pPr>
        <w:pStyle w:val="FootnoteText"/>
        <w:rPr>
          <w:rFonts w:ascii="Arial" w:hAnsi="Arial" w:cs="Arial"/>
          <w:i/>
        </w:rPr>
      </w:pPr>
      <w:r w:rsidRPr="0003125A">
        <w:rPr>
          <w:rFonts w:ascii="Arial" w:hAnsi="Arial" w:cs="Arial"/>
          <w:i/>
        </w:rPr>
        <w:t xml:space="preserve">Annual Report 1996 of the Human Rights Committee, </w:t>
      </w:r>
      <w:r w:rsidRPr="0003125A">
        <w:rPr>
          <w:rFonts w:ascii="Arial" w:hAnsi="Arial" w:cs="Arial"/>
        </w:rPr>
        <w:t>A/51/40 vol. I</w:t>
      </w:r>
    </w:p>
    <w:p w14:paraId="2E73D7C7" w14:textId="77777777" w:rsidR="00014493" w:rsidRPr="0003125A" w:rsidRDefault="00014493" w:rsidP="00014493">
      <w:pPr>
        <w:pStyle w:val="FootnoteText"/>
        <w:rPr>
          <w:rFonts w:ascii="Arial" w:hAnsi="Arial" w:cs="Arial"/>
          <w:lang w:val="en-US"/>
        </w:rPr>
      </w:pPr>
    </w:p>
    <w:p w14:paraId="2D29C4D0" w14:textId="77777777" w:rsidR="00014493" w:rsidRPr="0003125A" w:rsidRDefault="00014493" w:rsidP="00014493">
      <w:pPr>
        <w:pStyle w:val="FootnoteText"/>
        <w:rPr>
          <w:rFonts w:ascii="Arial" w:hAnsi="Arial" w:cs="Arial"/>
          <w:lang w:val="en-US"/>
        </w:rPr>
      </w:pPr>
      <w:r w:rsidRPr="0003125A">
        <w:rPr>
          <w:rFonts w:ascii="Arial" w:hAnsi="Arial" w:cs="Arial"/>
          <w:lang w:val="en-US"/>
        </w:rPr>
        <w:t>Koskenniemi M, ‘Fragmentation of International Law: Difficulties Arising from the Diversification and Expansion of International Law’, Report of the Study Group of the International Law Commission, finalised by Koskenniemi M, A/CN.4/L.682</w:t>
      </w:r>
    </w:p>
    <w:p w14:paraId="36701909" w14:textId="77777777" w:rsidR="00014493" w:rsidRPr="0003125A" w:rsidRDefault="00014493" w:rsidP="00014493">
      <w:pPr>
        <w:pStyle w:val="FootnoteText"/>
        <w:rPr>
          <w:rFonts w:ascii="Arial" w:hAnsi="Arial" w:cs="Arial"/>
          <w:lang w:val="en-US"/>
        </w:rPr>
      </w:pPr>
    </w:p>
    <w:p w14:paraId="057D2DF6" w14:textId="77777777" w:rsidR="00014493" w:rsidRPr="0003125A" w:rsidRDefault="00014493" w:rsidP="00014493">
      <w:pPr>
        <w:pStyle w:val="FootnoteText"/>
        <w:rPr>
          <w:rFonts w:ascii="Arial" w:hAnsi="Arial" w:cs="Arial"/>
          <w:b/>
          <w:bCs/>
        </w:rPr>
      </w:pPr>
      <w:r w:rsidRPr="0003125A">
        <w:rPr>
          <w:rFonts w:ascii="Arial" w:hAnsi="Arial" w:cs="Arial"/>
        </w:rPr>
        <w:t xml:space="preserve">Hampson F, </w:t>
      </w:r>
      <w:r w:rsidRPr="0003125A">
        <w:rPr>
          <w:rFonts w:ascii="Arial" w:hAnsi="Arial" w:cs="Arial"/>
          <w:bCs/>
          <w:i/>
        </w:rPr>
        <w:t xml:space="preserve">Report of the Sub-Commission on the Promotion and Protection of Human Rights on its Fifty-First Session, Geneva, </w:t>
      </w:r>
      <w:r w:rsidRPr="0003125A">
        <w:rPr>
          <w:rFonts w:ascii="Arial" w:hAnsi="Arial" w:cs="Arial"/>
          <w:bCs/>
        </w:rPr>
        <w:t>2-27 August 1999</w:t>
      </w:r>
      <w:r w:rsidRPr="0003125A">
        <w:rPr>
          <w:rFonts w:ascii="Arial" w:hAnsi="Arial" w:cs="Arial"/>
          <w:b/>
          <w:bCs/>
        </w:rPr>
        <w:t xml:space="preserve">, </w:t>
      </w:r>
      <w:r w:rsidRPr="0003125A">
        <w:rPr>
          <w:rFonts w:ascii="Arial" w:hAnsi="Arial" w:cs="Arial"/>
        </w:rPr>
        <w:t>E/CN.4/Sub.2/1999/28, 28 June 1999</w:t>
      </w:r>
    </w:p>
    <w:p w14:paraId="2E58F8FB" w14:textId="77777777" w:rsidR="00014493" w:rsidRPr="0003125A" w:rsidRDefault="00014493" w:rsidP="00014493">
      <w:pPr>
        <w:pStyle w:val="FootnoteText"/>
        <w:rPr>
          <w:rFonts w:ascii="Arial" w:hAnsi="Arial" w:cs="Arial"/>
          <w:lang w:val="en-US"/>
        </w:rPr>
      </w:pPr>
    </w:p>
    <w:p w14:paraId="26547B05"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107 </w:t>
      </w:r>
      <w:r w:rsidRPr="0003125A">
        <w:rPr>
          <w:rFonts w:ascii="Arial" w:hAnsi="Arial" w:cs="Arial"/>
          <w:i/>
          <w:iCs/>
          <w:lang w:val="en-US"/>
        </w:rPr>
        <w:t xml:space="preserve">International Law Reports </w:t>
      </w:r>
      <w:r w:rsidRPr="0003125A">
        <w:rPr>
          <w:rFonts w:ascii="Arial" w:hAnsi="Arial" w:cs="Arial"/>
          <w:lang w:val="en-US"/>
        </w:rPr>
        <w:t>64</w:t>
      </w:r>
    </w:p>
    <w:p w14:paraId="12002D62" w14:textId="77777777" w:rsidR="00014493" w:rsidRPr="0003125A" w:rsidRDefault="00014493" w:rsidP="00014493">
      <w:pPr>
        <w:pStyle w:val="FootnoteText"/>
        <w:rPr>
          <w:rFonts w:ascii="Arial" w:hAnsi="Arial" w:cs="Arial"/>
          <w:lang w:val="en-US"/>
        </w:rPr>
      </w:pPr>
    </w:p>
    <w:p w14:paraId="2BD9D5C7" w14:textId="77777777" w:rsidR="00014493" w:rsidRPr="0003125A" w:rsidRDefault="00014493" w:rsidP="00014493">
      <w:pPr>
        <w:pStyle w:val="FootnoteText"/>
        <w:rPr>
          <w:rFonts w:ascii="Arial" w:hAnsi="Arial" w:cs="Arial"/>
        </w:rPr>
      </w:pPr>
      <w:r w:rsidRPr="0003125A">
        <w:rPr>
          <w:rFonts w:ascii="Arial" w:hAnsi="Arial" w:cs="Arial"/>
        </w:rPr>
        <w:t>International Law Commission, Report on the Work of its Sixty-fifth Session, UN Doc. No. A/68/10 (2013)</w:t>
      </w:r>
    </w:p>
    <w:p w14:paraId="5EEB1094" w14:textId="77777777" w:rsidR="00014493" w:rsidRPr="0003125A" w:rsidRDefault="00014493" w:rsidP="00014493">
      <w:pPr>
        <w:pStyle w:val="FootnoteText"/>
        <w:rPr>
          <w:rFonts w:ascii="Arial" w:hAnsi="Arial" w:cs="Arial"/>
        </w:rPr>
      </w:pPr>
    </w:p>
    <w:p w14:paraId="7AE7DD12" w14:textId="77777777" w:rsidR="00014493" w:rsidRPr="0003125A" w:rsidRDefault="00014493" w:rsidP="00014493">
      <w:pPr>
        <w:pStyle w:val="FootnoteText"/>
        <w:rPr>
          <w:rFonts w:ascii="Arial" w:hAnsi="Arial" w:cs="Arial"/>
        </w:rPr>
      </w:pPr>
      <w:r w:rsidRPr="0003125A">
        <w:rPr>
          <w:rFonts w:ascii="Arial" w:hAnsi="Arial" w:cs="Arial"/>
        </w:rPr>
        <w:t xml:space="preserve">Pellet A, </w:t>
      </w:r>
      <w:r w:rsidRPr="0003125A">
        <w:rPr>
          <w:rFonts w:ascii="Arial" w:hAnsi="Arial" w:cs="Arial"/>
          <w:i/>
        </w:rPr>
        <w:t>Third Report on Reservations to Treaties</w:t>
      </w:r>
      <w:r w:rsidRPr="0003125A">
        <w:rPr>
          <w:rFonts w:ascii="Arial" w:hAnsi="Arial" w:cs="Arial"/>
        </w:rPr>
        <w:t>, UN Doc. A/CN.4/491/Add.4 (1998)</w:t>
      </w:r>
    </w:p>
    <w:p w14:paraId="2C18FD8B" w14:textId="77777777" w:rsidR="00014493" w:rsidRPr="0003125A" w:rsidRDefault="00014493" w:rsidP="00014493">
      <w:pPr>
        <w:pStyle w:val="FootnoteText"/>
        <w:rPr>
          <w:rFonts w:ascii="Arial" w:hAnsi="Arial" w:cs="Arial"/>
        </w:rPr>
      </w:pPr>
    </w:p>
    <w:p w14:paraId="55C376AA" w14:textId="77777777" w:rsidR="00014493" w:rsidRPr="0003125A" w:rsidRDefault="00014493" w:rsidP="00014493">
      <w:pPr>
        <w:rPr>
          <w:rFonts w:ascii="Arial" w:hAnsi="Arial" w:cs="Arial"/>
          <w:sz w:val="24"/>
          <w:szCs w:val="24"/>
        </w:rPr>
      </w:pPr>
      <w:r w:rsidRPr="0003125A">
        <w:rPr>
          <w:rFonts w:ascii="Arial" w:hAnsi="Arial" w:cs="Arial"/>
          <w:sz w:val="24"/>
          <w:szCs w:val="24"/>
        </w:rPr>
        <w:t xml:space="preserve">Pellet A, </w:t>
      </w:r>
      <w:r w:rsidRPr="0003125A">
        <w:rPr>
          <w:rFonts w:ascii="Arial" w:hAnsi="Arial" w:cs="Arial"/>
          <w:i/>
          <w:sz w:val="24"/>
          <w:szCs w:val="24"/>
        </w:rPr>
        <w:t>Seventeenth Report of Reservations to Treaties</w:t>
      </w:r>
      <w:r w:rsidRPr="0003125A">
        <w:rPr>
          <w:rFonts w:ascii="Arial" w:hAnsi="Arial" w:cs="Arial"/>
          <w:sz w:val="24"/>
          <w:szCs w:val="24"/>
        </w:rPr>
        <w:t>, ILC, Sixty-Third Session (2011), A/CN.4/647</w:t>
      </w:r>
    </w:p>
    <w:p w14:paraId="46AC484D" w14:textId="77777777" w:rsidR="00014493" w:rsidRPr="0003125A" w:rsidRDefault="00014493" w:rsidP="00014493">
      <w:pPr>
        <w:pStyle w:val="FootnoteText"/>
        <w:rPr>
          <w:rFonts w:ascii="Arial" w:hAnsi="Arial" w:cs="Arial"/>
        </w:rPr>
      </w:pPr>
      <w:r w:rsidRPr="0003125A">
        <w:rPr>
          <w:rFonts w:ascii="Arial" w:hAnsi="Arial" w:cs="Arial"/>
        </w:rPr>
        <w:t xml:space="preserve">Pellet A, </w:t>
      </w:r>
      <w:r w:rsidRPr="0003125A">
        <w:rPr>
          <w:rFonts w:ascii="Arial" w:hAnsi="Arial" w:cs="Arial"/>
          <w:i/>
        </w:rPr>
        <w:t>Eighth Report on Reservations to Treaties</w:t>
      </w:r>
      <w:r w:rsidRPr="0003125A">
        <w:rPr>
          <w:rFonts w:ascii="Arial" w:hAnsi="Arial" w:cs="Arial"/>
        </w:rPr>
        <w:t>, ILC, Fifty-Fifth Session (2003), A/CN.4/535</w:t>
      </w:r>
    </w:p>
    <w:p w14:paraId="5A5E8511" w14:textId="77777777" w:rsidR="00014493" w:rsidRPr="0003125A" w:rsidRDefault="00014493" w:rsidP="00014493">
      <w:pPr>
        <w:pStyle w:val="FootnoteText"/>
        <w:rPr>
          <w:rFonts w:ascii="Arial" w:hAnsi="Arial" w:cs="Arial"/>
        </w:rPr>
      </w:pPr>
    </w:p>
    <w:p w14:paraId="7723C7DF"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International Law Commission, </w:t>
      </w:r>
      <w:r w:rsidRPr="0003125A">
        <w:rPr>
          <w:rFonts w:ascii="Arial" w:hAnsi="Arial" w:cs="Arial"/>
          <w:i/>
          <w:lang w:val="en-US"/>
        </w:rPr>
        <w:t>Report of the International Law Commission on the Work of its 49th session</w:t>
      </w:r>
      <w:r w:rsidRPr="0003125A">
        <w:rPr>
          <w:rFonts w:ascii="Arial" w:hAnsi="Arial" w:cs="Arial"/>
          <w:lang w:val="en-US"/>
        </w:rPr>
        <w:t>, 12 May – 18 July 1997, UN GAOR, 52nd Sess., Supp. No 10, 106–8,  UN Doc A/52/10 (1997)</w:t>
      </w:r>
    </w:p>
    <w:p w14:paraId="32B7A907" w14:textId="77777777" w:rsidR="00014493" w:rsidRPr="0003125A" w:rsidRDefault="00014493" w:rsidP="00014493">
      <w:pPr>
        <w:pStyle w:val="FootnoteText"/>
        <w:rPr>
          <w:rFonts w:ascii="Arial" w:hAnsi="Arial" w:cs="Arial"/>
          <w:lang w:val="en-US"/>
        </w:rPr>
      </w:pPr>
    </w:p>
    <w:p w14:paraId="4ADC447D"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International Law Commission, </w:t>
      </w:r>
      <w:r w:rsidRPr="0003125A">
        <w:rPr>
          <w:rFonts w:ascii="Arial" w:hAnsi="Arial" w:cs="Arial"/>
          <w:i/>
        </w:rPr>
        <w:t xml:space="preserve">Yearbook of the International Law Commission </w:t>
      </w:r>
      <w:r w:rsidRPr="0003125A">
        <w:rPr>
          <w:rFonts w:ascii="Arial" w:hAnsi="Arial" w:cs="Arial"/>
        </w:rPr>
        <w:t xml:space="preserve">(1951, Vol. II) </w:t>
      </w:r>
      <w:r w:rsidRPr="0003125A">
        <w:rPr>
          <w:rFonts w:ascii="Arial" w:hAnsi="Arial" w:cs="Arial"/>
          <w:lang w:val="en-US"/>
        </w:rPr>
        <w:t>A/CN.4/48 and Corr.1 &amp; 2</w:t>
      </w:r>
    </w:p>
    <w:p w14:paraId="7F3C4C2B" w14:textId="77777777" w:rsidR="00014493" w:rsidRPr="0003125A" w:rsidRDefault="00014493" w:rsidP="00014493">
      <w:pPr>
        <w:pStyle w:val="FootnoteText"/>
        <w:rPr>
          <w:rFonts w:ascii="Arial" w:hAnsi="Arial" w:cs="Arial"/>
          <w:lang w:val="en-US"/>
        </w:rPr>
      </w:pPr>
    </w:p>
    <w:p w14:paraId="474308E1" w14:textId="77777777" w:rsidR="00014493" w:rsidRPr="0003125A" w:rsidRDefault="00014493" w:rsidP="00014493">
      <w:pPr>
        <w:pStyle w:val="FootnoteText"/>
        <w:rPr>
          <w:rFonts w:ascii="Arial" w:hAnsi="Arial" w:cs="Arial"/>
        </w:rPr>
      </w:pPr>
      <w:r w:rsidRPr="0003125A">
        <w:rPr>
          <w:rFonts w:ascii="Arial" w:hAnsi="Arial" w:cs="Arial"/>
        </w:rPr>
        <w:t xml:space="preserve">International Law Commission, </w:t>
      </w:r>
      <w:r w:rsidRPr="0003125A">
        <w:rPr>
          <w:rFonts w:ascii="Arial" w:hAnsi="Arial" w:cs="Arial"/>
          <w:i/>
        </w:rPr>
        <w:t xml:space="preserve">Yearbook of the International Law Commission </w:t>
      </w:r>
      <w:r w:rsidRPr="0003125A">
        <w:rPr>
          <w:rFonts w:ascii="Arial" w:hAnsi="Arial" w:cs="Arial"/>
        </w:rPr>
        <w:t>(1962, Vol. II) A/CN.4/SER.A/1966/Add.1</w:t>
      </w:r>
    </w:p>
    <w:p w14:paraId="71B871EF" w14:textId="77777777" w:rsidR="00014493" w:rsidRPr="0003125A" w:rsidRDefault="00014493" w:rsidP="00014493">
      <w:pPr>
        <w:pStyle w:val="FootnoteText"/>
        <w:rPr>
          <w:rFonts w:ascii="Arial" w:hAnsi="Arial" w:cs="Arial"/>
          <w:lang w:val="en-US"/>
        </w:rPr>
      </w:pPr>
    </w:p>
    <w:p w14:paraId="4BF7C1A1" w14:textId="77777777" w:rsidR="00014493" w:rsidRPr="0003125A" w:rsidRDefault="00014493" w:rsidP="00014493">
      <w:pPr>
        <w:pStyle w:val="FootnoteText"/>
        <w:rPr>
          <w:rFonts w:ascii="Arial" w:hAnsi="Arial" w:cs="Arial"/>
        </w:rPr>
      </w:pPr>
      <w:r w:rsidRPr="0003125A">
        <w:rPr>
          <w:rFonts w:ascii="Arial" w:hAnsi="Arial" w:cs="Arial"/>
          <w:lang w:val="en-US"/>
        </w:rPr>
        <w:t xml:space="preserve">International Law Commission, </w:t>
      </w:r>
      <w:r w:rsidRPr="0003125A">
        <w:rPr>
          <w:rFonts w:ascii="Arial" w:hAnsi="Arial" w:cs="Arial"/>
          <w:i/>
        </w:rPr>
        <w:t xml:space="preserve">Yearbook of the International Law Commission </w:t>
      </w:r>
      <w:r w:rsidRPr="0003125A">
        <w:rPr>
          <w:rFonts w:ascii="Arial" w:hAnsi="Arial" w:cs="Arial"/>
        </w:rPr>
        <w:t>(1997, Vol. II) A/CN.4/SER.A/1997/Add.1 (Part 2)</w:t>
      </w:r>
    </w:p>
    <w:p w14:paraId="7ACC153A" w14:textId="77777777" w:rsidR="00014493" w:rsidRPr="0003125A" w:rsidRDefault="00014493" w:rsidP="00014493">
      <w:pPr>
        <w:pStyle w:val="FootnoteText"/>
        <w:rPr>
          <w:rFonts w:ascii="Arial" w:hAnsi="Arial" w:cs="Arial"/>
        </w:rPr>
      </w:pPr>
    </w:p>
    <w:p w14:paraId="025746D0" w14:textId="77777777" w:rsidR="00014493" w:rsidRPr="0003125A" w:rsidRDefault="00014493" w:rsidP="00014493">
      <w:pPr>
        <w:pStyle w:val="FootnoteText"/>
        <w:rPr>
          <w:rFonts w:ascii="Arial" w:hAnsi="Arial" w:cs="Arial"/>
          <w:lang w:val="en-US"/>
        </w:rPr>
      </w:pPr>
      <w:r w:rsidRPr="0003125A">
        <w:rPr>
          <w:rFonts w:ascii="Arial" w:hAnsi="Arial" w:cs="Arial"/>
          <w:lang w:val="en-US"/>
        </w:rPr>
        <w:t xml:space="preserve">International Law Commission Final Draft, </w:t>
      </w:r>
      <w:r w:rsidRPr="0003125A">
        <w:rPr>
          <w:rFonts w:ascii="Arial" w:hAnsi="Arial" w:cs="Arial"/>
          <w:iCs/>
          <w:lang w:val="en-US"/>
        </w:rPr>
        <w:t>reprinted in</w:t>
      </w:r>
      <w:r w:rsidRPr="0003125A">
        <w:rPr>
          <w:rFonts w:ascii="Arial" w:hAnsi="Arial" w:cs="Arial"/>
          <w:i/>
          <w:iCs/>
          <w:lang w:val="en-US"/>
        </w:rPr>
        <w:t xml:space="preserve"> </w:t>
      </w:r>
      <w:r w:rsidRPr="0003125A">
        <w:rPr>
          <w:rFonts w:ascii="Arial" w:hAnsi="Arial" w:cs="Arial"/>
          <w:iCs/>
          <w:lang w:val="en-US"/>
        </w:rPr>
        <w:t>‘</w:t>
      </w:r>
      <w:r w:rsidRPr="0003125A">
        <w:rPr>
          <w:rFonts w:ascii="Arial" w:hAnsi="Arial" w:cs="Arial"/>
          <w:bCs/>
          <w:lang w:val="en-US"/>
        </w:rPr>
        <w:t xml:space="preserve">The Vienna Convention on the </w:t>
      </w:r>
      <w:r w:rsidRPr="0003125A">
        <w:rPr>
          <w:rFonts w:ascii="Arial" w:hAnsi="Arial" w:cs="Arial"/>
          <w:lang w:val="en-US"/>
        </w:rPr>
        <w:t xml:space="preserve">Law of Treaties: Travaux Preparatoires’ 188-92 (Dr. Ralf Gunter Wetzel, compiler; Professor Dr. Dietrich Rauschning, ed. 1978) </w:t>
      </w:r>
    </w:p>
    <w:p w14:paraId="69444D09" w14:textId="77777777" w:rsidR="00014493" w:rsidRPr="0003125A" w:rsidRDefault="00014493" w:rsidP="00014493">
      <w:pPr>
        <w:pStyle w:val="FootnoteText"/>
        <w:rPr>
          <w:rFonts w:ascii="Arial" w:hAnsi="Arial" w:cs="Arial"/>
          <w:lang w:val="en-US"/>
        </w:rPr>
      </w:pPr>
    </w:p>
    <w:p w14:paraId="7C4C4A4E" w14:textId="77777777" w:rsidR="00014493" w:rsidRPr="0003125A" w:rsidRDefault="00014493" w:rsidP="00014493">
      <w:pPr>
        <w:pStyle w:val="FootnoteText"/>
        <w:rPr>
          <w:rFonts w:ascii="Arial" w:hAnsi="Arial" w:cs="Arial"/>
          <w:lang w:val="en-US"/>
        </w:rPr>
      </w:pPr>
      <w:r w:rsidRPr="0003125A">
        <w:rPr>
          <w:rFonts w:ascii="Arial" w:hAnsi="Arial" w:cs="Arial"/>
          <w:lang w:val="en-US"/>
        </w:rPr>
        <w:t>Report of the Working Group on Reservations, UN Doc. HRI/MC/2007/5</w:t>
      </w:r>
    </w:p>
    <w:p w14:paraId="15CB82BB" w14:textId="77777777" w:rsidR="00014493" w:rsidRPr="0003125A" w:rsidRDefault="00014493" w:rsidP="00014493">
      <w:pPr>
        <w:pStyle w:val="FootnoteText"/>
        <w:rPr>
          <w:rFonts w:ascii="Arial" w:hAnsi="Arial" w:cs="Arial"/>
          <w:lang w:val="en-US"/>
        </w:rPr>
      </w:pPr>
    </w:p>
    <w:p w14:paraId="3B630518" w14:textId="77777777" w:rsidR="00014493" w:rsidRPr="0003125A" w:rsidRDefault="00014493" w:rsidP="00014493">
      <w:pPr>
        <w:pStyle w:val="FootnoteText"/>
        <w:rPr>
          <w:rFonts w:ascii="Arial" w:hAnsi="Arial" w:cs="Arial"/>
        </w:rPr>
      </w:pPr>
      <w:r w:rsidRPr="0003125A">
        <w:rPr>
          <w:rFonts w:ascii="Arial" w:hAnsi="Arial" w:cs="Arial"/>
          <w:i/>
        </w:rPr>
        <w:t>Reservations to treaties: Texts of a draft resolution and draft conclusions adopted by the Drafting Committee on first reading</w:t>
      </w:r>
      <w:r w:rsidRPr="0003125A">
        <w:rPr>
          <w:rFonts w:ascii="Arial" w:hAnsi="Arial" w:cs="Arial"/>
        </w:rPr>
        <w:t xml:space="preserve"> </w:t>
      </w:r>
      <w:r w:rsidRPr="0003125A">
        <w:rPr>
          <w:rFonts w:ascii="Arial" w:hAnsi="Arial" w:cs="Arial"/>
          <w:lang w:val="en-US"/>
        </w:rPr>
        <w:t>UN Doc A/CN.4/L.540 (1997)</w:t>
      </w:r>
    </w:p>
    <w:p w14:paraId="60C7364B" w14:textId="77777777" w:rsidR="00014493" w:rsidRPr="0003125A" w:rsidRDefault="00014493" w:rsidP="00014493">
      <w:pPr>
        <w:pStyle w:val="FootnoteText"/>
        <w:rPr>
          <w:rFonts w:ascii="Arial" w:hAnsi="Arial" w:cs="Arial"/>
          <w:lang w:val="en-US"/>
        </w:rPr>
      </w:pPr>
    </w:p>
    <w:p w14:paraId="557ACD83" w14:textId="77777777" w:rsidR="00014493" w:rsidRPr="0003125A" w:rsidRDefault="00014493" w:rsidP="00014493">
      <w:pPr>
        <w:pStyle w:val="FootnoteText"/>
        <w:rPr>
          <w:rFonts w:ascii="Arial" w:hAnsi="Arial" w:cs="Arial"/>
        </w:rPr>
      </w:pPr>
      <w:r w:rsidRPr="0003125A">
        <w:rPr>
          <w:rFonts w:ascii="Arial" w:hAnsi="Arial" w:cs="Arial"/>
          <w:i/>
        </w:rPr>
        <w:t>UN Report of the International Law Commission (ILC) on the Work of its 63rd session</w:t>
      </w:r>
      <w:r w:rsidRPr="0003125A">
        <w:rPr>
          <w:rFonts w:ascii="Arial" w:hAnsi="Arial" w:cs="Arial"/>
        </w:rPr>
        <w:t xml:space="preserve">, GA, Official Records, 66th Session, Supplement No. 10, Addendum 1, 2011, A/66/10/Add.1, Chapter IV – draft guidelines on reservations to treaties </w:t>
      </w:r>
    </w:p>
    <w:p w14:paraId="632AF481" w14:textId="77777777" w:rsidR="00014493" w:rsidRPr="0003125A" w:rsidRDefault="00014493" w:rsidP="00014493">
      <w:pPr>
        <w:pStyle w:val="FootnoteText"/>
        <w:rPr>
          <w:rFonts w:ascii="Arial" w:hAnsi="Arial" w:cs="Arial"/>
          <w:lang w:val="en-US"/>
        </w:rPr>
      </w:pPr>
    </w:p>
    <w:p w14:paraId="01F2D182" w14:textId="77777777" w:rsidR="00014493" w:rsidRPr="0003125A" w:rsidRDefault="00014493" w:rsidP="00014493">
      <w:pPr>
        <w:pStyle w:val="FootnoteText"/>
        <w:rPr>
          <w:rFonts w:ascii="Arial" w:hAnsi="Arial" w:cs="Arial"/>
        </w:rPr>
      </w:pPr>
      <w:r w:rsidRPr="0003125A">
        <w:rPr>
          <w:rFonts w:ascii="Arial" w:hAnsi="Arial" w:cs="Arial"/>
        </w:rPr>
        <w:t xml:space="preserve">Wood M, </w:t>
      </w:r>
      <w:r w:rsidRPr="0003125A">
        <w:rPr>
          <w:rFonts w:ascii="Arial" w:hAnsi="Arial" w:cs="Arial"/>
          <w:i/>
        </w:rPr>
        <w:t>First Report on Formation and Evidence of Customary International Law</w:t>
      </w:r>
      <w:r w:rsidRPr="0003125A">
        <w:rPr>
          <w:rFonts w:ascii="Arial" w:hAnsi="Arial" w:cs="Arial"/>
        </w:rPr>
        <w:t>, ILC Sixty-Fifth session, Geneva, 6 May–7 June and 8 July–9 August 2013, UN Doc. A/CN.4/663, 17 May 2013</w:t>
      </w:r>
    </w:p>
    <w:p w14:paraId="5B5C1721" w14:textId="77777777" w:rsidR="00014493" w:rsidRPr="0003125A" w:rsidRDefault="00014493" w:rsidP="00014493">
      <w:pPr>
        <w:pStyle w:val="FootnoteText"/>
        <w:rPr>
          <w:rFonts w:ascii="Arial" w:hAnsi="Arial" w:cs="Arial"/>
        </w:rPr>
      </w:pPr>
    </w:p>
    <w:p w14:paraId="76F041F3" w14:textId="77777777" w:rsidR="00014493" w:rsidRPr="0003125A" w:rsidRDefault="00014493" w:rsidP="00014493">
      <w:pPr>
        <w:pStyle w:val="FootnoteText"/>
        <w:rPr>
          <w:rFonts w:ascii="Arial" w:hAnsi="Arial" w:cs="Arial"/>
        </w:rPr>
      </w:pPr>
      <w:r w:rsidRPr="0003125A">
        <w:rPr>
          <w:rFonts w:ascii="Arial" w:hAnsi="Arial" w:cs="Arial"/>
          <w:lang w:val="en-US"/>
        </w:rPr>
        <w:t xml:space="preserve">Wood M, </w:t>
      </w:r>
      <w:r w:rsidRPr="0003125A">
        <w:rPr>
          <w:rFonts w:ascii="Arial" w:hAnsi="Arial" w:cs="Arial"/>
          <w:i/>
          <w:lang w:val="en-US"/>
        </w:rPr>
        <w:t>Second Report on Identification of Customary International Law</w:t>
      </w:r>
      <w:r w:rsidRPr="0003125A">
        <w:rPr>
          <w:rFonts w:ascii="Arial" w:hAnsi="Arial" w:cs="Arial"/>
          <w:lang w:val="en-US"/>
        </w:rPr>
        <w:t xml:space="preserve">, ILC </w:t>
      </w:r>
      <w:r w:rsidRPr="0003125A">
        <w:rPr>
          <w:rFonts w:ascii="Arial" w:hAnsi="Arial" w:cs="Arial"/>
          <w:bCs/>
        </w:rPr>
        <w:t>Sixty-Sixth session, Geneva, 5 May</w:t>
      </w:r>
      <w:r w:rsidRPr="0003125A">
        <w:rPr>
          <w:rFonts w:ascii="Arial" w:hAnsi="Arial" w:cs="Arial"/>
        </w:rPr>
        <w:t>–</w:t>
      </w:r>
      <w:r w:rsidRPr="0003125A">
        <w:rPr>
          <w:rFonts w:ascii="Arial" w:hAnsi="Arial" w:cs="Arial"/>
          <w:bCs/>
        </w:rPr>
        <w:t>6 June and 7 July</w:t>
      </w:r>
      <w:r w:rsidRPr="0003125A">
        <w:rPr>
          <w:rFonts w:ascii="Arial" w:hAnsi="Arial" w:cs="Arial"/>
        </w:rPr>
        <w:t>–</w:t>
      </w:r>
      <w:r w:rsidRPr="0003125A">
        <w:rPr>
          <w:rFonts w:ascii="Arial" w:hAnsi="Arial" w:cs="Arial"/>
          <w:bCs/>
        </w:rPr>
        <w:t xml:space="preserve">8 August 2014, UN Doc. </w:t>
      </w:r>
      <w:r w:rsidRPr="0003125A">
        <w:rPr>
          <w:rFonts w:ascii="Arial" w:hAnsi="Arial" w:cs="Arial"/>
          <w:lang w:val="en-US"/>
        </w:rPr>
        <w:t xml:space="preserve">A/CN.4/672, </w:t>
      </w:r>
      <w:r w:rsidRPr="0003125A">
        <w:rPr>
          <w:rFonts w:ascii="Arial" w:hAnsi="Arial" w:cs="Arial"/>
        </w:rPr>
        <w:t xml:space="preserve">22 May 2014 </w:t>
      </w:r>
    </w:p>
    <w:p w14:paraId="7A1F0CDF" w14:textId="77777777" w:rsidR="00014493" w:rsidRPr="0003125A" w:rsidRDefault="00014493" w:rsidP="00014493">
      <w:pPr>
        <w:pStyle w:val="FootnoteText"/>
        <w:rPr>
          <w:rFonts w:ascii="Arial" w:hAnsi="Arial" w:cs="Arial"/>
        </w:rPr>
      </w:pPr>
    </w:p>
    <w:p w14:paraId="143DC21F" w14:textId="77777777" w:rsidR="00014493" w:rsidRPr="0003125A" w:rsidRDefault="00014493" w:rsidP="00014493">
      <w:pPr>
        <w:pStyle w:val="FootnoteText"/>
        <w:rPr>
          <w:rFonts w:ascii="Arial" w:hAnsi="Arial" w:cs="Arial"/>
          <w:lang w:val="en-US"/>
        </w:rPr>
      </w:pPr>
      <w:r w:rsidRPr="0003125A">
        <w:rPr>
          <w:rFonts w:ascii="Arial" w:hAnsi="Arial" w:cs="Arial"/>
          <w:i/>
        </w:rPr>
        <w:t>T</w:t>
      </w:r>
      <w:r w:rsidRPr="0003125A">
        <w:rPr>
          <w:rFonts w:ascii="Arial" w:hAnsi="Arial" w:cs="Arial"/>
          <w:i/>
          <w:lang w:val="en-US"/>
        </w:rPr>
        <w:t>he Report of the International Law Commission on its 48th session</w:t>
      </w:r>
      <w:r w:rsidRPr="0003125A">
        <w:rPr>
          <w:rFonts w:ascii="Arial" w:hAnsi="Arial" w:cs="Arial"/>
          <w:lang w:val="en-US"/>
        </w:rPr>
        <w:t>, General Assembly Official Records Doc. A/51/10</w:t>
      </w:r>
    </w:p>
    <w:p w14:paraId="204CE386" w14:textId="77777777" w:rsidR="00014493" w:rsidRDefault="00014493" w:rsidP="00014493">
      <w:pPr>
        <w:pStyle w:val="FootnoteText"/>
        <w:rPr>
          <w:rFonts w:ascii="Arial" w:hAnsi="Arial" w:cs="Arial"/>
          <w:b/>
          <w:lang w:val="en-US"/>
        </w:rPr>
      </w:pPr>
    </w:p>
    <w:p w14:paraId="674FA08F" w14:textId="77777777" w:rsidR="00950FA2" w:rsidRDefault="00950FA2" w:rsidP="00014493">
      <w:pPr>
        <w:pStyle w:val="FootnoteText"/>
        <w:rPr>
          <w:rFonts w:ascii="Arial" w:hAnsi="Arial" w:cs="Arial"/>
          <w:b/>
          <w:lang w:val="en-US"/>
        </w:rPr>
      </w:pPr>
    </w:p>
    <w:p w14:paraId="74CF83F5" w14:textId="77777777" w:rsidR="00950FA2" w:rsidRDefault="00950FA2" w:rsidP="00014493">
      <w:pPr>
        <w:pStyle w:val="FootnoteText"/>
        <w:rPr>
          <w:rFonts w:ascii="Arial" w:hAnsi="Arial" w:cs="Arial"/>
          <w:b/>
          <w:lang w:val="en-US"/>
        </w:rPr>
      </w:pPr>
    </w:p>
    <w:p w14:paraId="5806516D" w14:textId="77777777" w:rsidR="00950FA2" w:rsidRPr="0003125A" w:rsidRDefault="00950FA2" w:rsidP="00014493">
      <w:pPr>
        <w:pStyle w:val="FootnoteText"/>
        <w:rPr>
          <w:rFonts w:ascii="Arial" w:hAnsi="Arial" w:cs="Arial"/>
          <w:b/>
          <w:lang w:val="en-US"/>
        </w:rPr>
      </w:pPr>
    </w:p>
    <w:p w14:paraId="40C1515D" w14:textId="77777777" w:rsidR="00014493" w:rsidRPr="0003125A" w:rsidRDefault="00014493" w:rsidP="00014493">
      <w:pPr>
        <w:pStyle w:val="FootnoteText"/>
        <w:rPr>
          <w:rFonts w:ascii="Arial" w:hAnsi="Arial" w:cs="Arial"/>
          <w:b/>
          <w:u w:val="single"/>
        </w:rPr>
      </w:pPr>
      <w:r w:rsidRPr="0003125A">
        <w:rPr>
          <w:rFonts w:ascii="Arial" w:hAnsi="Arial" w:cs="Arial"/>
          <w:b/>
          <w:u w:val="single"/>
        </w:rPr>
        <w:t>Other secondary sources</w:t>
      </w:r>
    </w:p>
    <w:p w14:paraId="535B33C7" w14:textId="77777777" w:rsidR="00014493" w:rsidRPr="0003125A" w:rsidRDefault="00014493" w:rsidP="00014493">
      <w:pPr>
        <w:pStyle w:val="FootnoteText"/>
        <w:rPr>
          <w:rFonts w:ascii="Arial" w:hAnsi="Arial" w:cs="Arial"/>
        </w:rPr>
      </w:pPr>
    </w:p>
    <w:p w14:paraId="6CDE2EB5" w14:textId="77777777" w:rsidR="00014493" w:rsidRPr="0003125A" w:rsidRDefault="00014493" w:rsidP="00014493">
      <w:pPr>
        <w:pStyle w:val="FootnoteText"/>
        <w:rPr>
          <w:rFonts w:ascii="Arial" w:hAnsi="Arial" w:cs="Arial"/>
          <w:b/>
        </w:rPr>
      </w:pPr>
      <w:r w:rsidRPr="0003125A">
        <w:rPr>
          <w:rFonts w:ascii="Arial" w:hAnsi="Arial" w:cs="Arial"/>
          <w:b/>
        </w:rPr>
        <w:t>Papers</w:t>
      </w:r>
    </w:p>
    <w:p w14:paraId="22B2D8A8" w14:textId="77777777" w:rsidR="00014493" w:rsidRPr="0003125A" w:rsidRDefault="00014493" w:rsidP="00014493">
      <w:pPr>
        <w:pStyle w:val="FootnoteText"/>
        <w:rPr>
          <w:rFonts w:ascii="Arial" w:hAnsi="Arial" w:cs="Arial"/>
          <w:b/>
        </w:rPr>
      </w:pPr>
    </w:p>
    <w:p w14:paraId="422E6518" w14:textId="77777777" w:rsidR="00014493" w:rsidRPr="0003125A" w:rsidRDefault="00014493" w:rsidP="00014493">
      <w:pPr>
        <w:pStyle w:val="FootnoteText"/>
        <w:rPr>
          <w:rFonts w:ascii="Arial" w:hAnsi="Arial" w:cs="Arial"/>
        </w:rPr>
      </w:pPr>
      <w:r w:rsidRPr="0003125A">
        <w:rPr>
          <w:rFonts w:ascii="Arial" w:hAnsi="Arial" w:cs="Arial"/>
        </w:rPr>
        <w:t xml:space="preserve">Horn F, </w:t>
      </w:r>
      <w:r w:rsidRPr="0003125A">
        <w:rPr>
          <w:rFonts w:ascii="Arial" w:hAnsi="Arial" w:cs="Arial"/>
          <w:i/>
        </w:rPr>
        <w:t xml:space="preserve">Reservations and Interpretative Declarations to Multilateral Treaties </w:t>
      </w:r>
      <w:r w:rsidRPr="0003125A">
        <w:rPr>
          <w:rFonts w:ascii="Arial" w:hAnsi="Arial" w:cs="Arial"/>
        </w:rPr>
        <w:t xml:space="preserve">(The Hague: Kluwer UUP 1988) </w:t>
      </w:r>
    </w:p>
    <w:p w14:paraId="08E92F2D" w14:textId="77777777" w:rsidR="00014493" w:rsidRPr="0003125A" w:rsidRDefault="00014493" w:rsidP="00014493">
      <w:pPr>
        <w:pStyle w:val="FootnoteText"/>
        <w:rPr>
          <w:rFonts w:ascii="Arial" w:hAnsi="Arial" w:cs="Arial"/>
        </w:rPr>
      </w:pPr>
    </w:p>
    <w:p w14:paraId="74C38293"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Keohane R O, “Reciprocity in International Relations”, re-produced in his </w:t>
      </w:r>
      <w:r w:rsidRPr="0003125A">
        <w:rPr>
          <w:rFonts w:ascii="Arial" w:hAnsi="Arial" w:cs="Arial"/>
          <w:i/>
          <w:iCs/>
          <w:sz w:val="24"/>
          <w:szCs w:val="24"/>
          <w:lang w:val="en-US"/>
        </w:rPr>
        <w:t xml:space="preserve">International Institutions and State Power: Essays in International Relations Theory </w:t>
      </w:r>
      <w:r w:rsidRPr="0003125A">
        <w:rPr>
          <w:rFonts w:ascii="Arial" w:hAnsi="Arial" w:cs="Arial"/>
          <w:sz w:val="24"/>
          <w:szCs w:val="24"/>
          <w:lang w:val="en-US"/>
        </w:rPr>
        <w:t>(Westview, Boulder, CO, 1989)</w:t>
      </w:r>
    </w:p>
    <w:p w14:paraId="0B752835" w14:textId="77777777" w:rsidR="00014493" w:rsidRPr="0003125A" w:rsidRDefault="00014493" w:rsidP="00014493">
      <w:pPr>
        <w:pStyle w:val="FootnoteText"/>
        <w:rPr>
          <w:rFonts w:ascii="Arial" w:hAnsi="Arial" w:cs="Arial"/>
        </w:rPr>
      </w:pPr>
    </w:p>
    <w:p w14:paraId="289434D3" w14:textId="77777777" w:rsidR="00014493" w:rsidRPr="0003125A" w:rsidRDefault="00014493" w:rsidP="00014493">
      <w:pPr>
        <w:pStyle w:val="FootnoteText"/>
        <w:rPr>
          <w:rFonts w:ascii="Arial" w:hAnsi="Arial" w:cs="Arial"/>
        </w:rPr>
      </w:pPr>
      <w:r w:rsidRPr="0003125A">
        <w:rPr>
          <w:rFonts w:ascii="Arial" w:hAnsi="Arial" w:cs="Arial"/>
        </w:rPr>
        <w:t xml:space="preserve">Raoul Wallenberg Institute, </w:t>
      </w:r>
      <w:r w:rsidRPr="0003125A">
        <w:rPr>
          <w:rFonts w:ascii="Arial" w:hAnsi="Arial" w:cs="Arial"/>
          <w:i/>
        </w:rPr>
        <w:t xml:space="preserve">General Comments or Recommendations adopted by United Nations Human Rights Treaty Bodies. Human Rights Committee </w:t>
      </w:r>
      <w:r w:rsidRPr="0003125A">
        <w:rPr>
          <w:rFonts w:ascii="Arial" w:hAnsi="Arial" w:cs="Arial"/>
        </w:rPr>
        <w:t>(3</w:t>
      </w:r>
      <w:r w:rsidRPr="0003125A">
        <w:rPr>
          <w:rFonts w:ascii="Arial" w:hAnsi="Arial" w:cs="Arial"/>
          <w:vertAlign w:val="superscript"/>
        </w:rPr>
        <w:t>rd</w:t>
      </w:r>
      <w:r w:rsidRPr="0003125A">
        <w:rPr>
          <w:rFonts w:ascii="Arial" w:hAnsi="Arial" w:cs="Arial"/>
        </w:rPr>
        <w:t xml:space="preserve"> edn, Lund University Press 2000)</w:t>
      </w:r>
    </w:p>
    <w:p w14:paraId="58BB45A3" w14:textId="77777777" w:rsidR="00014493" w:rsidRPr="0003125A" w:rsidRDefault="00014493" w:rsidP="00014493">
      <w:pPr>
        <w:pStyle w:val="FootnoteText"/>
        <w:rPr>
          <w:rFonts w:ascii="Arial" w:hAnsi="Arial" w:cs="Arial"/>
          <w:b/>
        </w:rPr>
      </w:pPr>
    </w:p>
    <w:p w14:paraId="236B66E4" w14:textId="77777777" w:rsidR="00014493" w:rsidRPr="0003125A" w:rsidRDefault="00014493" w:rsidP="00014493">
      <w:pPr>
        <w:pStyle w:val="FootnoteText"/>
        <w:rPr>
          <w:rFonts w:ascii="Arial" w:hAnsi="Arial" w:cs="Arial"/>
          <w:b/>
          <w:lang w:val="en-US"/>
        </w:rPr>
      </w:pPr>
      <w:r w:rsidRPr="0003125A">
        <w:rPr>
          <w:rFonts w:ascii="Arial" w:hAnsi="Arial" w:cs="Arial"/>
          <w:b/>
          <w:lang w:val="en-US"/>
        </w:rPr>
        <w:t>Websites and Blogs</w:t>
      </w:r>
    </w:p>
    <w:p w14:paraId="6A570926" w14:textId="77777777" w:rsidR="00014493" w:rsidRPr="0003125A" w:rsidRDefault="00014493" w:rsidP="00014493">
      <w:pPr>
        <w:pStyle w:val="FootnoteText"/>
        <w:rPr>
          <w:rFonts w:ascii="Arial" w:hAnsi="Arial" w:cs="Arial"/>
        </w:rPr>
      </w:pPr>
    </w:p>
    <w:p w14:paraId="2806EC38" w14:textId="77777777" w:rsidR="00014493" w:rsidRPr="0003125A" w:rsidRDefault="00014493" w:rsidP="00014493">
      <w:pPr>
        <w:pStyle w:val="FootnoteText"/>
        <w:rPr>
          <w:rFonts w:ascii="Arial" w:hAnsi="Arial" w:cs="Arial"/>
        </w:rPr>
      </w:pPr>
      <w:r w:rsidRPr="0003125A">
        <w:rPr>
          <w:rFonts w:ascii="Arial" w:hAnsi="Arial" w:cs="Arial"/>
        </w:rPr>
        <w:t xml:space="preserve">Human Rights Watch, </w:t>
      </w:r>
      <w:r w:rsidRPr="0003125A">
        <w:rPr>
          <w:rFonts w:ascii="Arial" w:hAnsi="Arial" w:cs="Arial"/>
          <w:i/>
          <w:iCs/>
        </w:rPr>
        <w:t>Saudi Arabia: Women’s Rights Promises Broken</w:t>
      </w:r>
      <w:r w:rsidRPr="0003125A">
        <w:rPr>
          <w:rFonts w:ascii="Arial" w:hAnsi="Arial" w:cs="Arial"/>
        </w:rPr>
        <w:t>, (8/7/2009). Available at: &lt;http://www.hrw.org/en/news/2009/07/08/saudi-arabia-women-s-rights-promises-broken&gt; accessed: 17 July 2017.</w:t>
      </w:r>
    </w:p>
    <w:p w14:paraId="2CA0EC06" w14:textId="77777777" w:rsidR="00014493" w:rsidRPr="0003125A" w:rsidRDefault="00014493" w:rsidP="00014493">
      <w:pPr>
        <w:pStyle w:val="FootnoteText"/>
        <w:rPr>
          <w:rFonts w:ascii="Arial" w:hAnsi="Arial" w:cs="Arial"/>
        </w:rPr>
      </w:pPr>
    </w:p>
    <w:p w14:paraId="348B6731" w14:textId="77777777" w:rsidR="00014493" w:rsidRPr="0003125A" w:rsidRDefault="00014493" w:rsidP="00014493">
      <w:pPr>
        <w:rPr>
          <w:rFonts w:ascii="Arial" w:hAnsi="Arial" w:cs="Arial"/>
          <w:sz w:val="24"/>
          <w:szCs w:val="24"/>
          <w:lang w:val="en-US"/>
        </w:rPr>
      </w:pPr>
      <w:r w:rsidRPr="0003125A">
        <w:rPr>
          <w:rFonts w:ascii="Arial" w:hAnsi="Arial" w:cs="Arial"/>
          <w:sz w:val="24"/>
          <w:szCs w:val="24"/>
          <w:lang w:val="en-US"/>
        </w:rPr>
        <w:t xml:space="preserve">O’Keefe R, ‘Once Upon a Time There was a Gap…’, </w:t>
      </w:r>
      <w:r w:rsidRPr="0003125A">
        <w:rPr>
          <w:rFonts w:ascii="Arial" w:hAnsi="Arial" w:cs="Arial"/>
          <w:i/>
          <w:iCs/>
          <w:sz w:val="24"/>
          <w:szCs w:val="24"/>
          <w:lang w:val="en-US"/>
        </w:rPr>
        <w:t>EJIL: Talk!</w:t>
      </w:r>
      <w:r w:rsidRPr="0003125A">
        <w:rPr>
          <w:rFonts w:ascii="Arial" w:hAnsi="Arial" w:cs="Arial"/>
          <w:sz w:val="24"/>
          <w:szCs w:val="24"/>
          <w:lang w:val="en-US"/>
        </w:rPr>
        <w:t xml:space="preserve"> (8/12/2010). Available at: &lt;www.ejiltalk. org/once-upon-a-time-there-was-a-gap-%E2%80%A6/&gt; accessed: 17</w:t>
      </w:r>
      <w:r w:rsidRPr="0003125A">
        <w:rPr>
          <w:rFonts w:ascii="Arial" w:hAnsi="Arial" w:cs="Arial"/>
          <w:sz w:val="24"/>
          <w:szCs w:val="24"/>
          <w:vertAlign w:val="superscript"/>
          <w:lang w:val="en-US"/>
        </w:rPr>
        <w:t xml:space="preserve"> </w:t>
      </w:r>
      <w:r w:rsidRPr="0003125A">
        <w:rPr>
          <w:rFonts w:ascii="Arial" w:hAnsi="Arial" w:cs="Arial"/>
          <w:sz w:val="24"/>
          <w:szCs w:val="24"/>
          <w:lang w:val="en-US"/>
        </w:rPr>
        <w:t>July 2017</w:t>
      </w:r>
    </w:p>
    <w:p w14:paraId="63028170" w14:textId="77777777" w:rsidR="00014493" w:rsidRPr="0003125A" w:rsidRDefault="00014493" w:rsidP="00014493">
      <w:pPr>
        <w:pStyle w:val="FootnoteText"/>
        <w:rPr>
          <w:rFonts w:ascii="Arial" w:hAnsi="Arial" w:cs="Arial"/>
          <w:lang w:val="en-US"/>
        </w:rPr>
      </w:pPr>
    </w:p>
    <w:p w14:paraId="722CA031" w14:textId="77777777" w:rsidR="00014493" w:rsidRPr="0003125A" w:rsidRDefault="00014493" w:rsidP="00014493">
      <w:pPr>
        <w:pStyle w:val="FootnoteText"/>
        <w:rPr>
          <w:rFonts w:ascii="Arial" w:hAnsi="Arial" w:cs="Arial"/>
          <w:lang w:val="en-US"/>
        </w:rPr>
      </w:pPr>
    </w:p>
    <w:p w14:paraId="350A7754" w14:textId="77777777" w:rsidR="00014493" w:rsidRPr="0003125A" w:rsidRDefault="00014493" w:rsidP="00014493">
      <w:pPr>
        <w:pStyle w:val="FootnoteText"/>
        <w:rPr>
          <w:rFonts w:ascii="Arial" w:hAnsi="Arial" w:cs="Arial"/>
          <w:lang w:val="en-US"/>
        </w:rPr>
      </w:pPr>
    </w:p>
    <w:p w14:paraId="6D90B159" w14:textId="77777777" w:rsidR="00014493" w:rsidRPr="0003125A" w:rsidRDefault="00014493" w:rsidP="00014493">
      <w:pPr>
        <w:pStyle w:val="FootnoteText"/>
        <w:rPr>
          <w:rFonts w:ascii="Arial" w:hAnsi="Arial" w:cs="Arial"/>
          <w:lang w:val="en-US"/>
        </w:rPr>
      </w:pPr>
    </w:p>
    <w:p w14:paraId="62F08962" w14:textId="77777777" w:rsidR="00014493" w:rsidRPr="0003125A" w:rsidRDefault="00014493" w:rsidP="00014493">
      <w:pPr>
        <w:rPr>
          <w:rFonts w:ascii="Arial" w:hAnsi="Arial" w:cs="Arial"/>
          <w:sz w:val="24"/>
          <w:szCs w:val="24"/>
          <w:lang w:val="en-US"/>
        </w:rPr>
      </w:pPr>
    </w:p>
    <w:p w14:paraId="40D35DBA" w14:textId="77777777" w:rsidR="00014493" w:rsidRPr="0003125A" w:rsidRDefault="00014493" w:rsidP="00014493">
      <w:pPr>
        <w:pStyle w:val="FootnoteText"/>
        <w:rPr>
          <w:rFonts w:ascii="Arial" w:hAnsi="Arial" w:cs="Arial"/>
          <w:lang w:val="en-US"/>
        </w:rPr>
      </w:pPr>
    </w:p>
    <w:p w14:paraId="07BF7C58" w14:textId="77777777" w:rsidR="00014493" w:rsidRPr="0003125A" w:rsidRDefault="00014493" w:rsidP="00014493">
      <w:pPr>
        <w:pStyle w:val="FootnoteText"/>
        <w:rPr>
          <w:rFonts w:ascii="Arial" w:hAnsi="Arial" w:cs="Arial"/>
          <w:i/>
          <w:iCs/>
          <w:lang w:val="en-US"/>
        </w:rPr>
      </w:pPr>
    </w:p>
    <w:p w14:paraId="5811F24A" w14:textId="77777777" w:rsidR="00014493" w:rsidRPr="0003125A" w:rsidRDefault="00014493" w:rsidP="00014493">
      <w:pPr>
        <w:pStyle w:val="FootnoteText"/>
        <w:rPr>
          <w:rFonts w:ascii="Arial" w:hAnsi="Arial" w:cs="Arial"/>
          <w:lang w:val="en-US"/>
        </w:rPr>
      </w:pPr>
    </w:p>
    <w:p w14:paraId="4388F52C" w14:textId="77777777" w:rsidR="00014493" w:rsidRPr="0003125A" w:rsidRDefault="00014493" w:rsidP="00014493">
      <w:pPr>
        <w:pStyle w:val="FootnoteText"/>
        <w:rPr>
          <w:rFonts w:ascii="Arial" w:hAnsi="Arial" w:cs="Arial"/>
        </w:rPr>
      </w:pPr>
    </w:p>
    <w:p w14:paraId="78326F39" w14:textId="77777777" w:rsidR="00014493" w:rsidRPr="0003125A" w:rsidRDefault="00014493" w:rsidP="00014493">
      <w:pPr>
        <w:pStyle w:val="FootnoteText"/>
        <w:rPr>
          <w:rStyle w:val="FootnoteReference"/>
          <w:rFonts w:ascii="Arial" w:hAnsi="Arial" w:cs="Arial"/>
        </w:rPr>
      </w:pPr>
    </w:p>
    <w:p w14:paraId="41E1E088" w14:textId="77777777" w:rsidR="00014493" w:rsidRPr="0003125A" w:rsidRDefault="00014493" w:rsidP="00014493">
      <w:pPr>
        <w:pStyle w:val="FootnoteText"/>
        <w:rPr>
          <w:rStyle w:val="FootnoteReference"/>
          <w:rFonts w:ascii="Arial" w:hAnsi="Arial" w:cs="Arial"/>
        </w:rPr>
      </w:pPr>
    </w:p>
    <w:p w14:paraId="116FA0F1" w14:textId="77777777" w:rsidR="00014493" w:rsidRPr="0003125A" w:rsidRDefault="00014493" w:rsidP="00014493">
      <w:pPr>
        <w:pStyle w:val="FootnoteText"/>
        <w:rPr>
          <w:rFonts w:ascii="Arial" w:hAnsi="Arial" w:cs="Arial"/>
          <w:lang w:val="en-US"/>
        </w:rPr>
      </w:pPr>
      <w:r w:rsidRPr="0003125A">
        <w:rPr>
          <w:rFonts w:ascii="Arial" w:hAnsi="Arial" w:cs="Arial"/>
          <w:lang w:val="en-US"/>
        </w:rPr>
        <w:t> </w:t>
      </w:r>
    </w:p>
    <w:p w14:paraId="027E07BC" w14:textId="77777777" w:rsidR="00014493" w:rsidRPr="0003125A" w:rsidRDefault="00014493" w:rsidP="00014493">
      <w:pPr>
        <w:rPr>
          <w:rFonts w:ascii="Arial" w:hAnsi="Arial" w:cs="Arial"/>
          <w:sz w:val="24"/>
          <w:szCs w:val="24"/>
        </w:rPr>
      </w:pPr>
    </w:p>
    <w:p w14:paraId="3AA09A2C" w14:textId="77777777" w:rsidR="00014493" w:rsidRPr="00014493" w:rsidRDefault="00014493" w:rsidP="00014493">
      <w:pPr>
        <w:spacing w:line="360" w:lineRule="auto"/>
        <w:rPr>
          <w:rFonts w:ascii="Arial" w:hAnsi="Arial" w:cs="Arial"/>
          <w:sz w:val="24"/>
          <w:szCs w:val="24"/>
        </w:rPr>
      </w:pPr>
    </w:p>
    <w:p w14:paraId="5A9EC34B" w14:textId="77777777" w:rsidR="00381C61" w:rsidRPr="00381C61" w:rsidRDefault="00381C61" w:rsidP="00381C61">
      <w:pPr>
        <w:spacing w:line="360" w:lineRule="auto"/>
        <w:rPr>
          <w:rFonts w:ascii="Arial" w:hAnsi="Arial" w:cs="Arial"/>
        </w:rPr>
      </w:pPr>
    </w:p>
    <w:p w14:paraId="1D7FA6FD" w14:textId="77777777" w:rsidR="00C72063" w:rsidRDefault="00C72063" w:rsidP="007D7C04">
      <w:pPr>
        <w:spacing w:line="360" w:lineRule="auto"/>
        <w:rPr>
          <w:rFonts w:ascii="Arial" w:hAnsi="Arial" w:cs="Arial"/>
        </w:rPr>
      </w:pPr>
    </w:p>
    <w:p w14:paraId="0944CEF5" w14:textId="77777777" w:rsidR="00B96FA3" w:rsidRDefault="00B96FA3" w:rsidP="00767854">
      <w:pPr>
        <w:spacing w:line="360" w:lineRule="auto"/>
        <w:rPr>
          <w:rFonts w:ascii="Arial" w:hAnsi="Arial" w:cs="Arial"/>
        </w:rPr>
      </w:pPr>
    </w:p>
    <w:p w14:paraId="394C9812" w14:textId="77777777" w:rsidR="00DE18E5" w:rsidRDefault="00DE18E5"/>
    <w:sectPr w:rsidR="00DE18E5" w:rsidSect="00FC619F">
      <w:footerReference w:type="even" r:id="rId8"/>
      <w:footerReference w:type="default" r:id="rId9"/>
      <w:pgSz w:w="11900" w:h="16840"/>
      <w:pgMar w:top="1440" w:right="1835" w:bottom="1276"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B8D84F" w14:textId="77777777" w:rsidR="001A5BF9" w:rsidRDefault="001A5BF9" w:rsidP="007F5159">
      <w:pPr>
        <w:spacing w:after="0" w:line="240" w:lineRule="auto"/>
      </w:pPr>
      <w:r>
        <w:separator/>
      </w:r>
    </w:p>
  </w:endnote>
  <w:endnote w:type="continuationSeparator" w:id="0">
    <w:p w14:paraId="6632B164" w14:textId="77777777" w:rsidR="001A5BF9" w:rsidRDefault="001A5BF9" w:rsidP="007F5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Baskerville">
    <w:panose1 w:val="02020502070401020303"/>
    <w:charset w:val="00"/>
    <w:family w:val="auto"/>
    <w:pitch w:val="variable"/>
    <w:sig w:usb0="80000067" w:usb1="02000000"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9393F" w14:textId="77777777" w:rsidR="001A5BF9" w:rsidRDefault="001A5BF9" w:rsidP="00F73F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4435D90" w14:textId="77777777" w:rsidR="001A5BF9" w:rsidRDefault="001A5BF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CF8D0A" w14:textId="77777777" w:rsidR="001A5BF9" w:rsidRPr="00E4020C" w:rsidRDefault="001A5BF9" w:rsidP="00F73FF6">
    <w:pPr>
      <w:pStyle w:val="Footer"/>
      <w:framePr w:wrap="around" w:vAnchor="text" w:hAnchor="margin" w:xAlign="center" w:y="1"/>
      <w:rPr>
        <w:rStyle w:val="PageNumber"/>
        <w:rFonts w:ascii="Arial" w:hAnsi="Arial" w:cs="Arial"/>
      </w:rPr>
    </w:pPr>
    <w:r w:rsidRPr="00E4020C">
      <w:rPr>
        <w:rStyle w:val="PageNumber"/>
        <w:rFonts w:ascii="Arial" w:hAnsi="Arial" w:cs="Arial"/>
      </w:rPr>
      <w:fldChar w:fldCharType="begin"/>
    </w:r>
    <w:r w:rsidRPr="00E4020C">
      <w:rPr>
        <w:rStyle w:val="PageNumber"/>
        <w:rFonts w:ascii="Arial" w:hAnsi="Arial" w:cs="Arial"/>
      </w:rPr>
      <w:instrText xml:space="preserve">PAGE  </w:instrText>
    </w:r>
    <w:r w:rsidRPr="00E4020C">
      <w:rPr>
        <w:rStyle w:val="PageNumber"/>
        <w:rFonts w:ascii="Arial" w:hAnsi="Arial" w:cs="Arial"/>
      </w:rPr>
      <w:fldChar w:fldCharType="separate"/>
    </w:r>
    <w:r w:rsidR="008E7C66">
      <w:rPr>
        <w:rStyle w:val="PageNumber"/>
        <w:rFonts w:ascii="Arial" w:hAnsi="Arial" w:cs="Arial"/>
        <w:noProof/>
      </w:rPr>
      <w:t>1</w:t>
    </w:r>
    <w:r w:rsidRPr="00E4020C">
      <w:rPr>
        <w:rStyle w:val="PageNumber"/>
        <w:rFonts w:ascii="Arial" w:hAnsi="Arial" w:cs="Arial"/>
      </w:rPr>
      <w:fldChar w:fldCharType="end"/>
    </w:r>
  </w:p>
  <w:p w14:paraId="2DF53A6F" w14:textId="77777777" w:rsidR="001A5BF9" w:rsidRDefault="001A5BF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385533" w14:textId="77777777" w:rsidR="001A5BF9" w:rsidRDefault="001A5BF9" w:rsidP="007F5159">
      <w:pPr>
        <w:spacing w:after="0" w:line="240" w:lineRule="auto"/>
      </w:pPr>
      <w:r>
        <w:separator/>
      </w:r>
    </w:p>
  </w:footnote>
  <w:footnote w:type="continuationSeparator" w:id="0">
    <w:p w14:paraId="55C38E18" w14:textId="77777777" w:rsidR="001A5BF9" w:rsidRDefault="001A5BF9" w:rsidP="007F5159">
      <w:pPr>
        <w:spacing w:after="0" w:line="240" w:lineRule="auto"/>
      </w:pPr>
      <w:r>
        <w:continuationSeparator/>
      </w:r>
    </w:p>
  </w:footnote>
  <w:footnote w:id="1">
    <w:p w14:paraId="4721E777" w14:textId="052F88CF" w:rsidR="001A5BF9" w:rsidRPr="00432BF0" w:rsidRDefault="001A5BF9">
      <w:pPr>
        <w:pStyle w:val="FootnoteText"/>
        <w:rPr>
          <w:rFonts w:ascii="Arial" w:hAnsi="Arial"/>
          <w:sz w:val="20"/>
          <w:szCs w:val="20"/>
          <w:lang w:val="en-US"/>
        </w:rPr>
      </w:pPr>
      <w:r w:rsidRPr="00432BF0">
        <w:rPr>
          <w:rStyle w:val="FootnoteReference"/>
          <w:rFonts w:ascii="Arial" w:hAnsi="Arial"/>
          <w:sz w:val="20"/>
          <w:szCs w:val="20"/>
        </w:rPr>
        <w:footnoteRef/>
      </w:r>
      <w:r w:rsidRPr="00432BF0">
        <w:rPr>
          <w:rFonts w:ascii="Arial" w:hAnsi="Arial"/>
          <w:sz w:val="20"/>
          <w:szCs w:val="20"/>
        </w:rPr>
        <w:t xml:space="preserve"> </w:t>
      </w:r>
      <w:r>
        <w:rPr>
          <w:rFonts w:ascii="Arial" w:hAnsi="Arial"/>
          <w:sz w:val="20"/>
          <w:szCs w:val="20"/>
        </w:rPr>
        <w:t xml:space="preserve">The </w:t>
      </w:r>
      <w:r w:rsidRPr="00432BF0">
        <w:rPr>
          <w:rFonts w:ascii="Arial" w:hAnsi="Arial"/>
          <w:sz w:val="20"/>
          <w:szCs w:val="20"/>
          <w:lang w:val="en-US"/>
        </w:rPr>
        <w:t>Vienna Convention on the Law of Treaties</w:t>
      </w:r>
      <w:r>
        <w:rPr>
          <w:rFonts w:ascii="Arial" w:hAnsi="Arial"/>
          <w:sz w:val="20"/>
          <w:szCs w:val="20"/>
          <w:lang w:val="en-US"/>
        </w:rPr>
        <w:t xml:space="preserve"> [hereinafter Vienna Convention]</w:t>
      </w:r>
      <w:r w:rsidRPr="00432BF0">
        <w:rPr>
          <w:rFonts w:ascii="Arial" w:hAnsi="Arial"/>
          <w:sz w:val="20"/>
          <w:szCs w:val="20"/>
          <w:lang w:val="en-US"/>
        </w:rPr>
        <w:t xml:space="preserve">, 1155 UNTS 331, 23 May 1969; (1969) 8 ILM 679. </w:t>
      </w:r>
    </w:p>
  </w:footnote>
  <w:footnote w:id="2">
    <w:p w14:paraId="5BE1A0DF" w14:textId="77777777" w:rsidR="001A5BF9" w:rsidRPr="002D2633" w:rsidRDefault="001A5BF9" w:rsidP="00CE008B">
      <w:pPr>
        <w:pStyle w:val="FootnoteText"/>
        <w:rPr>
          <w:rFonts w:ascii="Arial" w:hAnsi="Arial" w:cs="Arial"/>
          <w:sz w:val="20"/>
          <w:szCs w:val="20"/>
          <w:lang w:val="en-US"/>
        </w:rPr>
      </w:pPr>
      <w:r w:rsidRPr="0006144C">
        <w:rPr>
          <w:rStyle w:val="FootnoteReference"/>
          <w:rFonts w:ascii="Arial" w:hAnsi="Arial" w:cs="Arial"/>
          <w:sz w:val="20"/>
          <w:szCs w:val="20"/>
        </w:rPr>
        <w:footnoteRef/>
      </w:r>
      <w:r w:rsidRPr="0006144C">
        <w:rPr>
          <w:rFonts w:ascii="Arial" w:hAnsi="Arial" w:cs="Arial"/>
          <w:sz w:val="20"/>
          <w:szCs w:val="20"/>
        </w:rPr>
        <w:t xml:space="preserve"> </w:t>
      </w:r>
      <w:r>
        <w:rPr>
          <w:rFonts w:ascii="Arial" w:hAnsi="Arial" w:cs="Arial"/>
          <w:sz w:val="20"/>
          <w:szCs w:val="20"/>
        </w:rPr>
        <w:t xml:space="preserve">The International Court of Justice affirmed this </w:t>
      </w:r>
      <w:r w:rsidRPr="00367DC5">
        <w:rPr>
          <w:rFonts w:ascii="Arial" w:hAnsi="Arial" w:cs="Arial"/>
          <w:sz w:val="20"/>
          <w:szCs w:val="20"/>
        </w:rPr>
        <w:t>contention</w:t>
      </w:r>
      <w:r>
        <w:rPr>
          <w:rFonts w:ascii="Arial" w:hAnsi="Arial" w:cs="Arial"/>
          <w:sz w:val="20"/>
          <w:szCs w:val="20"/>
        </w:rPr>
        <w:t xml:space="preserve"> in its </w:t>
      </w:r>
      <w:r w:rsidRPr="00367DC5">
        <w:rPr>
          <w:rFonts w:ascii="Arial" w:hAnsi="Arial" w:cs="Arial"/>
          <w:sz w:val="20"/>
          <w:szCs w:val="20"/>
        </w:rPr>
        <w:t xml:space="preserve">Advisory Opinion </w:t>
      </w:r>
      <w:r>
        <w:rPr>
          <w:rFonts w:ascii="Arial" w:hAnsi="Arial" w:cs="Arial"/>
          <w:sz w:val="20"/>
          <w:szCs w:val="20"/>
        </w:rPr>
        <w:t xml:space="preserve">of 28 May 1951 </w:t>
      </w:r>
      <w:r w:rsidRPr="00367DC5">
        <w:rPr>
          <w:rFonts w:ascii="Arial" w:hAnsi="Arial" w:cs="Arial"/>
          <w:sz w:val="20"/>
          <w:szCs w:val="20"/>
        </w:rPr>
        <w:t>on</w:t>
      </w:r>
      <w:r>
        <w:rPr>
          <w:rFonts w:ascii="Arial" w:hAnsi="Arial" w:cs="Arial"/>
          <w:i/>
          <w:sz w:val="20"/>
          <w:szCs w:val="20"/>
        </w:rPr>
        <w:t xml:space="preserve"> Reservations to the Convention on the Prevention and Punishment of the Crime of Genocide</w:t>
      </w:r>
      <w:r>
        <w:rPr>
          <w:rFonts w:ascii="Arial" w:hAnsi="Arial" w:cs="Arial"/>
          <w:sz w:val="20"/>
          <w:szCs w:val="20"/>
        </w:rPr>
        <w:t xml:space="preserve"> </w:t>
      </w:r>
      <w:r w:rsidRPr="00367DC5">
        <w:rPr>
          <w:rFonts w:ascii="Arial" w:hAnsi="Arial" w:cs="Arial"/>
          <w:sz w:val="20"/>
          <w:szCs w:val="20"/>
        </w:rPr>
        <w:t>(Advisory Opinion) [1951] ICJ Rep 15, 23</w:t>
      </w:r>
      <w:r>
        <w:rPr>
          <w:rFonts w:ascii="Arial" w:hAnsi="Arial" w:cs="Arial"/>
          <w:sz w:val="20"/>
          <w:szCs w:val="20"/>
        </w:rPr>
        <w:t>.</w:t>
      </w:r>
    </w:p>
  </w:footnote>
  <w:footnote w:id="3">
    <w:p w14:paraId="3191E45F" w14:textId="6BDACABD" w:rsidR="001A5BF9" w:rsidRPr="001C735F" w:rsidRDefault="001A5BF9">
      <w:pPr>
        <w:pStyle w:val="FootnoteText"/>
        <w:rPr>
          <w:rFonts w:ascii="Arial" w:hAnsi="Arial" w:cs="Arial"/>
          <w:sz w:val="20"/>
          <w:szCs w:val="20"/>
          <w:lang w:val="en-US"/>
        </w:rPr>
      </w:pPr>
      <w:r w:rsidRPr="001C735F">
        <w:rPr>
          <w:rStyle w:val="FootnoteReference"/>
          <w:rFonts w:ascii="Arial" w:hAnsi="Arial" w:cs="Arial"/>
          <w:sz w:val="20"/>
          <w:szCs w:val="20"/>
        </w:rPr>
        <w:footnoteRef/>
      </w:r>
      <w:r w:rsidRPr="001C735F">
        <w:rPr>
          <w:rFonts w:ascii="Arial" w:hAnsi="Arial" w:cs="Arial"/>
          <w:sz w:val="20"/>
          <w:szCs w:val="20"/>
        </w:rPr>
        <w:t xml:space="preserve"> </w:t>
      </w:r>
      <w:r>
        <w:rPr>
          <w:rFonts w:ascii="Arial" w:hAnsi="Arial" w:cs="Arial"/>
          <w:sz w:val="20"/>
          <w:szCs w:val="20"/>
        </w:rPr>
        <w:t xml:space="preserve">R. M.M. Wallace &amp; O. Martin-Ortega, </w:t>
      </w:r>
      <w:r>
        <w:rPr>
          <w:rFonts w:ascii="Arial" w:hAnsi="Arial" w:cs="Arial"/>
          <w:i/>
          <w:sz w:val="20"/>
          <w:szCs w:val="20"/>
        </w:rPr>
        <w:t xml:space="preserve">International Law </w:t>
      </w:r>
      <w:r>
        <w:rPr>
          <w:rFonts w:ascii="Arial" w:hAnsi="Arial" w:cs="Arial"/>
          <w:sz w:val="20"/>
          <w:szCs w:val="20"/>
        </w:rPr>
        <w:t>(7</w:t>
      </w:r>
      <w:r w:rsidRPr="00530A91">
        <w:rPr>
          <w:rFonts w:ascii="Arial" w:hAnsi="Arial" w:cs="Arial"/>
          <w:sz w:val="20"/>
          <w:szCs w:val="20"/>
          <w:vertAlign w:val="superscript"/>
        </w:rPr>
        <w:t>th</w:t>
      </w:r>
      <w:r>
        <w:rPr>
          <w:rFonts w:ascii="Arial" w:hAnsi="Arial" w:cs="Arial"/>
          <w:sz w:val="20"/>
          <w:szCs w:val="20"/>
        </w:rPr>
        <w:t xml:space="preserve"> edn, Sweet &amp; Maxwell 2013), p 273.</w:t>
      </w:r>
    </w:p>
  </w:footnote>
  <w:footnote w:id="4">
    <w:p w14:paraId="686EDD18" w14:textId="18154DBE" w:rsidR="001A5BF9" w:rsidRPr="005847BB" w:rsidRDefault="001A5BF9" w:rsidP="00733D7B">
      <w:pPr>
        <w:pStyle w:val="FootnoteText"/>
        <w:rPr>
          <w:rFonts w:ascii="Arial" w:hAnsi="Arial" w:cs="Arial"/>
          <w:color w:val="000000"/>
          <w:sz w:val="20"/>
          <w:szCs w:val="20"/>
        </w:rPr>
      </w:pPr>
      <w:r w:rsidRPr="002019BF">
        <w:rPr>
          <w:rStyle w:val="FootnoteReference"/>
          <w:rFonts w:ascii="Arial" w:hAnsi="Arial" w:cs="Arial"/>
          <w:sz w:val="20"/>
          <w:szCs w:val="20"/>
        </w:rPr>
        <w:footnoteRef/>
      </w:r>
      <w:r w:rsidRPr="002019BF">
        <w:rPr>
          <w:rFonts w:ascii="Arial" w:hAnsi="Arial" w:cs="Arial"/>
          <w:sz w:val="20"/>
          <w:szCs w:val="20"/>
        </w:rPr>
        <w:t xml:space="preserve"> </w:t>
      </w:r>
      <w:r>
        <w:rPr>
          <w:rFonts w:ascii="Arial" w:hAnsi="Arial" w:cs="Arial"/>
          <w:color w:val="000000"/>
          <w:sz w:val="20"/>
          <w:szCs w:val="20"/>
        </w:rPr>
        <w:t xml:space="preserve">An interpretative declaration is distinct from a reservation by virtue of it being merely a state party’s statement voicing its discontent with certain parts of the treaty. By contrast, a reservation permits a state to deviate from applying the treaty. See </w:t>
      </w:r>
      <w:r>
        <w:rPr>
          <w:rFonts w:ascii="Arial" w:hAnsi="Arial" w:cs="Arial"/>
          <w:sz w:val="20"/>
          <w:szCs w:val="20"/>
        </w:rPr>
        <w:t xml:space="preserve">F. Horn, </w:t>
      </w:r>
      <w:r>
        <w:rPr>
          <w:rFonts w:ascii="Arial" w:hAnsi="Arial" w:cs="Arial"/>
          <w:i/>
          <w:sz w:val="20"/>
          <w:szCs w:val="20"/>
        </w:rPr>
        <w:t xml:space="preserve">Reservations and Interpretative Declarations to Multilateral Treaties </w:t>
      </w:r>
      <w:r>
        <w:rPr>
          <w:rFonts w:ascii="Arial" w:hAnsi="Arial" w:cs="Arial"/>
          <w:sz w:val="20"/>
          <w:szCs w:val="20"/>
        </w:rPr>
        <w:t xml:space="preserve">(The Hague: Kluwer UUP 1988), p. 229 </w:t>
      </w:r>
      <w:r>
        <w:rPr>
          <w:rFonts w:ascii="Arial" w:hAnsi="Arial" w:cs="Arial"/>
          <w:i/>
          <w:sz w:val="20"/>
          <w:szCs w:val="20"/>
        </w:rPr>
        <w:t>et seq</w:t>
      </w:r>
      <w:r>
        <w:rPr>
          <w:rFonts w:ascii="Arial" w:hAnsi="Arial" w:cs="Arial"/>
          <w:sz w:val="20"/>
          <w:szCs w:val="20"/>
        </w:rPr>
        <w:t xml:space="preserve">.; A. Pellet, </w:t>
      </w:r>
      <w:r w:rsidRPr="00B30A5D">
        <w:rPr>
          <w:rFonts w:ascii="Arial" w:hAnsi="Arial" w:cs="Arial"/>
          <w:i/>
          <w:sz w:val="20"/>
          <w:szCs w:val="20"/>
        </w:rPr>
        <w:t>Third report on reservations to treaties</w:t>
      </w:r>
      <w:r>
        <w:rPr>
          <w:rFonts w:ascii="Arial" w:hAnsi="Arial" w:cs="Arial"/>
          <w:sz w:val="20"/>
          <w:szCs w:val="20"/>
        </w:rPr>
        <w:t xml:space="preserve">, UN Doc. A/CN.4/491/Add.4 (1998), at 236 </w:t>
      </w:r>
      <w:r>
        <w:rPr>
          <w:rFonts w:ascii="Arial" w:hAnsi="Arial" w:cs="Arial"/>
          <w:i/>
          <w:sz w:val="20"/>
          <w:szCs w:val="20"/>
        </w:rPr>
        <w:t>et seq</w:t>
      </w:r>
      <w:r>
        <w:rPr>
          <w:rFonts w:ascii="Arial" w:hAnsi="Arial" w:cs="Arial"/>
          <w:sz w:val="20"/>
          <w:szCs w:val="20"/>
        </w:rPr>
        <w:t xml:space="preserve">.; </w:t>
      </w:r>
      <w:r>
        <w:rPr>
          <w:rFonts w:ascii="Arial" w:hAnsi="Arial" w:cs="Arial"/>
          <w:i/>
          <w:sz w:val="20"/>
          <w:szCs w:val="20"/>
        </w:rPr>
        <w:t xml:space="preserve">Anglo-French Continental Shelf </w:t>
      </w:r>
      <w:r>
        <w:rPr>
          <w:rFonts w:ascii="Arial" w:hAnsi="Arial" w:cs="Arial"/>
          <w:sz w:val="20"/>
          <w:szCs w:val="20"/>
        </w:rPr>
        <w:t xml:space="preserve">arbitration, decision of 30 June 1977, 18 </w:t>
      </w:r>
      <w:r>
        <w:rPr>
          <w:rFonts w:ascii="Arial" w:hAnsi="Arial" w:cs="Arial"/>
          <w:i/>
          <w:sz w:val="20"/>
          <w:szCs w:val="20"/>
        </w:rPr>
        <w:t xml:space="preserve">ILM </w:t>
      </w:r>
      <w:r>
        <w:rPr>
          <w:rFonts w:ascii="Arial" w:hAnsi="Arial" w:cs="Arial"/>
          <w:sz w:val="20"/>
          <w:szCs w:val="20"/>
        </w:rPr>
        <w:t>(1979) 397 = RIAAXVIII, 3; see also the comment by P-H. Imbert, ‘La question des r</w:t>
      </w:r>
      <w:r w:rsidRPr="00600F44">
        <w:rPr>
          <w:rFonts w:ascii="Arial" w:hAnsi="Arial" w:cs="Arial"/>
          <w:color w:val="000000"/>
          <w:sz w:val="20"/>
          <w:szCs w:val="20"/>
        </w:rPr>
        <w:t>é</w:t>
      </w:r>
      <w:r>
        <w:rPr>
          <w:rFonts w:ascii="Arial" w:hAnsi="Arial" w:cs="Arial"/>
          <w:sz w:val="20"/>
          <w:szCs w:val="20"/>
        </w:rPr>
        <w:t>serves dans la decision</w:t>
      </w:r>
      <w:r>
        <w:rPr>
          <w:rFonts w:ascii="Arial" w:hAnsi="Arial" w:cs="Arial"/>
          <w:color w:val="000000"/>
          <w:sz w:val="20"/>
          <w:szCs w:val="20"/>
        </w:rPr>
        <w:t xml:space="preserve"> arbitrale du 30 juin 1977 relative </w:t>
      </w:r>
      <w:r w:rsidRPr="00B74D6B">
        <w:rPr>
          <w:rFonts w:ascii="Arial" w:hAnsi="Arial" w:cs="Arial"/>
          <w:color w:val="000000"/>
          <w:sz w:val="20"/>
          <w:szCs w:val="20"/>
        </w:rPr>
        <w:t xml:space="preserve">à la </w:t>
      </w:r>
      <w:r>
        <w:rPr>
          <w:rFonts w:ascii="Arial" w:hAnsi="Arial" w:cs="Arial"/>
          <w:color w:val="000000"/>
          <w:sz w:val="20"/>
          <w:szCs w:val="20"/>
        </w:rPr>
        <w:t>d</w:t>
      </w:r>
      <w:r w:rsidRPr="00600F44">
        <w:rPr>
          <w:rFonts w:ascii="Arial" w:hAnsi="Arial" w:cs="Arial"/>
          <w:color w:val="000000"/>
          <w:sz w:val="20"/>
          <w:szCs w:val="20"/>
        </w:rPr>
        <w:t>é</w:t>
      </w:r>
      <w:r>
        <w:rPr>
          <w:rFonts w:ascii="Arial" w:hAnsi="Arial" w:cs="Arial"/>
          <w:color w:val="000000"/>
          <w:sz w:val="20"/>
          <w:szCs w:val="20"/>
        </w:rPr>
        <w:t>limitation du plateau continental entre la R</w:t>
      </w:r>
      <w:r w:rsidRPr="00600F44">
        <w:rPr>
          <w:rFonts w:ascii="Arial" w:hAnsi="Arial" w:cs="Arial"/>
          <w:color w:val="000000"/>
          <w:sz w:val="20"/>
          <w:szCs w:val="20"/>
        </w:rPr>
        <w:t>é</w:t>
      </w:r>
      <w:r>
        <w:rPr>
          <w:rFonts w:ascii="Arial" w:hAnsi="Arial" w:cs="Arial"/>
          <w:color w:val="000000"/>
          <w:sz w:val="20"/>
          <w:szCs w:val="20"/>
        </w:rPr>
        <w:t>publique fran</w:t>
      </w:r>
      <w:r w:rsidRPr="00B74D6B">
        <w:rPr>
          <w:rFonts w:ascii="Arial" w:hAnsi="Arial" w:cs="Arial"/>
          <w:color w:val="000000"/>
          <w:sz w:val="20"/>
          <w:szCs w:val="20"/>
        </w:rPr>
        <w:t>çaise</w:t>
      </w:r>
      <w:r>
        <w:rPr>
          <w:rFonts w:ascii="Arial" w:hAnsi="Arial" w:cs="Arial"/>
          <w:color w:val="000000"/>
          <w:sz w:val="20"/>
          <w:szCs w:val="20"/>
        </w:rPr>
        <w:t xml:space="preserve"> et le Royaume-Uni de Grande-Bretagne et l’Irlande du Nord’, 24 </w:t>
      </w:r>
      <w:r>
        <w:rPr>
          <w:rFonts w:ascii="Arial" w:hAnsi="Arial" w:cs="Arial"/>
          <w:i/>
          <w:color w:val="000000"/>
          <w:sz w:val="20"/>
          <w:szCs w:val="20"/>
        </w:rPr>
        <w:t xml:space="preserve">AFDI </w:t>
      </w:r>
      <w:r>
        <w:rPr>
          <w:rFonts w:ascii="Arial" w:hAnsi="Arial" w:cs="Arial"/>
          <w:color w:val="000000"/>
          <w:sz w:val="20"/>
          <w:szCs w:val="20"/>
        </w:rPr>
        <w:t>(1978), pp. 29-58; D. McRae, ‘</w:t>
      </w:r>
      <w:r w:rsidRPr="005847BB">
        <w:rPr>
          <w:rFonts w:ascii="Arial" w:hAnsi="Arial" w:cs="Arial"/>
          <w:color w:val="000000"/>
          <w:sz w:val="20"/>
          <w:szCs w:val="20"/>
        </w:rPr>
        <w:t>The Legal Effect of Interpretative De</w:t>
      </w:r>
      <w:r>
        <w:rPr>
          <w:rFonts w:ascii="Arial" w:hAnsi="Arial" w:cs="Arial"/>
          <w:color w:val="000000"/>
          <w:sz w:val="20"/>
          <w:szCs w:val="20"/>
        </w:rPr>
        <w:t xml:space="preserve">clarations’, 49 </w:t>
      </w:r>
      <w:r>
        <w:rPr>
          <w:rFonts w:ascii="Arial" w:hAnsi="Arial" w:cs="Arial"/>
          <w:i/>
          <w:color w:val="000000"/>
          <w:sz w:val="20"/>
          <w:szCs w:val="20"/>
        </w:rPr>
        <w:t xml:space="preserve">BYIL </w:t>
      </w:r>
      <w:r>
        <w:rPr>
          <w:rFonts w:ascii="Arial" w:hAnsi="Arial" w:cs="Arial"/>
          <w:color w:val="000000"/>
          <w:sz w:val="20"/>
          <w:szCs w:val="20"/>
        </w:rPr>
        <w:t xml:space="preserve">155 (1978). </w:t>
      </w:r>
    </w:p>
  </w:footnote>
  <w:footnote w:id="5">
    <w:p w14:paraId="66C434F7" w14:textId="6A0230FB" w:rsidR="001A5BF9" w:rsidRPr="005B0B59" w:rsidRDefault="001A5BF9" w:rsidP="009746B7">
      <w:pPr>
        <w:pStyle w:val="FootnoteText"/>
        <w:rPr>
          <w:rFonts w:ascii="Arial" w:hAnsi="Arial" w:cs="Arial"/>
          <w:sz w:val="20"/>
          <w:szCs w:val="20"/>
          <w:lang w:val="en-US"/>
        </w:rPr>
      </w:pPr>
      <w:r w:rsidRPr="005B0B59">
        <w:rPr>
          <w:rStyle w:val="FootnoteReference"/>
          <w:rFonts w:ascii="Arial" w:hAnsi="Arial" w:cs="Arial"/>
          <w:sz w:val="20"/>
          <w:szCs w:val="20"/>
        </w:rPr>
        <w:footnoteRef/>
      </w:r>
      <w:r w:rsidRPr="005B0B59">
        <w:rPr>
          <w:rFonts w:ascii="Arial" w:hAnsi="Arial" w:cs="Arial"/>
          <w:sz w:val="20"/>
          <w:szCs w:val="20"/>
        </w:rPr>
        <w:t xml:space="preserve"> </w:t>
      </w:r>
      <w:r w:rsidRPr="00432BF0">
        <w:rPr>
          <w:rFonts w:ascii="Arial" w:hAnsi="Arial" w:cs="Arial"/>
          <w:sz w:val="20"/>
          <w:szCs w:val="20"/>
        </w:rPr>
        <w:t>Vienna Convention</w:t>
      </w:r>
      <w:r w:rsidRPr="00315B7C">
        <w:rPr>
          <w:rFonts w:ascii="Arial" w:hAnsi="Arial" w:cs="Arial"/>
          <w:sz w:val="20"/>
          <w:szCs w:val="20"/>
        </w:rPr>
        <w:t>, Art. 2(1)(b)(d)-4, 12-16.</w:t>
      </w:r>
    </w:p>
  </w:footnote>
  <w:footnote w:id="6">
    <w:p w14:paraId="0E7CDCBE" w14:textId="77777777" w:rsidR="001A5BF9" w:rsidRPr="002D2633" w:rsidRDefault="001A5BF9" w:rsidP="00E51770">
      <w:pPr>
        <w:pStyle w:val="FootnoteText"/>
        <w:rPr>
          <w:rFonts w:ascii="Arial" w:hAnsi="Arial" w:cs="Arial"/>
          <w:sz w:val="20"/>
          <w:szCs w:val="20"/>
          <w:lang w:val="en-US"/>
        </w:rPr>
      </w:pPr>
      <w:r w:rsidRPr="0006144C">
        <w:rPr>
          <w:rStyle w:val="FootnoteReference"/>
          <w:rFonts w:ascii="Arial" w:hAnsi="Arial" w:cs="Arial"/>
          <w:sz w:val="20"/>
          <w:szCs w:val="20"/>
        </w:rPr>
        <w:footnoteRef/>
      </w:r>
      <w:r w:rsidRPr="0006144C">
        <w:rPr>
          <w:rFonts w:ascii="Arial" w:hAnsi="Arial" w:cs="Arial"/>
          <w:sz w:val="20"/>
          <w:szCs w:val="20"/>
        </w:rPr>
        <w:t xml:space="preserve"> </w:t>
      </w:r>
      <w:r>
        <w:rPr>
          <w:rFonts w:ascii="Arial" w:hAnsi="Arial" w:cs="Arial"/>
          <w:sz w:val="20"/>
          <w:szCs w:val="20"/>
        </w:rPr>
        <w:t xml:space="preserve">R. K. Gardiner, </w:t>
      </w:r>
      <w:r>
        <w:rPr>
          <w:rFonts w:ascii="Arial" w:hAnsi="Arial" w:cs="Arial"/>
          <w:i/>
          <w:sz w:val="20"/>
          <w:szCs w:val="20"/>
        </w:rPr>
        <w:t xml:space="preserve">Treaty Interpretation </w:t>
      </w:r>
      <w:r>
        <w:rPr>
          <w:rFonts w:ascii="Arial" w:hAnsi="Arial" w:cs="Arial"/>
          <w:sz w:val="20"/>
          <w:szCs w:val="20"/>
        </w:rPr>
        <w:t>(OUP 2008), p 85.</w:t>
      </w:r>
    </w:p>
  </w:footnote>
  <w:footnote w:id="7">
    <w:p w14:paraId="3E82F919" w14:textId="340BAD8E" w:rsidR="001A5BF9" w:rsidRPr="0095518C" w:rsidRDefault="001A5BF9">
      <w:pPr>
        <w:pStyle w:val="FootnoteText"/>
        <w:rPr>
          <w:rFonts w:ascii="Arial" w:hAnsi="Arial"/>
          <w:sz w:val="20"/>
          <w:szCs w:val="20"/>
          <w:lang w:val="en-US"/>
        </w:rPr>
      </w:pPr>
      <w:r w:rsidRPr="0095518C">
        <w:rPr>
          <w:rStyle w:val="FootnoteReference"/>
          <w:rFonts w:ascii="Arial" w:hAnsi="Arial"/>
          <w:sz w:val="20"/>
          <w:szCs w:val="20"/>
        </w:rPr>
        <w:footnoteRef/>
      </w:r>
      <w:r w:rsidRPr="0095518C">
        <w:rPr>
          <w:rFonts w:ascii="Arial" w:hAnsi="Arial"/>
          <w:sz w:val="20"/>
          <w:szCs w:val="20"/>
        </w:rPr>
        <w:t xml:space="preserve"> </w:t>
      </w:r>
      <w:r>
        <w:rPr>
          <w:rFonts w:ascii="Arial" w:hAnsi="Arial"/>
          <w:sz w:val="20"/>
          <w:szCs w:val="20"/>
        </w:rPr>
        <w:t xml:space="preserve">M. Dixon, </w:t>
      </w:r>
      <w:r>
        <w:rPr>
          <w:rFonts w:ascii="Arial" w:hAnsi="Arial"/>
          <w:i/>
          <w:sz w:val="20"/>
          <w:szCs w:val="20"/>
        </w:rPr>
        <w:t xml:space="preserve">Textbook on International Law </w:t>
      </w:r>
      <w:r>
        <w:rPr>
          <w:rFonts w:ascii="Arial" w:hAnsi="Arial"/>
          <w:sz w:val="20"/>
          <w:szCs w:val="20"/>
        </w:rPr>
        <w:t>(7</w:t>
      </w:r>
      <w:r w:rsidRPr="00B11ED4">
        <w:rPr>
          <w:rFonts w:ascii="Arial" w:hAnsi="Arial"/>
          <w:sz w:val="20"/>
          <w:szCs w:val="20"/>
          <w:vertAlign w:val="superscript"/>
        </w:rPr>
        <w:t>th</w:t>
      </w:r>
      <w:r>
        <w:rPr>
          <w:rFonts w:ascii="Arial" w:hAnsi="Arial"/>
          <w:sz w:val="20"/>
          <w:szCs w:val="20"/>
        </w:rPr>
        <w:t xml:space="preserve"> edn, OUP 2013), p 69.</w:t>
      </w:r>
    </w:p>
  </w:footnote>
  <w:footnote w:id="8">
    <w:p w14:paraId="32389EBC" w14:textId="17F8E72F" w:rsidR="001A5BF9" w:rsidRPr="00620364" w:rsidRDefault="001A5BF9">
      <w:pPr>
        <w:pStyle w:val="FootnoteText"/>
        <w:rPr>
          <w:rFonts w:ascii="Arial" w:hAnsi="Arial"/>
          <w:sz w:val="20"/>
          <w:szCs w:val="20"/>
          <w:lang w:val="en-US"/>
        </w:rPr>
      </w:pPr>
      <w:r w:rsidRPr="00620364">
        <w:rPr>
          <w:rStyle w:val="FootnoteReference"/>
          <w:rFonts w:ascii="Arial" w:hAnsi="Arial"/>
          <w:sz w:val="20"/>
          <w:szCs w:val="20"/>
        </w:rPr>
        <w:footnoteRef/>
      </w:r>
      <w:r w:rsidRPr="00620364">
        <w:rPr>
          <w:rFonts w:ascii="Arial" w:hAnsi="Arial"/>
          <w:sz w:val="20"/>
          <w:szCs w:val="20"/>
        </w:rPr>
        <w:t xml:space="preserve"> </w:t>
      </w:r>
      <w:r w:rsidRPr="00EC0E5C">
        <w:rPr>
          <w:rFonts w:ascii="Arial" w:hAnsi="Arial"/>
          <w:sz w:val="20"/>
          <w:szCs w:val="20"/>
        </w:rPr>
        <w:t>The Convention on the Prevention and Punishment of the Crime of Genocide 1948 78 UNTS 277.</w:t>
      </w:r>
    </w:p>
  </w:footnote>
  <w:footnote w:id="9">
    <w:p w14:paraId="0D045A8D" w14:textId="085F737D" w:rsidR="001A5BF9" w:rsidRPr="0024776C" w:rsidRDefault="001A5BF9" w:rsidP="00AC3A89">
      <w:pPr>
        <w:pStyle w:val="FootnoteText"/>
        <w:rPr>
          <w:rFonts w:ascii="Arial" w:hAnsi="Arial"/>
          <w:sz w:val="20"/>
          <w:szCs w:val="20"/>
          <w:lang w:val="en-US"/>
        </w:rPr>
      </w:pPr>
      <w:r w:rsidRPr="0024776C">
        <w:rPr>
          <w:rStyle w:val="FootnoteReference"/>
          <w:rFonts w:ascii="Arial" w:hAnsi="Arial"/>
          <w:sz w:val="20"/>
          <w:szCs w:val="20"/>
        </w:rPr>
        <w:footnoteRef/>
      </w:r>
      <w:r w:rsidRPr="0024776C">
        <w:rPr>
          <w:rFonts w:ascii="Arial" w:hAnsi="Arial"/>
          <w:sz w:val="20"/>
          <w:szCs w:val="20"/>
        </w:rPr>
        <w:t xml:space="preserve"> </w:t>
      </w:r>
      <w:r w:rsidRPr="00367DC5">
        <w:rPr>
          <w:rFonts w:ascii="Arial" w:hAnsi="Arial" w:cs="Arial"/>
          <w:sz w:val="20"/>
          <w:szCs w:val="20"/>
        </w:rPr>
        <w:t>[1951] ICJ Rep 15, 23</w:t>
      </w:r>
      <w:r>
        <w:rPr>
          <w:rFonts w:ascii="Arial" w:hAnsi="Arial" w:cs="Arial"/>
          <w:sz w:val="20"/>
          <w:szCs w:val="20"/>
        </w:rPr>
        <w:t>.</w:t>
      </w:r>
      <w:r w:rsidRPr="00C418E3">
        <w:rPr>
          <w:rFonts w:ascii="Arial" w:hAnsi="Arial" w:cs="Arial"/>
          <w:sz w:val="20"/>
          <w:szCs w:val="20"/>
        </w:rPr>
        <w:t xml:space="preserve"> </w:t>
      </w:r>
      <w:r>
        <w:rPr>
          <w:rFonts w:ascii="Arial" w:hAnsi="Arial" w:cs="Arial"/>
          <w:sz w:val="20"/>
          <w:szCs w:val="20"/>
        </w:rPr>
        <w:t>Here the issue was the conditions under which reservations to multilateral conventions could be made.</w:t>
      </w:r>
    </w:p>
  </w:footnote>
  <w:footnote w:id="10">
    <w:p w14:paraId="4D283FCF" w14:textId="50F6F566" w:rsidR="001A5BF9" w:rsidRPr="00674426" w:rsidRDefault="001A5BF9">
      <w:pPr>
        <w:pStyle w:val="FootnoteText"/>
        <w:rPr>
          <w:rFonts w:ascii="Arial" w:hAnsi="Arial" w:cs="Arial"/>
          <w:i/>
          <w:sz w:val="20"/>
          <w:szCs w:val="20"/>
          <w:lang w:val="en-US"/>
        </w:rPr>
      </w:pPr>
      <w:r w:rsidRPr="00674426">
        <w:rPr>
          <w:rStyle w:val="FootnoteReference"/>
          <w:rFonts w:ascii="Arial" w:hAnsi="Arial" w:cs="Arial"/>
          <w:sz w:val="20"/>
          <w:szCs w:val="20"/>
        </w:rPr>
        <w:footnoteRef/>
      </w:r>
      <w:r w:rsidRPr="00674426">
        <w:rPr>
          <w:rFonts w:ascii="Arial" w:hAnsi="Arial" w:cs="Arial"/>
          <w:sz w:val="20"/>
          <w:szCs w:val="20"/>
        </w:rPr>
        <w:t xml:space="preserve"> </w:t>
      </w:r>
      <w:r>
        <w:rPr>
          <w:rFonts w:ascii="Arial" w:hAnsi="Arial" w:cs="Arial"/>
          <w:sz w:val="20"/>
          <w:szCs w:val="20"/>
        </w:rPr>
        <w:t xml:space="preserve">Ibid, at p 29. </w:t>
      </w:r>
    </w:p>
  </w:footnote>
  <w:footnote w:id="11">
    <w:p w14:paraId="6B2EAA64" w14:textId="77777777" w:rsidR="001A5BF9" w:rsidRPr="007E0738" w:rsidRDefault="001A5BF9" w:rsidP="006E6E0E">
      <w:pPr>
        <w:pStyle w:val="FootnoteText"/>
        <w:rPr>
          <w:rFonts w:ascii="Arial" w:hAnsi="Arial" w:cs="Arial"/>
          <w:sz w:val="20"/>
          <w:szCs w:val="20"/>
          <w:lang w:val="en-US"/>
        </w:rPr>
      </w:pPr>
      <w:r w:rsidRPr="007E0738">
        <w:rPr>
          <w:rStyle w:val="FootnoteReference"/>
          <w:rFonts w:ascii="Arial" w:hAnsi="Arial" w:cs="Arial"/>
          <w:sz w:val="20"/>
          <w:szCs w:val="20"/>
        </w:rPr>
        <w:footnoteRef/>
      </w:r>
      <w:r w:rsidRPr="007E0738">
        <w:rPr>
          <w:rFonts w:ascii="Arial" w:hAnsi="Arial" w:cs="Arial"/>
          <w:sz w:val="20"/>
          <w:szCs w:val="20"/>
        </w:rPr>
        <w:t xml:space="preserve"> </w:t>
      </w:r>
      <w:r>
        <w:rPr>
          <w:rFonts w:ascii="Arial" w:hAnsi="Arial" w:cs="Arial"/>
          <w:sz w:val="20"/>
          <w:szCs w:val="20"/>
        </w:rPr>
        <w:t xml:space="preserve">M. Fitzmaurice, ‘The Practical Working of the Law of Treaties’ in M. Evans, </w:t>
      </w:r>
      <w:r>
        <w:rPr>
          <w:rFonts w:ascii="Arial" w:hAnsi="Arial" w:cs="Arial"/>
          <w:i/>
          <w:sz w:val="20"/>
          <w:szCs w:val="20"/>
        </w:rPr>
        <w:t xml:space="preserve">International Law </w:t>
      </w:r>
      <w:r>
        <w:rPr>
          <w:rFonts w:ascii="Arial" w:hAnsi="Arial" w:cs="Arial"/>
          <w:sz w:val="20"/>
          <w:szCs w:val="20"/>
        </w:rPr>
        <w:t>(4</w:t>
      </w:r>
      <w:r w:rsidRPr="00A77504">
        <w:rPr>
          <w:rFonts w:ascii="Arial" w:hAnsi="Arial" w:cs="Arial"/>
          <w:sz w:val="20"/>
          <w:szCs w:val="20"/>
          <w:vertAlign w:val="superscript"/>
        </w:rPr>
        <w:t>th</w:t>
      </w:r>
      <w:r>
        <w:rPr>
          <w:rFonts w:ascii="Arial" w:hAnsi="Arial" w:cs="Arial"/>
          <w:sz w:val="20"/>
          <w:szCs w:val="20"/>
        </w:rPr>
        <w:t xml:space="preserve"> edn, OUP 2014), p 188.</w:t>
      </w:r>
    </w:p>
  </w:footnote>
  <w:footnote w:id="12">
    <w:p w14:paraId="6E3AB55B" w14:textId="2FF78C1F" w:rsidR="001A5BF9" w:rsidRPr="00CA3D25" w:rsidRDefault="001A5BF9">
      <w:pPr>
        <w:pStyle w:val="FootnoteText"/>
        <w:rPr>
          <w:rFonts w:ascii="Arial" w:hAnsi="Arial" w:cs="Arial"/>
          <w:sz w:val="20"/>
          <w:szCs w:val="20"/>
          <w:lang w:val="en-US"/>
        </w:rPr>
      </w:pPr>
      <w:r w:rsidRPr="00CA3D25">
        <w:rPr>
          <w:rStyle w:val="FootnoteReference"/>
          <w:rFonts w:ascii="Arial" w:hAnsi="Arial" w:cs="Arial"/>
          <w:sz w:val="20"/>
          <w:szCs w:val="20"/>
        </w:rPr>
        <w:footnoteRef/>
      </w:r>
      <w:r w:rsidRPr="00CA3D25">
        <w:rPr>
          <w:rFonts w:ascii="Arial" w:hAnsi="Arial" w:cs="Arial"/>
          <w:sz w:val="20"/>
          <w:szCs w:val="20"/>
        </w:rPr>
        <w:t xml:space="preserve"> </w:t>
      </w:r>
      <w:r>
        <w:rPr>
          <w:rFonts w:ascii="Arial" w:hAnsi="Arial" w:cs="Arial"/>
          <w:sz w:val="20"/>
          <w:szCs w:val="20"/>
        </w:rPr>
        <w:t>Ibid.</w:t>
      </w:r>
    </w:p>
  </w:footnote>
  <w:footnote w:id="13">
    <w:p w14:paraId="1D2D8C59" w14:textId="77777777" w:rsidR="001A5BF9" w:rsidRPr="00713070" w:rsidRDefault="001A5BF9" w:rsidP="00B77F5C">
      <w:pPr>
        <w:pStyle w:val="FootnoteText"/>
        <w:rPr>
          <w:rFonts w:ascii="Arial" w:hAnsi="Arial" w:cs="Arial"/>
          <w:sz w:val="20"/>
          <w:szCs w:val="20"/>
          <w:lang w:val="en-US"/>
        </w:rPr>
      </w:pPr>
      <w:r w:rsidRPr="00713070">
        <w:rPr>
          <w:rStyle w:val="FootnoteReference"/>
          <w:rFonts w:ascii="Arial" w:hAnsi="Arial" w:cs="Arial"/>
          <w:sz w:val="20"/>
          <w:szCs w:val="20"/>
        </w:rPr>
        <w:footnoteRef/>
      </w:r>
      <w:r w:rsidRPr="00713070">
        <w:rPr>
          <w:rFonts w:ascii="Arial" w:hAnsi="Arial" w:cs="Arial"/>
          <w:sz w:val="20"/>
          <w:szCs w:val="20"/>
        </w:rPr>
        <w:t xml:space="preserve"> </w:t>
      </w:r>
      <w:r>
        <w:rPr>
          <w:rFonts w:ascii="Arial" w:hAnsi="Arial" w:cs="Arial"/>
          <w:sz w:val="20"/>
          <w:szCs w:val="20"/>
          <w:lang w:val="en-US"/>
        </w:rPr>
        <w:t>See B.</w:t>
      </w:r>
      <w:r w:rsidRPr="00713070">
        <w:rPr>
          <w:rFonts w:ascii="Arial" w:hAnsi="Arial" w:cs="Arial"/>
          <w:sz w:val="20"/>
          <w:szCs w:val="20"/>
          <w:lang w:val="en-US"/>
        </w:rPr>
        <w:t xml:space="preserve"> Simma, </w:t>
      </w:r>
      <w:r>
        <w:rPr>
          <w:rFonts w:ascii="Arial" w:hAnsi="Arial" w:cs="Arial"/>
          <w:sz w:val="20"/>
          <w:szCs w:val="20"/>
          <w:lang w:val="en-US"/>
        </w:rPr>
        <w:t>‘</w:t>
      </w:r>
      <w:r w:rsidRPr="00713070">
        <w:rPr>
          <w:rFonts w:ascii="Arial" w:hAnsi="Arial" w:cs="Arial"/>
          <w:sz w:val="20"/>
          <w:szCs w:val="20"/>
          <w:lang w:val="en-US"/>
        </w:rPr>
        <w:t>Reservations to Human Rights Trea</w:t>
      </w:r>
      <w:r>
        <w:rPr>
          <w:rFonts w:ascii="Arial" w:hAnsi="Arial" w:cs="Arial"/>
          <w:sz w:val="20"/>
          <w:szCs w:val="20"/>
          <w:lang w:val="en-US"/>
        </w:rPr>
        <w:t>ties – Some Recent Developments’</w:t>
      </w:r>
      <w:r w:rsidRPr="00713070">
        <w:rPr>
          <w:rFonts w:ascii="Arial" w:hAnsi="Arial" w:cs="Arial"/>
          <w:sz w:val="20"/>
          <w:szCs w:val="20"/>
          <w:lang w:val="en-US"/>
        </w:rPr>
        <w:t xml:space="preserve"> in G</w:t>
      </w:r>
      <w:r>
        <w:rPr>
          <w:rFonts w:ascii="Arial" w:hAnsi="Arial" w:cs="Arial"/>
          <w:sz w:val="20"/>
          <w:szCs w:val="20"/>
          <w:lang w:val="en-US"/>
        </w:rPr>
        <w:t>.</w:t>
      </w:r>
      <w:r w:rsidRPr="00713070">
        <w:rPr>
          <w:rFonts w:ascii="Arial" w:hAnsi="Arial" w:cs="Arial"/>
          <w:sz w:val="20"/>
          <w:szCs w:val="20"/>
          <w:lang w:val="en-US"/>
        </w:rPr>
        <w:t xml:space="preserve"> Hafner et al. (eds.), </w:t>
      </w:r>
      <w:r w:rsidRPr="00713070">
        <w:rPr>
          <w:rFonts w:ascii="Arial" w:hAnsi="Arial" w:cs="Arial"/>
          <w:i/>
          <w:iCs/>
          <w:sz w:val="20"/>
          <w:szCs w:val="20"/>
          <w:lang w:val="en-US"/>
        </w:rPr>
        <w:t xml:space="preserve">Liber </w:t>
      </w:r>
      <w:r>
        <w:rPr>
          <w:rFonts w:ascii="Arial" w:hAnsi="Arial" w:cs="Arial"/>
          <w:i/>
          <w:iCs/>
          <w:sz w:val="20"/>
          <w:szCs w:val="20"/>
          <w:lang w:val="en-US"/>
        </w:rPr>
        <w:t>amicorum Professor Ignaz Seidl-</w:t>
      </w:r>
      <w:r w:rsidRPr="00713070">
        <w:rPr>
          <w:rFonts w:ascii="Arial" w:hAnsi="Arial" w:cs="Arial"/>
          <w:i/>
          <w:iCs/>
          <w:sz w:val="20"/>
          <w:szCs w:val="20"/>
          <w:lang w:val="en-US"/>
        </w:rPr>
        <w:t xml:space="preserve">Hohenveldern in Honour of his 80th Birthday </w:t>
      </w:r>
      <w:r w:rsidRPr="00713070">
        <w:rPr>
          <w:rFonts w:ascii="Arial" w:hAnsi="Arial" w:cs="Arial"/>
          <w:sz w:val="20"/>
          <w:szCs w:val="20"/>
          <w:lang w:val="en-US"/>
        </w:rPr>
        <w:t>(</w:t>
      </w:r>
      <w:r>
        <w:rPr>
          <w:rFonts w:ascii="Arial" w:hAnsi="Arial" w:cs="Arial"/>
          <w:sz w:val="20"/>
          <w:szCs w:val="20"/>
          <w:lang w:val="en-US"/>
        </w:rPr>
        <w:t xml:space="preserve">The Hague: </w:t>
      </w:r>
      <w:r w:rsidRPr="00713070">
        <w:rPr>
          <w:rFonts w:ascii="Arial" w:hAnsi="Arial" w:cs="Arial"/>
          <w:sz w:val="20"/>
          <w:szCs w:val="20"/>
          <w:lang w:val="en-US"/>
        </w:rPr>
        <w:t>Kluwe</w:t>
      </w:r>
      <w:r>
        <w:rPr>
          <w:rFonts w:ascii="Arial" w:hAnsi="Arial" w:cs="Arial"/>
          <w:sz w:val="20"/>
          <w:szCs w:val="20"/>
          <w:lang w:val="en-US"/>
        </w:rPr>
        <w:t xml:space="preserve">r Law International, </w:t>
      </w:r>
      <w:r w:rsidRPr="00713070">
        <w:rPr>
          <w:rFonts w:ascii="Arial" w:hAnsi="Arial" w:cs="Arial"/>
          <w:sz w:val="20"/>
          <w:szCs w:val="20"/>
          <w:lang w:val="en-US"/>
        </w:rPr>
        <w:t xml:space="preserve">1998), 659–682, esp. at 666–667. </w:t>
      </w:r>
    </w:p>
  </w:footnote>
  <w:footnote w:id="14">
    <w:p w14:paraId="3F35F329" w14:textId="77777777" w:rsidR="001A5BF9" w:rsidRPr="004F2718" w:rsidRDefault="001A5BF9" w:rsidP="005A00F7">
      <w:pPr>
        <w:pStyle w:val="FootnoteText"/>
        <w:rPr>
          <w:rFonts w:ascii="Arial" w:hAnsi="Arial" w:cs="Arial"/>
          <w:sz w:val="20"/>
          <w:szCs w:val="20"/>
          <w:lang w:val="en-US"/>
        </w:rPr>
      </w:pPr>
      <w:r w:rsidRPr="004F2718">
        <w:rPr>
          <w:rStyle w:val="FootnoteReference"/>
          <w:rFonts w:ascii="Arial" w:hAnsi="Arial" w:cs="Arial"/>
          <w:sz w:val="20"/>
          <w:szCs w:val="20"/>
        </w:rPr>
        <w:footnoteRef/>
      </w:r>
      <w:r w:rsidRPr="004F2718">
        <w:rPr>
          <w:rFonts w:ascii="Arial" w:hAnsi="Arial" w:cs="Arial"/>
          <w:sz w:val="20"/>
          <w:szCs w:val="20"/>
        </w:rPr>
        <w:t xml:space="preserve"> </w:t>
      </w:r>
      <w:r>
        <w:rPr>
          <w:rFonts w:ascii="Arial" w:hAnsi="Arial" w:cs="Arial"/>
          <w:sz w:val="20"/>
          <w:szCs w:val="20"/>
        </w:rPr>
        <w:t xml:space="preserve">J. Klabbers, </w:t>
      </w:r>
      <w:r w:rsidRPr="00832F69">
        <w:rPr>
          <w:rFonts w:ascii="Arial" w:hAnsi="Arial" w:cs="Arial"/>
          <w:sz w:val="20"/>
          <w:szCs w:val="20"/>
        </w:rPr>
        <w:t>‘</w:t>
      </w:r>
      <w:r w:rsidRPr="00832F69">
        <w:rPr>
          <w:rFonts w:ascii="Arial" w:hAnsi="Arial" w:cs="Arial"/>
          <w:bCs/>
          <w:sz w:val="20"/>
          <w:szCs w:val="20"/>
          <w:lang w:val="en-US"/>
        </w:rPr>
        <w:t>Accepting the Unacceptable? A New Nordic Approach to Reservations to Multilateral Treaties’</w:t>
      </w:r>
      <w:r w:rsidRPr="00832F69">
        <w:rPr>
          <w:rFonts w:ascii="Arial" w:hAnsi="Arial" w:cs="Arial"/>
          <w:sz w:val="20"/>
          <w:szCs w:val="20"/>
        </w:rPr>
        <w:t>,</w:t>
      </w:r>
      <w:r>
        <w:rPr>
          <w:rFonts w:ascii="Arial" w:hAnsi="Arial" w:cs="Arial"/>
          <w:sz w:val="20"/>
          <w:szCs w:val="20"/>
        </w:rPr>
        <w:t xml:space="preserve"> 69 </w:t>
      </w:r>
      <w:r>
        <w:rPr>
          <w:rFonts w:ascii="Arial" w:hAnsi="Arial" w:cs="Arial"/>
          <w:i/>
          <w:sz w:val="20"/>
          <w:szCs w:val="20"/>
        </w:rPr>
        <w:t xml:space="preserve">NJIL </w:t>
      </w:r>
      <w:r>
        <w:rPr>
          <w:rFonts w:ascii="Arial" w:hAnsi="Arial" w:cs="Arial"/>
          <w:sz w:val="20"/>
          <w:szCs w:val="20"/>
        </w:rPr>
        <w:t>(2000),</w:t>
      </w:r>
      <w:r>
        <w:rPr>
          <w:rFonts w:ascii="Arial" w:hAnsi="Arial" w:cs="Arial"/>
          <w:i/>
          <w:sz w:val="20"/>
          <w:szCs w:val="20"/>
        </w:rPr>
        <w:t xml:space="preserve"> </w:t>
      </w:r>
      <w:r>
        <w:rPr>
          <w:rFonts w:ascii="Arial" w:hAnsi="Arial" w:cs="Arial"/>
          <w:sz w:val="20"/>
          <w:szCs w:val="20"/>
        </w:rPr>
        <w:t>p 188.</w:t>
      </w:r>
    </w:p>
  </w:footnote>
  <w:footnote w:id="15">
    <w:p w14:paraId="13BE425D" w14:textId="77777777" w:rsidR="001A5BF9" w:rsidRPr="004F2718" w:rsidRDefault="001A5BF9" w:rsidP="005A00F7">
      <w:pPr>
        <w:pStyle w:val="FootnoteText"/>
        <w:rPr>
          <w:rFonts w:ascii="Arial" w:hAnsi="Arial" w:cs="Arial"/>
          <w:sz w:val="20"/>
          <w:szCs w:val="20"/>
          <w:lang w:val="en-US"/>
        </w:rPr>
      </w:pPr>
      <w:r w:rsidRPr="004F2718">
        <w:rPr>
          <w:rStyle w:val="FootnoteReference"/>
          <w:rFonts w:ascii="Arial" w:hAnsi="Arial" w:cs="Arial"/>
          <w:sz w:val="20"/>
          <w:szCs w:val="20"/>
        </w:rPr>
        <w:footnoteRef/>
      </w:r>
      <w:r w:rsidRPr="004F2718">
        <w:rPr>
          <w:rFonts w:ascii="Arial" w:hAnsi="Arial" w:cs="Arial"/>
          <w:sz w:val="20"/>
          <w:szCs w:val="20"/>
        </w:rPr>
        <w:t xml:space="preserve"> Ibid.</w:t>
      </w:r>
    </w:p>
  </w:footnote>
  <w:footnote w:id="16">
    <w:p w14:paraId="4657C203" w14:textId="77777777" w:rsidR="001A5BF9" w:rsidRPr="00255B2D" w:rsidRDefault="001A5BF9" w:rsidP="00603C9E">
      <w:pPr>
        <w:pStyle w:val="FootnoteText"/>
        <w:rPr>
          <w:rFonts w:ascii="Arial" w:hAnsi="Arial" w:cs="Arial"/>
          <w:sz w:val="20"/>
          <w:szCs w:val="20"/>
          <w:lang w:val="en-US"/>
        </w:rPr>
      </w:pPr>
      <w:r w:rsidRPr="00255B2D">
        <w:rPr>
          <w:rStyle w:val="FootnoteReference"/>
          <w:rFonts w:ascii="Arial" w:hAnsi="Arial" w:cs="Arial"/>
          <w:sz w:val="20"/>
          <w:szCs w:val="20"/>
        </w:rPr>
        <w:footnoteRef/>
      </w:r>
      <w:r w:rsidRPr="00255B2D">
        <w:rPr>
          <w:rFonts w:ascii="Arial" w:hAnsi="Arial" w:cs="Arial"/>
          <w:sz w:val="20"/>
          <w:szCs w:val="20"/>
        </w:rPr>
        <w:t xml:space="preserve"> </w:t>
      </w:r>
      <w:r>
        <w:rPr>
          <w:rFonts w:ascii="Arial" w:hAnsi="Arial" w:cs="Arial"/>
          <w:sz w:val="20"/>
          <w:szCs w:val="20"/>
        </w:rPr>
        <w:t xml:space="preserve">P. Reuter, </w:t>
      </w:r>
      <w:r>
        <w:rPr>
          <w:rFonts w:ascii="Arial" w:hAnsi="Arial" w:cs="Arial"/>
          <w:i/>
          <w:sz w:val="20"/>
          <w:szCs w:val="20"/>
        </w:rPr>
        <w:t xml:space="preserve">Introduction au droit des </w:t>
      </w:r>
      <w:r w:rsidRPr="00255B2D">
        <w:rPr>
          <w:rFonts w:ascii="Arial" w:hAnsi="Arial" w:cs="Arial"/>
          <w:i/>
          <w:sz w:val="20"/>
          <w:szCs w:val="20"/>
        </w:rPr>
        <w:t>trait</w:t>
      </w:r>
      <w:r w:rsidRPr="00255B2D">
        <w:rPr>
          <w:rFonts w:ascii="Arial" w:hAnsi="Arial" w:cs="Arial"/>
          <w:i/>
          <w:color w:val="000000"/>
          <w:sz w:val="20"/>
          <w:szCs w:val="20"/>
        </w:rPr>
        <w:t>é</w:t>
      </w:r>
      <w:r w:rsidRPr="00255B2D">
        <w:rPr>
          <w:rFonts w:ascii="Arial" w:hAnsi="Arial" w:cs="Arial"/>
          <w:i/>
          <w:sz w:val="20"/>
          <w:szCs w:val="20"/>
        </w:rPr>
        <w:t>s,</w:t>
      </w:r>
      <w:r>
        <w:rPr>
          <w:rFonts w:ascii="Arial" w:hAnsi="Arial" w:cs="Arial"/>
          <w:sz w:val="20"/>
          <w:szCs w:val="20"/>
        </w:rPr>
        <w:t xml:space="preserve"> 89 (1972).</w:t>
      </w:r>
    </w:p>
  </w:footnote>
  <w:footnote w:id="17">
    <w:p w14:paraId="785D86EA" w14:textId="2C8F97C7" w:rsidR="001A5BF9" w:rsidRPr="001778ED" w:rsidRDefault="001A5BF9">
      <w:pPr>
        <w:pStyle w:val="FootnoteText"/>
        <w:rPr>
          <w:rFonts w:ascii="Arial" w:hAnsi="Arial" w:cs="Arial"/>
          <w:sz w:val="20"/>
          <w:szCs w:val="20"/>
          <w:lang w:val="en-US"/>
        </w:rPr>
      </w:pPr>
      <w:r w:rsidRPr="001778ED">
        <w:rPr>
          <w:rStyle w:val="FootnoteReference"/>
          <w:rFonts w:ascii="Arial" w:hAnsi="Arial" w:cs="Arial"/>
          <w:sz w:val="20"/>
          <w:szCs w:val="20"/>
        </w:rPr>
        <w:footnoteRef/>
      </w:r>
      <w:r w:rsidRPr="001778ED">
        <w:rPr>
          <w:rFonts w:ascii="Arial" w:hAnsi="Arial" w:cs="Arial"/>
          <w:sz w:val="20"/>
          <w:szCs w:val="20"/>
        </w:rPr>
        <w:t xml:space="preserve"> </w:t>
      </w:r>
      <w:r>
        <w:rPr>
          <w:rFonts w:ascii="Arial" w:hAnsi="Arial" w:cs="Arial"/>
          <w:sz w:val="20"/>
          <w:szCs w:val="20"/>
          <w:lang w:val="en-US"/>
        </w:rPr>
        <w:t xml:space="preserve">I. </w:t>
      </w:r>
      <w:r w:rsidRPr="00D4286F">
        <w:rPr>
          <w:rFonts w:ascii="Arial" w:hAnsi="Arial" w:cs="Arial"/>
          <w:sz w:val="20"/>
          <w:szCs w:val="20"/>
          <w:lang w:val="en-US"/>
        </w:rPr>
        <w:t xml:space="preserve">Sinclair, </w:t>
      </w:r>
      <w:r w:rsidRPr="00D4286F">
        <w:rPr>
          <w:rFonts w:ascii="Arial" w:hAnsi="Arial" w:cs="Arial"/>
          <w:i/>
          <w:sz w:val="20"/>
          <w:szCs w:val="20"/>
          <w:lang w:val="en-US"/>
        </w:rPr>
        <w:t>The Vienna Convention on the Law of Treaties</w:t>
      </w:r>
      <w:r w:rsidRPr="00D4286F">
        <w:rPr>
          <w:rFonts w:ascii="Arial" w:hAnsi="Arial" w:cs="Arial"/>
          <w:sz w:val="20"/>
          <w:szCs w:val="20"/>
          <w:lang w:val="en-US"/>
        </w:rPr>
        <w:t xml:space="preserve"> (2nd edn</w:t>
      </w:r>
      <w:r>
        <w:rPr>
          <w:rFonts w:ascii="Arial" w:hAnsi="Arial" w:cs="Arial"/>
          <w:sz w:val="20"/>
          <w:szCs w:val="20"/>
          <w:lang w:val="en-US"/>
        </w:rPr>
        <w:t>, Manchester:</w:t>
      </w:r>
      <w:r w:rsidRPr="00D4286F">
        <w:rPr>
          <w:rFonts w:ascii="Arial" w:hAnsi="Arial" w:cs="Arial"/>
          <w:sz w:val="20"/>
          <w:szCs w:val="20"/>
          <w:lang w:val="en-US"/>
        </w:rPr>
        <w:t xml:space="preserve"> </w:t>
      </w:r>
      <w:r>
        <w:rPr>
          <w:rFonts w:ascii="Arial" w:hAnsi="Arial" w:cs="Arial"/>
          <w:sz w:val="20"/>
          <w:szCs w:val="20"/>
          <w:lang w:val="en-US"/>
        </w:rPr>
        <w:t>MUP</w:t>
      </w:r>
      <w:r w:rsidRPr="00D4286F">
        <w:rPr>
          <w:rFonts w:ascii="Arial" w:hAnsi="Arial" w:cs="Arial"/>
          <w:sz w:val="20"/>
          <w:szCs w:val="20"/>
          <w:lang w:val="en-US"/>
        </w:rPr>
        <w:t xml:space="preserve"> 1984)</w:t>
      </w:r>
      <w:r>
        <w:rPr>
          <w:rFonts w:ascii="Arial" w:hAnsi="Arial" w:cs="Arial"/>
          <w:sz w:val="20"/>
          <w:szCs w:val="20"/>
        </w:rPr>
        <w:t>, p 56.</w:t>
      </w:r>
    </w:p>
  </w:footnote>
  <w:footnote w:id="18">
    <w:p w14:paraId="3F800C2E" w14:textId="77777777" w:rsidR="001A5BF9" w:rsidRPr="008B3272" w:rsidRDefault="001A5BF9" w:rsidP="005A00F7">
      <w:pPr>
        <w:pStyle w:val="FootnoteText"/>
        <w:rPr>
          <w:rFonts w:ascii="Arial" w:hAnsi="Arial" w:cs="Arial"/>
          <w:sz w:val="20"/>
          <w:szCs w:val="20"/>
          <w:lang w:val="en-US"/>
        </w:rPr>
      </w:pPr>
      <w:r w:rsidRPr="008B3272">
        <w:rPr>
          <w:rStyle w:val="FootnoteReference"/>
          <w:rFonts w:ascii="Arial" w:hAnsi="Arial" w:cs="Arial"/>
          <w:sz w:val="20"/>
          <w:szCs w:val="20"/>
        </w:rPr>
        <w:footnoteRef/>
      </w:r>
      <w:r w:rsidRPr="008B3272">
        <w:rPr>
          <w:rFonts w:ascii="Arial" w:hAnsi="Arial" w:cs="Arial"/>
          <w:sz w:val="20"/>
          <w:szCs w:val="20"/>
        </w:rPr>
        <w:t xml:space="preserve"> </w:t>
      </w:r>
      <w:r>
        <w:rPr>
          <w:rFonts w:ascii="Arial" w:hAnsi="Arial" w:cs="Arial"/>
          <w:sz w:val="20"/>
          <w:szCs w:val="20"/>
          <w:lang w:val="en-US"/>
        </w:rPr>
        <w:t>S</w:t>
      </w:r>
      <w:r w:rsidRPr="008B3272">
        <w:rPr>
          <w:rFonts w:ascii="Arial" w:hAnsi="Arial" w:cs="Arial"/>
          <w:sz w:val="20"/>
          <w:szCs w:val="20"/>
          <w:lang w:val="en-US"/>
        </w:rPr>
        <w:t>ee Sir I</w:t>
      </w:r>
      <w:r>
        <w:rPr>
          <w:rFonts w:ascii="Arial" w:hAnsi="Arial" w:cs="Arial"/>
          <w:sz w:val="20"/>
          <w:szCs w:val="20"/>
          <w:lang w:val="en-US"/>
        </w:rPr>
        <w:t>. Sinclair, ‘Es</w:t>
      </w:r>
      <w:r w:rsidRPr="008B3272">
        <w:rPr>
          <w:rFonts w:ascii="Arial" w:hAnsi="Arial" w:cs="Arial"/>
          <w:sz w:val="20"/>
          <w:szCs w:val="20"/>
          <w:lang w:val="en-US"/>
        </w:rPr>
        <w:t>toppel and acquiescence</w:t>
      </w:r>
      <w:r>
        <w:rPr>
          <w:rFonts w:ascii="Arial" w:hAnsi="Arial" w:cs="Arial"/>
          <w:sz w:val="20"/>
          <w:szCs w:val="20"/>
          <w:lang w:val="en-US"/>
        </w:rPr>
        <w:t>’</w:t>
      </w:r>
      <w:r w:rsidRPr="008B3272">
        <w:rPr>
          <w:rFonts w:ascii="Arial" w:hAnsi="Arial" w:cs="Arial"/>
          <w:sz w:val="20"/>
          <w:szCs w:val="20"/>
          <w:lang w:val="en-US"/>
        </w:rPr>
        <w:t xml:space="preserve"> in V</w:t>
      </w:r>
      <w:r>
        <w:rPr>
          <w:rFonts w:ascii="Arial" w:hAnsi="Arial" w:cs="Arial"/>
          <w:sz w:val="20"/>
          <w:szCs w:val="20"/>
          <w:lang w:val="en-US"/>
        </w:rPr>
        <w:t>.</w:t>
      </w:r>
      <w:r w:rsidRPr="008B3272">
        <w:rPr>
          <w:rFonts w:ascii="Arial" w:hAnsi="Arial" w:cs="Arial"/>
          <w:sz w:val="20"/>
          <w:szCs w:val="20"/>
          <w:lang w:val="en-US"/>
        </w:rPr>
        <w:t xml:space="preserve"> Lowe and M</w:t>
      </w:r>
      <w:r>
        <w:rPr>
          <w:rFonts w:ascii="Arial" w:hAnsi="Arial" w:cs="Arial"/>
          <w:sz w:val="20"/>
          <w:szCs w:val="20"/>
          <w:lang w:val="en-US"/>
        </w:rPr>
        <w:t>.</w:t>
      </w:r>
      <w:r w:rsidRPr="008B3272">
        <w:rPr>
          <w:rFonts w:ascii="Arial" w:hAnsi="Arial" w:cs="Arial"/>
          <w:sz w:val="20"/>
          <w:szCs w:val="20"/>
          <w:lang w:val="en-US"/>
        </w:rPr>
        <w:t xml:space="preserve"> Fitzmaurice (eds.), </w:t>
      </w:r>
      <w:r w:rsidRPr="008B3272">
        <w:rPr>
          <w:rFonts w:ascii="Arial" w:hAnsi="Arial" w:cs="Arial"/>
          <w:i/>
          <w:iCs/>
          <w:sz w:val="20"/>
          <w:szCs w:val="20"/>
          <w:lang w:val="en-US"/>
        </w:rPr>
        <w:t xml:space="preserve">Fifty Years of the International Court of Justice </w:t>
      </w:r>
      <w:r w:rsidRPr="008B3272">
        <w:rPr>
          <w:rFonts w:ascii="Arial" w:hAnsi="Arial" w:cs="Arial"/>
          <w:sz w:val="20"/>
          <w:szCs w:val="20"/>
          <w:lang w:val="en-US"/>
        </w:rPr>
        <w:t>(</w:t>
      </w:r>
      <w:r>
        <w:rPr>
          <w:rFonts w:ascii="Arial" w:hAnsi="Arial" w:cs="Arial"/>
          <w:sz w:val="20"/>
          <w:szCs w:val="20"/>
          <w:lang w:val="en-US"/>
        </w:rPr>
        <w:t xml:space="preserve">Cambridge: CUP </w:t>
      </w:r>
      <w:r w:rsidRPr="008B3272">
        <w:rPr>
          <w:rFonts w:ascii="Arial" w:hAnsi="Arial" w:cs="Arial"/>
          <w:sz w:val="20"/>
          <w:szCs w:val="20"/>
          <w:lang w:val="en-US"/>
        </w:rPr>
        <w:t>1996), 104</w:t>
      </w:r>
      <w:r>
        <w:rPr>
          <w:rFonts w:ascii="Arial" w:hAnsi="Arial" w:cs="Arial"/>
          <w:sz w:val="20"/>
          <w:szCs w:val="20"/>
          <w:lang w:val="en-US"/>
        </w:rPr>
        <w:t>-</w:t>
      </w:r>
      <w:r w:rsidRPr="008B3272">
        <w:rPr>
          <w:rFonts w:ascii="Arial" w:hAnsi="Arial" w:cs="Arial"/>
          <w:sz w:val="20"/>
          <w:szCs w:val="20"/>
          <w:lang w:val="en-US"/>
        </w:rPr>
        <w:t xml:space="preserve">120. </w:t>
      </w:r>
    </w:p>
  </w:footnote>
  <w:footnote w:id="19">
    <w:p w14:paraId="2E6005DF" w14:textId="77777777" w:rsidR="001A5BF9" w:rsidRPr="0009521A" w:rsidRDefault="001A5BF9" w:rsidP="005A00F7">
      <w:pPr>
        <w:pStyle w:val="FootnoteText"/>
        <w:rPr>
          <w:rFonts w:ascii="Arial" w:hAnsi="Arial" w:cs="Arial"/>
          <w:sz w:val="20"/>
          <w:szCs w:val="20"/>
          <w:lang w:val="en-US"/>
        </w:rPr>
      </w:pPr>
      <w:r w:rsidRPr="00CA4BB2">
        <w:rPr>
          <w:rStyle w:val="FootnoteReference"/>
          <w:rFonts w:ascii="Arial" w:hAnsi="Arial" w:cs="Arial"/>
          <w:sz w:val="20"/>
          <w:szCs w:val="20"/>
        </w:rPr>
        <w:footnoteRef/>
      </w:r>
      <w:r w:rsidRPr="00CA4BB2">
        <w:rPr>
          <w:rFonts w:ascii="Arial" w:hAnsi="Arial" w:cs="Arial"/>
          <w:sz w:val="20"/>
          <w:szCs w:val="20"/>
        </w:rPr>
        <w:t xml:space="preserve"> </w:t>
      </w:r>
      <w:r w:rsidRPr="00E9261D">
        <w:rPr>
          <w:rFonts w:ascii="Arial" w:hAnsi="Arial" w:cs="Arial"/>
          <w:sz w:val="20"/>
          <w:szCs w:val="20"/>
        </w:rPr>
        <w:t>Art. 44 of the Vienna Convention</w:t>
      </w:r>
      <w:r>
        <w:rPr>
          <w:rFonts w:ascii="Arial" w:hAnsi="Arial" w:cs="Arial"/>
          <w:color w:val="FF0000"/>
          <w:sz w:val="20"/>
          <w:szCs w:val="20"/>
        </w:rPr>
        <w:t xml:space="preserve"> </w:t>
      </w:r>
      <w:r>
        <w:rPr>
          <w:rFonts w:ascii="Arial" w:hAnsi="Arial" w:cs="Arial"/>
          <w:sz w:val="20"/>
          <w:szCs w:val="20"/>
          <w:lang w:val="en-US"/>
        </w:rPr>
        <w:t>tends to avoid</w:t>
      </w:r>
      <w:r w:rsidRPr="00CA4BB2">
        <w:rPr>
          <w:rFonts w:ascii="Arial" w:hAnsi="Arial" w:cs="Arial"/>
          <w:sz w:val="20"/>
          <w:szCs w:val="20"/>
          <w:lang w:val="en-US"/>
        </w:rPr>
        <w:t xml:space="preserve"> severability</w:t>
      </w:r>
      <w:r>
        <w:rPr>
          <w:rFonts w:ascii="Arial" w:hAnsi="Arial" w:cs="Arial"/>
          <w:sz w:val="20"/>
          <w:szCs w:val="20"/>
          <w:lang w:val="en-US"/>
        </w:rPr>
        <w:t xml:space="preserve"> (or separability)</w:t>
      </w:r>
      <w:r w:rsidRPr="00CA4BB2">
        <w:rPr>
          <w:rFonts w:ascii="Arial" w:hAnsi="Arial" w:cs="Arial"/>
          <w:sz w:val="20"/>
          <w:szCs w:val="20"/>
          <w:lang w:val="en-US"/>
        </w:rPr>
        <w:t xml:space="preserve"> in most </w:t>
      </w:r>
      <w:r w:rsidRPr="0009521A">
        <w:rPr>
          <w:rFonts w:ascii="Arial" w:hAnsi="Arial" w:cs="Arial"/>
          <w:sz w:val="20"/>
          <w:szCs w:val="20"/>
          <w:lang w:val="en-US"/>
        </w:rPr>
        <w:t xml:space="preserve">situations. </w:t>
      </w:r>
    </w:p>
  </w:footnote>
  <w:footnote w:id="20">
    <w:p w14:paraId="044E3AB7" w14:textId="77777777" w:rsidR="001A5BF9" w:rsidRPr="009F45B3" w:rsidRDefault="001A5BF9" w:rsidP="00FC731D">
      <w:pPr>
        <w:pStyle w:val="FootnoteText"/>
        <w:rPr>
          <w:rFonts w:ascii="Arial" w:hAnsi="Arial" w:cs="Arial"/>
          <w:sz w:val="20"/>
          <w:szCs w:val="20"/>
          <w:lang w:val="en-US"/>
        </w:rPr>
      </w:pPr>
      <w:r w:rsidRPr="009F45B3">
        <w:rPr>
          <w:rStyle w:val="FootnoteReference"/>
          <w:rFonts w:ascii="Arial" w:hAnsi="Arial" w:cs="Arial"/>
          <w:sz w:val="20"/>
          <w:szCs w:val="20"/>
        </w:rPr>
        <w:footnoteRef/>
      </w:r>
      <w:r w:rsidRPr="009F45B3">
        <w:rPr>
          <w:rFonts w:ascii="Arial" w:hAnsi="Arial" w:cs="Arial"/>
          <w:sz w:val="20"/>
          <w:szCs w:val="20"/>
        </w:rPr>
        <w:t xml:space="preserve"> </w:t>
      </w:r>
      <w:r w:rsidRPr="009F45B3">
        <w:rPr>
          <w:rFonts w:ascii="Arial" w:hAnsi="Arial" w:cs="Arial"/>
          <w:iCs/>
          <w:sz w:val="20"/>
          <w:szCs w:val="20"/>
          <w:lang w:val="en-US"/>
        </w:rPr>
        <w:t>See</w:t>
      </w:r>
      <w:r w:rsidRPr="009F45B3">
        <w:rPr>
          <w:rFonts w:ascii="Arial" w:hAnsi="Arial" w:cs="Arial"/>
          <w:i/>
          <w:iCs/>
          <w:sz w:val="20"/>
          <w:szCs w:val="20"/>
          <w:lang w:val="en-US"/>
        </w:rPr>
        <w:t xml:space="preserve"> </w:t>
      </w:r>
      <w:r w:rsidRPr="009F45B3">
        <w:rPr>
          <w:rFonts w:ascii="Arial" w:hAnsi="Arial" w:cs="Arial"/>
          <w:sz w:val="20"/>
          <w:szCs w:val="20"/>
          <w:lang w:val="en-US"/>
        </w:rPr>
        <w:t xml:space="preserve">Commentary, ILC Final Draft, </w:t>
      </w:r>
      <w:r w:rsidRPr="00F77EDD">
        <w:rPr>
          <w:rFonts w:ascii="Arial" w:hAnsi="Arial" w:cs="Arial"/>
          <w:iCs/>
          <w:sz w:val="20"/>
          <w:szCs w:val="20"/>
          <w:lang w:val="en-US"/>
        </w:rPr>
        <w:t>reprinted in</w:t>
      </w:r>
      <w:r w:rsidRPr="00F77EDD">
        <w:rPr>
          <w:rFonts w:ascii="Arial" w:hAnsi="Arial" w:cs="Arial"/>
          <w:i/>
          <w:iCs/>
          <w:sz w:val="20"/>
          <w:szCs w:val="20"/>
          <w:lang w:val="en-US"/>
        </w:rPr>
        <w:t xml:space="preserve"> </w:t>
      </w:r>
      <w:r w:rsidRPr="00F77EDD">
        <w:rPr>
          <w:rFonts w:ascii="Arial" w:hAnsi="Arial" w:cs="Arial"/>
          <w:iCs/>
          <w:sz w:val="20"/>
          <w:szCs w:val="20"/>
          <w:lang w:val="en-US"/>
        </w:rPr>
        <w:t>‘</w:t>
      </w:r>
      <w:r w:rsidRPr="00F77EDD">
        <w:rPr>
          <w:rFonts w:ascii="Arial" w:hAnsi="Arial" w:cs="Arial"/>
          <w:bCs/>
          <w:sz w:val="20"/>
          <w:szCs w:val="20"/>
          <w:lang w:val="en-US"/>
        </w:rPr>
        <w:t xml:space="preserve">The Vienna Convention </w:t>
      </w:r>
      <w:r>
        <w:rPr>
          <w:rFonts w:ascii="Arial" w:hAnsi="Arial" w:cs="Arial"/>
          <w:bCs/>
          <w:sz w:val="20"/>
          <w:szCs w:val="20"/>
          <w:lang w:val="en-US"/>
        </w:rPr>
        <w:t>o</w:t>
      </w:r>
      <w:r w:rsidRPr="00F77EDD">
        <w:rPr>
          <w:rFonts w:ascii="Arial" w:hAnsi="Arial" w:cs="Arial"/>
          <w:bCs/>
          <w:sz w:val="20"/>
          <w:szCs w:val="20"/>
          <w:lang w:val="en-US"/>
        </w:rPr>
        <w:t xml:space="preserve">n </w:t>
      </w:r>
      <w:r>
        <w:rPr>
          <w:rFonts w:ascii="Arial" w:hAnsi="Arial" w:cs="Arial"/>
          <w:bCs/>
          <w:sz w:val="20"/>
          <w:szCs w:val="20"/>
          <w:lang w:val="en-US"/>
        </w:rPr>
        <w:t>t</w:t>
      </w:r>
      <w:r w:rsidRPr="00F77EDD">
        <w:rPr>
          <w:rFonts w:ascii="Arial" w:hAnsi="Arial" w:cs="Arial"/>
          <w:bCs/>
          <w:sz w:val="20"/>
          <w:szCs w:val="20"/>
          <w:lang w:val="en-US"/>
        </w:rPr>
        <w:t xml:space="preserve">he </w:t>
      </w:r>
      <w:r w:rsidRPr="00F77EDD">
        <w:rPr>
          <w:rFonts w:ascii="Arial" w:hAnsi="Arial" w:cs="Arial"/>
          <w:sz w:val="20"/>
          <w:szCs w:val="20"/>
          <w:lang w:val="en-US"/>
        </w:rPr>
        <w:t xml:space="preserve">Law </w:t>
      </w:r>
      <w:r>
        <w:rPr>
          <w:rFonts w:ascii="Arial" w:hAnsi="Arial" w:cs="Arial"/>
          <w:sz w:val="20"/>
          <w:szCs w:val="20"/>
          <w:lang w:val="en-US"/>
        </w:rPr>
        <w:t>o</w:t>
      </w:r>
      <w:r w:rsidRPr="00F77EDD">
        <w:rPr>
          <w:rFonts w:ascii="Arial" w:hAnsi="Arial" w:cs="Arial"/>
          <w:sz w:val="20"/>
          <w:szCs w:val="20"/>
          <w:lang w:val="en-US"/>
        </w:rPr>
        <w:t>f Treaties: Travaux Preparatoires</w:t>
      </w:r>
      <w:r>
        <w:rPr>
          <w:rFonts w:ascii="Arial" w:hAnsi="Arial" w:cs="Arial"/>
          <w:sz w:val="20"/>
          <w:szCs w:val="20"/>
          <w:lang w:val="en-US"/>
        </w:rPr>
        <w:t>’</w:t>
      </w:r>
      <w:r w:rsidRPr="009F45B3">
        <w:rPr>
          <w:rFonts w:ascii="Arial" w:hAnsi="Arial" w:cs="Arial"/>
          <w:sz w:val="20"/>
          <w:szCs w:val="20"/>
          <w:lang w:val="en-US"/>
        </w:rPr>
        <w:t xml:space="preserve"> 188-92 (Dr. Ralf Gunter Wetzel, compiler; Professor Dr. Dietrich Rauschning, ed. 1978) [hereinafter </w:t>
      </w:r>
      <w:r w:rsidRPr="00F77EDD">
        <w:rPr>
          <w:rFonts w:ascii="Arial" w:hAnsi="Arial" w:cs="Arial"/>
          <w:bCs/>
          <w:sz w:val="20"/>
          <w:szCs w:val="20"/>
          <w:lang w:val="en-US"/>
        </w:rPr>
        <w:t xml:space="preserve">Vienna </w:t>
      </w:r>
      <w:r w:rsidRPr="00F77EDD">
        <w:rPr>
          <w:rFonts w:ascii="Arial" w:hAnsi="Arial" w:cs="Arial"/>
          <w:sz w:val="20"/>
          <w:szCs w:val="20"/>
          <w:lang w:val="en-US"/>
        </w:rPr>
        <w:t>Convention Travaux Preparatoires</w:t>
      </w:r>
      <w:r w:rsidRPr="009F45B3">
        <w:rPr>
          <w:rFonts w:ascii="Arial" w:hAnsi="Arial" w:cs="Arial"/>
          <w:sz w:val="20"/>
          <w:szCs w:val="20"/>
          <w:lang w:val="en-US"/>
        </w:rPr>
        <w:t xml:space="preserve">]. </w:t>
      </w:r>
      <w:r>
        <w:rPr>
          <w:rFonts w:ascii="Arial" w:hAnsi="Arial" w:cs="Arial"/>
          <w:sz w:val="20"/>
          <w:szCs w:val="20"/>
          <w:lang w:val="en-US"/>
        </w:rPr>
        <w:t>The ILC concluded that “[t</w:t>
      </w:r>
      <w:r w:rsidRPr="009F45B3">
        <w:rPr>
          <w:rFonts w:ascii="Arial" w:hAnsi="Arial" w:cs="Arial"/>
          <w:sz w:val="20"/>
          <w:szCs w:val="20"/>
          <w:lang w:val="en-US"/>
        </w:rPr>
        <w:t xml:space="preserve">he article [governing formulation of reservations], in short, adopts the Court's criterion as a general rule governing the formulation of reservations not provided for in the </w:t>
      </w:r>
      <w:r>
        <w:rPr>
          <w:rFonts w:ascii="Arial" w:hAnsi="Arial" w:cs="Arial"/>
          <w:sz w:val="20"/>
          <w:szCs w:val="20"/>
          <w:lang w:val="en-US"/>
        </w:rPr>
        <w:t>treaty.</w:t>
      </w:r>
      <w:r w:rsidRPr="00F77EDD">
        <w:rPr>
          <w:rFonts w:ascii="Arial" w:hAnsi="Arial" w:cs="Arial"/>
          <w:iCs/>
          <w:sz w:val="20"/>
          <w:szCs w:val="20"/>
          <w:lang w:val="en-US"/>
        </w:rPr>
        <w:t>”</w:t>
      </w:r>
    </w:p>
  </w:footnote>
  <w:footnote w:id="21">
    <w:p w14:paraId="38049D70" w14:textId="08B01F9E" w:rsidR="001A5BF9" w:rsidRPr="002B02B1" w:rsidRDefault="001A5BF9">
      <w:pPr>
        <w:pStyle w:val="FootnoteText"/>
        <w:rPr>
          <w:rFonts w:ascii="Arial" w:hAnsi="Arial" w:cs="Arial"/>
          <w:sz w:val="20"/>
          <w:szCs w:val="20"/>
          <w:lang w:val="en-US"/>
        </w:rPr>
      </w:pPr>
      <w:r w:rsidRPr="002B02B1">
        <w:rPr>
          <w:rStyle w:val="FootnoteReference"/>
          <w:rFonts w:ascii="Arial" w:hAnsi="Arial" w:cs="Arial"/>
          <w:sz w:val="20"/>
          <w:szCs w:val="20"/>
        </w:rPr>
        <w:footnoteRef/>
      </w:r>
      <w:r w:rsidRPr="002B02B1">
        <w:rPr>
          <w:rFonts w:ascii="Arial" w:hAnsi="Arial" w:cs="Arial"/>
          <w:sz w:val="20"/>
          <w:szCs w:val="20"/>
        </w:rPr>
        <w:t xml:space="preserve"> </w:t>
      </w:r>
      <w:r>
        <w:rPr>
          <w:rFonts w:ascii="Arial" w:hAnsi="Arial" w:cs="Arial"/>
          <w:i/>
          <w:sz w:val="20"/>
          <w:szCs w:val="20"/>
        </w:rPr>
        <w:t>Reservations to the Convention on the Prevention and Punishment of the Crime of Genocide</w:t>
      </w:r>
      <w:r>
        <w:rPr>
          <w:rFonts w:ascii="Arial" w:hAnsi="Arial" w:cs="Arial"/>
          <w:sz w:val="20"/>
          <w:szCs w:val="20"/>
        </w:rPr>
        <w:t xml:space="preserve"> </w:t>
      </w:r>
      <w:r w:rsidRPr="00367DC5">
        <w:rPr>
          <w:rFonts w:ascii="Arial" w:hAnsi="Arial" w:cs="Arial"/>
          <w:sz w:val="20"/>
          <w:szCs w:val="20"/>
        </w:rPr>
        <w:t>(Advisory Opinion) [1951] ICJ Rep 15, 2</w:t>
      </w:r>
      <w:r>
        <w:rPr>
          <w:rFonts w:ascii="Arial" w:hAnsi="Arial" w:cs="Arial"/>
          <w:sz w:val="20"/>
          <w:szCs w:val="20"/>
        </w:rPr>
        <w:t>9.</w:t>
      </w:r>
    </w:p>
  </w:footnote>
  <w:footnote w:id="22">
    <w:p w14:paraId="3760E001" w14:textId="067F48A1" w:rsidR="001A5BF9" w:rsidRPr="006F62FC" w:rsidRDefault="001A5BF9">
      <w:pPr>
        <w:pStyle w:val="FootnoteText"/>
        <w:rPr>
          <w:rFonts w:ascii="Arial" w:hAnsi="Arial" w:cs="Arial"/>
          <w:sz w:val="20"/>
          <w:szCs w:val="20"/>
          <w:lang w:val="en-US"/>
        </w:rPr>
      </w:pPr>
      <w:r w:rsidRPr="006F62FC">
        <w:rPr>
          <w:rStyle w:val="FootnoteReference"/>
          <w:rFonts w:ascii="Arial" w:hAnsi="Arial" w:cs="Arial"/>
          <w:sz w:val="20"/>
          <w:szCs w:val="20"/>
        </w:rPr>
        <w:footnoteRef/>
      </w:r>
      <w:r w:rsidRPr="006F62FC">
        <w:rPr>
          <w:rFonts w:ascii="Arial" w:hAnsi="Arial" w:cs="Arial"/>
          <w:sz w:val="20"/>
          <w:szCs w:val="20"/>
        </w:rPr>
        <w:t xml:space="preserve"> </w:t>
      </w:r>
      <w:r w:rsidRPr="002B02B1">
        <w:rPr>
          <w:rFonts w:ascii="Arial" w:hAnsi="Arial" w:cs="Arial"/>
          <w:sz w:val="20"/>
          <w:szCs w:val="20"/>
        </w:rPr>
        <w:t>Ibid,</w:t>
      </w:r>
      <w:r w:rsidRPr="00367DC5">
        <w:rPr>
          <w:rFonts w:ascii="Arial" w:hAnsi="Arial" w:cs="Arial"/>
          <w:sz w:val="20"/>
          <w:szCs w:val="20"/>
        </w:rPr>
        <w:t xml:space="preserve"> </w:t>
      </w:r>
      <w:r>
        <w:rPr>
          <w:rFonts w:ascii="Arial" w:hAnsi="Arial" w:cs="Arial"/>
          <w:sz w:val="20"/>
          <w:szCs w:val="20"/>
        </w:rPr>
        <w:t xml:space="preserve">at </w:t>
      </w:r>
      <w:r w:rsidRPr="00367DC5">
        <w:rPr>
          <w:rFonts w:ascii="Arial" w:hAnsi="Arial" w:cs="Arial"/>
          <w:sz w:val="20"/>
          <w:szCs w:val="20"/>
        </w:rPr>
        <w:t>23</w:t>
      </w:r>
      <w:r>
        <w:rPr>
          <w:rFonts w:ascii="Arial" w:hAnsi="Arial" w:cs="Arial"/>
          <w:sz w:val="20"/>
          <w:szCs w:val="20"/>
        </w:rPr>
        <w:t>.</w:t>
      </w:r>
    </w:p>
  </w:footnote>
  <w:footnote w:id="23">
    <w:p w14:paraId="68C618F3" w14:textId="5542C754" w:rsidR="001A5BF9" w:rsidRPr="00FB302C" w:rsidRDefault="001A5BF9" w:rsidP="008B668F">
      <w:pPr>
        <w:pStyle w:val="FootnoteText"/>
        <w:rPr>
          <w:rFonts w:ascii="Arial" w:hAnsi="Arial" w:cs="Arial"/>
          <w:color w:val="FF0000"/>
          <w:sz w:val="20"/>
          <w:szCs w:val="20"/>
          <w:lang w:val="en-US"/>
        </w:rPr>
      </w:pPr>
      <w:r w:rsidRPr="00FB302C">
        <w:rPr>
          <w:rStyle w:val="FootnoteReference"/>
          <w:rFonts w:ascii="Arial" w:hAnsi="Arial" w:cs="Arial"/>
          <w:sz w:val="20"/>
          <w:szCs w:val="20"/>
        </w:rPr>
        <w:footnoteRef/>
      </w:r>
      <w:r w:rsidRPr="00FB302C">
        <w:rPr>
          <w:rFonts w:ascii="Arial" w:hAnsi="Arial" w:cs="Arial"/>
          <w:sz w:val="20"/>
          <w:szCs w:val="20"/>
        </w:rPr>
        <w:t xml:space="preserve"> </w:t>
      </w:r>
      <w:r w:rsidRPr="00EB2B3F">
        <w:rPr>
          <w:rFonts w:ascii="Arial" w:hAnsi="Arial" w:cs="Arial"/>
          <w:sz w:val="20"/>
          <w:szCs w:val="20"/>
        </w:rPr>
        <w:t>Vienna Convention, Art. 26.</w:t>
      </w:r>
    </w:p>
  </w:footnote>
  <w:footnote w:id="24">
    <w:p w14:paraId="32C1526E" w14:textId="6C332236" w:rsidR="001A5BF9" w:rsidRPr="00D4286F" w:rsidRDefault="001A5BF9" w:rsidP="008B668F">
      <w:pPr>
        <w:pStyle w:val="FootnoteText"/>
        <w:rPr>
          <w:rFonts w:ascii="Arial" w:hAnsi="Arial" w:cs="Arial"/>
          <w:color w:val="FF0000"/>
          <w:sz w:val="20"/>
          <w:szCs w:val="20"/>
          <w:lang w:val="en-US"/>
        </w:rPr>
      </w:pPr>
      <w:r w:rsidRPr="00DA7AD1">
        <w:rPr>
          <w:rStyle w:val="FootnoteReference"/>
          <w:rFonts w:ascii="Arial" w:hAnsi="Arial" w:cs="Arial"/>
          <w:sz w:val="20"/>
          <w:szCs w:val="20"/>
        </w:rPr>
        <w:footnoteRef/>
      </w:r>
      <w:r w:rsidRPr="00DA7AD1">
        <w:rPr>
          <w:rFonts w:ascii="Arial" w:hAnsi="Arial" w:cs="Arial"/>
          <w:sz w:val="20"/>
          <w:szCs w:val="20"/>
        </w:rPr>
        <w:t xml:space="preserve"> </w:t>
      </w:r>
      <w:r>
        <w:rPr>
          <w:rFonts w:ascii="Arial" w:hAnsi="Arial" w:cs="Arial"/>
          <w:sz w:val="20"/>
          <w:szCs w:val="20"/>
        </w:rPr>
        <w:t>It was particularly hard to find an appropriate balance between flexibility and stability in treaty formation during the development of the Vienna Convention.</w:t>
      </w:r>
      <w:r>
        <w:rPr>
          <w:rFonts w:ascii="Arial" w:hAnsi="Arial" w:cs="Arial"/>
          <w:sz w:val="20"/>
          <w:szCs w:val="20"/>
          <w:lang w:val="en-US"/>
        </w:rPr>
        <w:t xml:space="preserve"> S</w:t>
      </w:r>
      <w:r w:rsidRPr="00DA7AD1">
        <w:rPr>
          <w:rFonts w:ascii="Arial" w:hAnsi="Arial" w:cs="Arial"/>
          <w:sz w:val="20"/>
          <w:szCs w:val="20"/>
          <w:lang w:val="en-US"/>
        </w:rPr>
        <w:t xml:space="preserve">ee </w:t>
      </w:r>
      <w:r w:rsidRPr="00D4286F">
        <w:rPr>
          <w:rFonts w:ascii="Arial" w:hAnsi="Arial" w:cs="Arial"/>
          <w:sz w:val="20"/>
          <w:szCs w:val="20"/>
          <w:lang w:val="en-US"/>
        </w:rPr>
        <w:t>Sinclair</w:t>
      </w:r>
      <w:r>
        <w:rPr>
          <w:rFonts w:ascii="Arial" w:hAnsi="Arial" w:cs="Arial"/>
          <w:sz w:val="20"/>
          <w:szCs w:val="20"/>
          <w:lang w:val="en-US"/>
        </w:rPr>
        <w:t xml:space="preserve"> </w:t>
      </w:r>
      <w:r w:rsidRPr="00FE6A36">
        <w:rPr>
          <w:rFonts w:ascii="Arial" w:hAnsi="Arial" w:cs="Arial"/>
          <w:sz w:val="20"/>
          <w:szCs w:val="20"/>
          <w:lang w:val="en-US"/>
        </w:rPr>
        <w:t>(n 17)</w:t>
      </w:r>
      <w:r w:rsidRPr="00D4286F">
        <w:rPr>
          <w:rFonts w:ascii="Arial" w:hAnsi="Arial" w:cs="Arial"/>
          <w:sz w:val="20"/>
          <w:szCs w:val="20"/>
          <w:lang w:val="en-US"/>
        </w:rPr>
        <w:t xml:space="preserve">; </w:t>
      </w:r>
      <w:r w:rsidRPr="004029AC">
        <w:rPr>
          <w:rFonts w:ascii="Arial" w:hAnsi="Arial" w:cs="Arial"/>
          <w:sz w:val="20"/>
          <w:szCs w:val="20"/>
          <w:lang w:val="en-US"/>
        </w:rPr>
        <w:t xml:space="preserve">S. Rosenne, </w:t>
      </w:r>
      <w:r w:rsidRPr="004029AC">
        <w:rPr>
          <w:rFonts w:ascii="Arial" w:hAnsi="Arial" w:cs="Arial"/>
          <w:i/>
          <w:sz w:val="20"/>
          <w:szCs w:val="20"/>
          <w:lang w:val="en-US"/>
        </w:rPr>
        <w:t>Developments in the Law of Treaties 1945–1986</w:t>
      </w:r>
      <w:r w:rsidRPr="004029AC">
        <w:rPr>
          <w:rFonts w:ascii="Arial" w:hAnsi="Arial" w:cs="Arial"/>
          <w:sz w:val="20"/>
          <w:szCs w:val="20"/>
          <w:lang w:val="en-US"/>
        </w:rPr>
        <w:t xml:space="preserve"> (</w:t>
      </w:r>
      <w:r>
        <w:rPr>
          <w:rFonts w:ascii="Arial" w:hAnsi="Arial" w:cs="Arial"/>
          <w:sz w:val="20"/>
          <w:szCs w:val="20"/>
          <w:lang w:val="en-US"/>
        </w:rPr>
        <w:t xml:space="preserve">Cambridge: </w:t>
      </w:r>
      <w:r w:rsidRPr="004029AC">
        <w:rPr>
          <w:rFonts w:ascii="Arial" w:hAnsi="Arial" w:cs="Arial"/>
          <w:sz w:val="20"/>
          <w:szCs w:val="20"/>
          <w:lang w:val="en-US"/>
        </w:rPr>
        <w:t>CUP 1989).</w:t>
      </w:r>
    </w:p>
  </w:footnote>
  <w:footnote w:id="25">
    <w:p w14:paraId="04C67111" w14:textId="18E8C6F0" w:rsidR="001A5BF9" w:rsidRPr="007539B8" w:rsidRDefault="001A5BF9">
      <w:pPr>
        <w:pStyle w:val="FootnoteText"/>
        <w:rPr>
          <w:rFonts w:ascii="Arial" w:hAnsi="Arial" w:cs="Arial"/>
          <w:sz w:val="20"/>
          <w:szCs w:val="20"/>
          <w:lang w:val="en-US"/>
        </w:rPr>
      </w:pPr>
      <w:r w:rsidRPr="007539B8">
        <w:rPr>
          <w:rStyle w:val="FootnoteReference"/>
          <w:rFonts w:ascii="Arial" w:hAnsi="Arial" w:cs="Arial"/>
          <w:sz w:val="20"/>
          <w:szCs w:val="20"/>
        </w:rPr>
        <w:footnoteRef/>
      </w:r>
      <w:r w:rsidRPr="007539B8">
        <w:rPr>
          <w:rFonts w:ascii="Arial" w:hAnsi="Arial" w:cs="Arial"/>
          <w:sz w:val="20"/>
          <w:szCs w:val="20"/>
        </w:rPr>
        <w:t xml:space="preserve"> Vienna Convention,</w:t>
      </w:r>
      <w:r>
        <w:rPr>
          <w:rFonts w:ascii="Arial" w:hAnsi="Arial" w:cs="Arial"/>
          <w:sz w:val="20"/>
          <w:szCs w:val="20"/>
        </w:rPr>
        <w:t xml:space="preserve"> Arts. </w:t>
      </w:r>
      <w:r w:rsidRPr="007539B8">
        <w:rPr>
          <w:rFonts w:ascii="Arial" w:hAnsi="Arial" w:cs="Arial"/>
          <w:sz w:val="20"/>
          <w:szCs w:val="20"/>
        </w:rPr>
        <w:t>19-21.</w:t>
      </w:r>
    </w:p>
  </w:footnote>
  <w:footnote w:id="26">
    <w:p w14:paraId="3651F63C" w14:textId="2512C19B" w:rsidR="001A5BF9" w:rsidRPr="003048A1" w:rsidRDefault="001A5BF9" w:rsidP="003C4703">
      <w:pPr>
        <w:pStyle w:val="FootnoteText"/>
        <w:rPr>
          <w:rFonts w:ascii="Arial" w:hAnsi="Arial" w:cs="Arial"/>
          <w:sz w:val="20"/>
          <w:szCs w:val="20"/>
        </w:rPr>
      </w:pPr>
      <w:r w:rsidRPr="009242D0">
        <w:rPr>
          <w:rStyle w:val="FootnoteReference"/>
          <w:rFonts w:ascii="Arial" w:hAnsi="Arial" w:cs="Arial"/>
          <w:sz w:val="20"/>
          <w:szCs w:val="20"/>
        </w:rPr>
        <w:footnoteRef/>
      </w:r>
      <w:r w:rsidRPr="009242D0">
        <w:rPr>
          <w:rFonts w:ascii="Arial" w:hAnsi="Arial" w:cs="Arial"/>
          <w:sz w:val="20"/>
          <w:szCs w:val="20"/>
        </w:rPr>
        <w:t xml:space="preserve"> </w:t>
      </w:r>
      <w:r w:rsidRPr="003048A1">
        <w:rPr>
          <w:rFonts w:ascii="Arial" w:hAnsi="Arial" w:cs="Arial"/>
          <w:sz w:val="20"/>
          <w:szCs w:val="20"/>
        </w:rPr>
        <w:t>Vienna Convention on Succession of States in Respect of Treaties</w:t>
      </w:r>
      <w:r>
        <w:rPr>
          <w:rFonts w:ascii="Arial" w:hAnsi="Arial" w:cs="Arial"/>
          <w:sz w:val="20"/>
          <w:szCs w:val="20"/>
        </w:rPr>
        <w:t xml:space="preserve"> </w:t>
      </w:r>
      <w:r w:rsidRPr="006B3F8E">
        <w:rPr>
          <w:rFonts w:ascii="Arial" w:hAnsi="Arial" w:cs="Arial"/>
          <w:sz w:val="20"/>
          <w:szCs w:val="20"/>
        </w:rPr>
        <w:t>1946 UNTS 3; 17 ILM 1488 (1978); 72 AJIL 971 (1978)</w:t>
      </w:r>
      <w:r>
        <w:rPr>
          <w:rFonts w:ascii="Arial" w:hAnsi="Arial" w:cs="Arial"/>
          <w:sz w:val="20"/>
          <w:szCs w:val="20"/>
        </w:rPr>
        <w:t>, Art. 2(1)(j).</w:t>
      </w:r>
    </w:p>
  </w:footnote>
  <w:footnote w:id="27">
    <w:p w14:paraId="02BF9E82" w14:textId="186C0766" w:rsidR="001A5BF9" w:rsidRPr="003048A1" w:rsidRDefault="001A5BF9">
      <w:pPr>
        <w:pStyle w:val="FootnoteText"/>
        <w:rPr>
          <w:rFonts w:ascii="Arial" w:hAnsi="Arial" w:cs="Arial"/>
          <w:sz w:val="20"/>
          <w:szCs w:val="20"/>
        </w:rPr>
      </w:pPr>
      <w:r w:rsidRPr="006B3F8E">
        <w:rPr>
          <w:rStyle w:val="FootnoteReference"/>
          <w:rFonts w:ascii="Arial" w:hAnsi="Arial" w:cs="Arial"/>
          <w:sz w:val="20"/>
          <w:szCs w:val="20"/>
        </w:rPr>
        <w:footnoteRef/>
      </w:r>
      <w:r w:rsidRPr="006B3F8E">
        <w:rPr>
          <w:rFonts w:ascii="Arial" w:hAnsi="Arial" w:cs="Arial"/>
          <w:sz w:val="20"/>
          <w:szCs w:val="20"/>
        </w:rPr>
        <w:t xml:space="preserve"> </w:t>
      </w:r>
      <w:r w:rsidRPr="003048A1">
        <w:rPr>
          <w:rFonts w:ascii="Arial" w:hAnsi="Arial" w:cs="Arial"/>
          <w:sz w:val="20"/>
          <w:szCs w:val="20"/>
        </w:rPr>
        <w:t>Vienna Convention on the Law of Treaties between States and International Organizations or Between International Organizations</w:t>
      </w:r>
      <w:r>
        <w:rPr>
          <w:rFonts w:ascii="Arial" w:hAnsi="Arial" w:cs="Arial"/>
          <w:sz w:val="20"/>
          <w:szCs w:val="20"/>
        </w:rPr>
        <w:t xml:space="preserve"> </w:t>
      </w:r>
      <w:r w:rsidRPr="003048A1">
        <w:rPr>
          <w:rFonts w:ascii="Arial" w:hAnsi="Arial" w:cs="Arial"/>
          <w:sz w:val="20"/>
          <w:szCs w:val="20"/>
        </w:rPr>
        <w:t>25 ILM 543 (1986)</w:t>
      </w:r>
      <w:r>
        <w:rPr>
          <w:rFonts w:ascii="Arial" w:hAnsi="Arial" w:cs="Arial"/>
          <w:sz w:val="20"/>
          <w:szCs w:val="20"/>
        </w:rPr>
        <w:t>.</w:t>
      </w:r>
    </w:p>
  </w:footnote>
  <w:footnote w:id="28">
    <w:p w14:paraId="42E7D067" w14:textId="67F1E50C" w:rsidR="001A5BF9" w:rsidRPr="009242D0" w:rsidRDefault="001A5BF9">
      <w:pPr>
        <w:pStyle w:val="FootnoteText"/>
        <w:rPr>
          <w:rFonts w:ascii="Arial" w:hAnsi="Arial" w:cs="Arial"/>
          <w:color w:val="FF0000"/>
          <w:sz w:val="20"/>
          <w:szCs w:val="20"/>
          <w:lang w:val="en-US"/>
        </w:rPr>
      </w:pPr>
      <w:r w:rsidRPr="009242D0">
        <w:rPr>
          <w:rStyle w:val="FootnoteReference"/>
          <w:rFonts w:ascii="Arial" w:hAnsi="Arial" w:cs="Arial"/>
          <w:sz w:val="20"/>
          <w:szCs w:val="20"/>
        </w:rPr>
        <w:footnoteRef/>
      </w:r>
      <w:r w:rsidRPr="009242D0">
        <w:rPr>
          <w:rFonts w:ascii="Arial" w:hAnsi="Arial" w:cs="Arial"/>
          <w:sz w:val="20"/>
          <w:szCs w:val="20"/>
        </w:rPr>
        <w:t xml:space="preserve"> </w:t>
      </w:r>
      <w:r w:rsidRPr="009242D0">
        <w:rPr>
          <w:rFonts w:ascii="Arial" w:hAnsi="Arial" w:cs="Arial"/>
          <w:sz w:val="20"/>
          <w:szCs w:val="20"/>
          <w:lang w:val="en-US"/>
        </w:rPr>
        <w:t xml:space="preserve">See F. Paris and N. Ghei, </w:t>
      </w:r>
      <w:r>
        <w:rPr>
          <w:rFonts w:ascii="Arial" w:hAnsi="Arial" w:cs="Arial"/>
          <w:sz w:val="20"/>
          <w:szCs w:val="20"/>
          <w:lang w:val="en-US"/>
        </w:rPr>
        <w:t>‘</w:t>
      </w:r>
      <w:r w:rsidRPr="00C16F3F">
        <w:rPr>
          <w:rFonts w:ascii="Arial" w:hAnsi="Arial" w:cs="Arial"/>
          <w:sz w:val="20"/>
          <w:szCs w:val="20"/>
          <w:lang w:val="en-US"/>
        </w:rPr>
        <w:t xml:space="preserve">The Role of Reciprocity in International Law’, </w:t>
      </w:r>
      <w:r w:rsidRPr="00C16F3F">
        <w:rPr>
          <w:rFonts w:ascii="Arial" w:hAnsi="Arial" w:cs="Arial"/>
          <w:i/>
          <w:sz w:val="20"/>
          <w:szCs w:val="20"/>
          <w:lang w:val="en-US"/>
        </w:rPr>
        <w:t>CILJ</w:t>
      </w:r>
      <w:r w:rsidRPr="009242D0">
        <w:rPr>
          <w:rFonts w:ascii="Arial" w:hAnsi="Arial" w:cs="Arial"/>
          <w:sz w:val="20"/>
          <w:szCs w:val="20"/>
          <w:lang w:val="en-US"/>
        </w:rPr>
        <w:t xml:space="preserve"> 36:1 (2003).</w:t>
      </w:r>
      <w:r w:rsidRPr="009242D0">
        <w:rPr>
          <w:rFonts w:ascii="Arial" w:hAnsi="Arial" w:cs="Arial"/>
          <w:color w:val="FF0000"/>
          <w:sz w:val="20"/>
          <w:szCs w:val="20"/>
          <w:lang w:val="en-US"/>
        </w:rPr>
        <w:t xml:space="preserve"> </w:t>
      </w:r>
    </w:p>
  </w:footnote>
  <w:footnote w:id="29">
    <w:p w14:paraId="68914E75" w14:textId="557EDEDF" w:rsidR="001A5BF9" w:rsidRPr="009242D0" w:rsidRDefault="001A5BF9">
      <w:pPr>
        <w:pStyle w:val="FootnoteText"/>
        <w:rPr>
          <w:rFonts w:ascii="Arial" w:hAnsi="Arial" w:cs="Arial"/>
          <w:sz w:val="20"/>
          <w:szCs w:val="20"/>
          <w:lang w:val="en-US"/>
        </w:rPr>
      </w:pPr>
      <w:r w:rsidRPr="009242D0">
        <w:rPr>
          <w:rStyle w:val="FootnoteReference"/>
          <w:rFonts w:ascii="Arial" w:hAnsi="Arial" w:cs="Arial"/>
          <w:sz w:val="20"/>
          <w:szCs w:val="20"/>
        </w:rPr>
        <w:footnoteRef/>
      </w:r>
      <w:r w:rsidRPr="009242D0">
        <w:rPr>
          <w:rFonts w:ascii="Arial" w:hAnsi="Arial" w:cs="Arial"/>
          <w:sz w:val="20"/>
          <w:szCs w:val="20"/>
        </w:rPr>
        <w:t xml:space="preserve"> </w:t>
      </w:r>
      <w:r w:rsidRPr="002A11D6">
        <w:rPr>
          <w:rFonts w:ascii="Arial" w:hAnsi="Arial" w:cs="Arial"/>
          <w:sz w:val="20"/>
          <w:szCs w:val="20"/>
        </w:rPr>
        <w:t>Vienna Convention, Art. 21.</w:t>
      </w:r>
    </w:p>
  </w:footnote>
  <w:footnote w:id="30">
    <w:p w14:paraId="2FA90CBB" w14:textId="1718369E" w:rsidR="001A5BF9" w:rsidRPr="009242D0" w:rsidRDefault="001A5BF9">
      <w:pPr>
        <w:pStyle w:val="FootnoteText"/>
        <w:rPr>
          <w:rFonts w:ascii="Arial" w:hAnsi="Arial" w:cs="Arial"/>
          <w:sz w:val="20"/>
          <w:szCs w:val="20"/>
          <w:lang w:val="en-US"/>
        </w:rPr>
      </w:pPr>
      <w:r w:rsidRPr="009242D0">
        <w:rPr>
          <w:rStyle w:val="FootnoteReference"/>
          <w:rFonts w:ascii="Arial" w:hAnsi="Arial" w:cs="Arial"/>
          <w:sz w:val="20"/>
          <w:szCs w:val="20"/>
        </w:rPr>
        <w:footnoteRef/>
      </w:r>
      <w:r w:rsidRPr="009242D0">
        <w:rPr>
          <w:rFonts w:ascii="Arial" w:hAnsi="Arial" w:cs="Arial"/>
          <w:sz w:val="20"/>
          <w:szCs w:val="20"/>
        </w:rPr>
        <w:t xml:space="preserve"> </w:t>
      </w:r>
      <w:r>
        <w:rPr>
          <w:rFonts w:ascii="Arial" w:hAnsi="Arial" w:cs="Arial"/>
          <w:sz w:val="20"/>
          <w:szCs w:val="20"/>
        </w:rPr>
        <w:t xml:space="preserve">K. Korkelia, ‘New Challenges to the Regime of Reservations under the International Covenant on Civil and Political Rights’, </w:t>
      </w:r>
      <w:r w:rsidRPr="00F9149A">
        <w:rPr>
          <w:rFonts w:ascii="Arial" w:hAnsi="Arial" w:cs="Arial"/>
          <w:i/>
          <w:sz w:val="20"/>
          <w:szCs w:val="20"/>
        </w:rPr>
        <w:t>EJIL</w:t>
      </w:r>
      <w:r w:rsidRPr="00F9149A">
        <w:rPr>
          <w:rFonts w:ascii="Arial" w:hAnsi="Arial" w:cs="Arial"/>
          <w:sz w:val="20"/>
          <w:szCs w:val="20"/>
        </w:rPr>
        <w:t xml:space="preserve"> (2002) 13</w:t>
      </w:r>
      <w:r>
        <w:rPr>
          <w:rFonts w:ascii="Arial" w:hAnsi="Arial" w:cs="Arial"/>
          <w:sz w:val="20"/>
          <w:szCs w:val="20"/>
        </w:rPr>
        <w:t>:2</w:t>
      </w:r>
      <w:r w:rsidRPr="00F9149A">
        <w:rPr>
          <w:rFonts w:ascii="Arial" w:hAnsi="Arial" w:cs="Arial"/>
          <w:sz w:val="20"/>
          <w:szCs w:val="20"/>
        </w:rPr>
        <w:t>,</w:t>
      </w:r>
      <w:r>
        <w:rPr>
          <w:rFonts w:ascii="Arial" w:hAnsi="Arial" w:cs="Arial"/>
          <w:sz w:val="20"/>
          <w:szCs w:val="20"/>
        </w:rPr>
        <w:t xml:space="preserve"> at 439.</w:t>
      </w:r>
    </w:p>
  </w:footnote>
  <w:footnote w:id="31">
    <w:p w14:paraId="21F6136A" w14:textId="5B210419" w:rsidR="001A5BF9" w:rsidRPr="00FF0500" w:rsidRDefault="001A5BF9">
      <w:pPr>
        <w:pStyle w:val="FootnoteText"/>
        <w:rPr>
          <w:rFonts w:ascii="Arial" w:hAnsi="Arial" w:cs="Arial"/>
          <w:sz w:val="20"/>
          <w:szCs w:val="20"/>
          <w:lang w:val="en-US"/>
        </w:rPr>
      </w:pPr>
      <w:r w:rsidRPr="00FF0500">
        <w:rPr>
          <w:rStyle w:val="FootnoteReference"/>
          <w:rFonts w:ascii="Arial" w:hAnsi="Arial" w:cs="Arial"/>
          <w:sz w:val="20"/>
          <w:szCs w:val="20"/>
        </w:rPr>
        <w:footnoteRef/>
      </w:r>
      <w:r w:rsidRPr="00FF0500">
        <w:rPr>
          <w:rFonts w:ascii="Arial" w:hAnsi="Arial" w:cs="Arial"/>
          <w:sz w:val="20"/>
          <w:szCs w:val="20"/>
        </w:rPr>
        <w:t xml:space="preserve"> </w:t>
      </w:r>
      <w:r>
        <w:rPr>
          <w:rFonts w:ascii="Arial" w:hAnsi="Arial" w:cs="Arial"/>
          <w:sz w:val="20"/>
          <w:szCs w:val="20"/>
        </w:rPr>
        <w:t xml:space="preserve">B. </w:t>
      </w:r>
      <w:r w:rsidRPr="00FF0500">
        <w:rPr>
          <w:rFonts w:ascii="Arial" w:hAnsi="Arial" w:cs="Arial"/>
          <w:sz w:val="20"/>
          <w:szCs w:val="20"/>
        </w:rPr>
        <w:t xml:space="preserve">Simma, </w:t>
      </w:r>
      <w:r>
        <w:rPr>
          <w:rFonts w:ascii="Arial" w:hAnsi="Arial" w:cs="Arial"/>
          <w:sz w:val="20"/>
          <w:szCs w:val="20"/>
        </w:rPr>
        <w:t xml:space="preserve">‘From Bilateralism to Community Interest in International Law’, 250 </w:t>
      </w:r>
      <w:r>
        <w:rPr>
          <w:rFonts w:ascii="Arial" w:hAnsi="Arial" w:cs="Arial"/>
          <w:i/>
          <w:sz w:val="20"/>
          <w:szCs w:val="20"/>
        </w:rPr>
        <w:t xml:space="preserve">Recueil des Cours </w:t>
      </w:r>
      <w:r>
        <w:rPr>
          <w:rFonts w:ascii="Arial" w:hAnsi="Arial" w:cs="Arial"/>
          <w:sz w:val="20"/>
          <w:szCs w:val="20"/>
        </w:rPr>
        <w:t>(1994-VI) 229, at 343.</w:t>
      </w:r>
    </w:p>
  </w:footnote>
  <w:footnote w:id="32">
    <w:p w14:paraId="48A81E0C" w14:textId="7E67CF7C" w:rsidR="001A5BF9" w:rsidRPr="00BB58C5" w:rsidRDefault="001A5BF9" w:rsidP="00B34DB7">
      <w:pPr>
        <w:pStyle w:val="FootnoteText"/>
        <w:rPr>
          <w:rFonts w:ascii="Arial" w:hAnsi="Arial" w:cs="Arial"/>
          <w:sz w:val="20"/>
          <w:szCs w:val="20"/>
        </w:rPr>
      </w:pPr>
      <w:r w:rsidRPr="0047075D">
        <w:rPr>
          <w:rStyle w:val="FootnoteReference"/>
          <w:rFonts w:ascii="Arial" w:hAnsi="Arial" w:cs="Arial"/>
          <w:sz w:val="20"/>
          <w:szCs w:val="20"/>
        </w:rPr>
        <w:footnoteRef/>
      </w:r>
      <w:r w:rsidRPr="0047075D">
        <w:rPr>
          <w:rFonts w:ascii="Arial" w:hAnsi="Arial" w:cs="Arial"/>
          <w:sz w:val="20"/>
          <w:szCs w:val="20"/>
        </w:rPr>
        <w:t xml:space="preserve"> </w:t>
      </w:r>
      <w:r>
        <w:rPr>
          <w:rFonts w:ascii="Arial" w:hAnsi="Arial" w:cs="Arial"/>
          <w:bCs/>
          <w:sz w:val="20"/>
          <w:szCs w:val="20"/>
          <w:lang w:val="en-US"/>
        </w:rPr>
        <w:t>L.</w:t>
      </w:r>
      <w:r w:rsidRPr="00EE672B">
        <w:rPr>
          <w:rFonts w:ascii="Arial" w:hAnsi="Arial" w:cs="Arial"/>
          <w:bCs/>
          <w:sz w:val="20"/>
          <w:szCs w:val="20"/>
          <w:lang w:val="en-US"/>
        </w:rPr>
        <w:t xml:space="preserve"> Lijnzaad</w:t>
      </w:r>
      <w:r w:rsidRPr="003632FD">
        <w:rPr>
          <w:rFonts w:ascii="Arial" w:hAnsi="Arial" w:cs="Arial"/>
          <w:bCs/>
          <w:sz w:val="20"/>
          <w:szCs w:val="20"/>
          <w:lang w:val="en-US"/>
        </w:rPr>
        <w:t xml:space="preserve">, </w:t>
      </w:r>
      <w:r w:rsidRPr="003632FD">
        <w:rPr>
          <w:rFonts w:ascii="Arial" w:hAnsi="Arial" w:cs="Arial"/>
          <w:i/>
          <w:sz w:val="20"/>
          <w:szCs w:val="20"/>
          <w:lang w:val="en-US"/>
        </w:rPr>
        <w:t>Reservations to UN</w:t>
      </w:r>
      <w:r>
        <w:rPr>
          <w:rFonts w:ascii="Arial" w:hAnsi="Arial" w:cs="Arial"/>
          <w:i/>
          <w:sz w:val="20"/>
          <w:szCs w:val="20"/>
          <w:lang w:val="en-US"/>
        </w:rPr>
        <w:t>-</w:t>
      </w:r>
      <w:r w:rsidRPr="003632FD">
        <w:rPr>
          <w:rFonts w:ascii="Arial" w:hAnsi="Arial" w:cs="Arial"/>
          <w:bCs/>
          <w:i/>
          <w:sz w:val="20"/>
          <w:szCs w:val="20"/>
          <w:lang w:val="en-US"/>
        </w:rPr>
        <w:t xml:space="preserve">Human </w:t>
      </w:r>
      <w:r w:rsidRPr="003632FD">
        <w:rPr>
          <w:rFonts w:ascii="Arial" w:hAnsi="Arial" w:cs="Arial"/>
          <w:i/>
          <w:sz w:val="20"/>
          <w:szCs w:val="20"/>
          <w:lang w:val="en-US"/>
        </w:rPr>
        <w:t xml:space="preserve">Rights Treaties: Ratify </w:t>
      </w:r>
      <w:r w:rsidRPr="003632FD">
        <w:rPr>
          <w:rFonts w:ascii="Arial" w:hAnsi="Arial" w:cs="Arial"/>
          <w:bCs/>
          <w:i/>
          <w:sz w:val="20"/>
          <w:szCs w:val="20"/>
          <w:lang w:val="en-US"/>
        </w:rPr>
        <w:t xml:space="preserve">and </w:t>
      </w:r>
      <w:r w:rsidRPr="003632FD">
        <w:rPr>
          <w:rFonts w:ascii="Arial" w:hAnsi="Arial" w:cs="Arial"/>
          <w:i/>
          <w:sz w:val="20"/>
          <w:szCs w:val="20"/>
          <w:lang w:val="en-US"/>
        </w:rPr>
        <w:t>Ruin?</w:t>
      </w:r>
      <w:r w:rsidRPr="003632FD">
        <w:rPr>
          <w:rFonts w:ascii="Arial" w:hAnsi="Arial" w:cs="Arial"/>
          <w:sz w:val="20"/>
          <w:szCs w:val="20"/>
          <w:lang w:val="en-US"/>
        </w:rPr>
        <w:t xml:space="preserve"> </w:t>
      </w:r>
      <w:r>
        <w:rPr>
          <w:rFonts w:ascii="Arial" w:hAnsi="Arial" w:cs="Arial"/>
          <w:sz w:val="20"/>
          <w:szCs w:val="20"/>
          <w:lang w:val="en-US"/>
        </w:rPr>
        <w:t xml:space="preserve">186 in ‘International Studies in Human Rights’ (The Hague: </w:t>
      </w:r>
      <w:r w:rsidRPr="00BB58C5">
        <w:rPr>
          <w:rFonts w:ascii="Arial" w:hAnsi="Arial" w:cs="Arial"/>
          <w:sz w:val="20"/>
          <w:szCs w:val="20"/>
        </w:rPr>
        <w:t>Martinus Nijhoff</w:t>
      </w:r>
      <w:r>
        <w:rPr>
          <w:rFonts w:ascii="Arial" w:hAnsi="Arial" w:cs="Arial"/>
          <w:sz w:val="20"/>
          <w:szCs w:val="20"/>
        </w:rPr>
        <w:t xml:space="preserve"> </w:t>
      </w:r>
      <w:r>
        <w:rPr>
          <w:rFonts w:ascii="Arial" w:hAnsi="Arial" w:cs="Arial"/>
          <w:sz w:val="20"/>
          <w:szCs w:val="20"/>
          <w:lang w:val="en-US"/>
        </w:rPr>
        <w:t>1995)</w:t>
      </w:r>
      <w:r>
        <w:rPr>
          <w:rFonts w:ascii="Arial" w:hAnsi="Arial" w:cs="Arial"/>
          <w:sz w:val="20"/>
          <w:szCs w:val="20"/>
        </w:rPr>
        <w:t xml:space="preserve">, 71. </w:t>
      </w:r>
    </w:p>
  </w:footnote>
  <w:footnote w:id="33">
    <w:p w14:paraId="10040C3F" w14:textId="6BAA296F" w:rsidR="001A5BF9" w:rsidRPr="009356C1" w:rsidRDefault="001A5BF9">
      <w:pPr>
        <w:pStyle w:val="FootnoteText"/>
        <w:rPr>
          <w:rFonts w:ascii="Arial" w:hAnsi="Arial" w:cs="Arial"/>
          <w:sz w:val="20"/>
          <w:szCs w:val="20"/>
          <w:lang w:val="en-US"/>
        </w:rPr>
      </w:pPr>
      <w:r w:rsidRPr="009356C1">
        <w:rPr>
          <w:rStyle w:val="FootnoteReference"/>
          <w:rFonts w:ascii="Arial" w:hAnsi="Arial" w:cs="Arial"/>
          <w:sz w:val="20"/>
          <w:szCs w:val="20"/>
        </w:rPr>
        <w:footnoteRef/>
      </w:r>
      <w:r w:rsidRPr="009356C1">
        <w:rPr>
          <w:rFonts w:ascii="Arial" w:hAnsi="Arial" w:cs="Arial"/>
          <w:sz w:val="20"/>
          <w:szCs w:val="20"/>
        </w:rPr>
        <w:t xml:space="preserve"> </w:t>
      </w:r>
      <w:r w:rsidRPr="00987C6C">
        <w:rPr>
          <w:rFonts w:ascii="Arial" w:hAnsi="Arial" w:cs="Arial"/>
          <w:sz w:val="20"/>
          <w:szCs w:val="20"/>
        </w:rPr>
        <w:t>Korkelia (n 30),</w:t>
      </w:r>
      <w:r w:rsidRPr="009356C1">
        <w:rPr>
          <w:rFonts w:ascii="Arial" w:hAnsi="Arial" w:cs="Arial"/>
          <w:sz w:val="20"/>
          <w:szCs w:val="20"/>
        </w:rPr>
        <w:t xml:space="preserve"> at 440.</w:t>
      </w:r>
    </w:p>
  </w:footnote>
  <w:footnote w:id="34">
    <w:p w14:paraId="37E64A32" w14:textId="1013A796" w:rsidR="001A5BF9" w:rsidRPr="009356C1" w:rsidRDefault="001A5BF9">
      <w:pPr>
        <w:pStyle w:val="FootnoteText"/>
        <w:rPr>
          <w:rFonts w:ascii="Arial" w:hAnsi="Arial" w:cs="Arial"/>
          <w:sz w:val="20"/>
          <w:szCs w:val="20"/>
          <w:lang w:val="en-US"/>
        </w:rPr>
      </w:pPr>
      <w:r w:rsidRPr="009356C1">
        <w:rPr>
          <w:rStyle w:val="FootnoteReference"/>
          <w:rFonts w:ascii="Arial" w:hAnsi="Arial" w:cs="Arial"/>
          <w:sz w:val="20"/>
          <w:szCs w:val="20"/>
        </w:rPr>
        <w:footnoteRef/>
      </w:r>
      <w:r w:rsidRPr="009356C1">
        <w:rPr>
          <w:rFonts w:ascii="Arial" w:hAnsi="Arial" w:cs="Arial"/>
          <w:sz w:val="20"/>
          <w:szCs w:val="20"/>
        </w:rPr>
        <w:t xml:space="preserve"> </w:t>
      </w:r>
      <w:r>
        <w:rPr>
          <w:rFonts w:ascii="Arial" w:hAnsi="Arial" w:cs="Arial"/>
          <w:sz w:val="20"/>
          <w:szCs w:val="20"/>
        </w:rPr>
        <w:t xml:space="preserve">R. </w:t>
      </w:r>
      <w:r w:rsidRPr="009356C1">
        <w:rPr>
          <w:rFonts w:ascii="Arial" w:hAnsi="Arial" w:cs="Arial"/>
          <w:sz w:val="20"/>
          <w:szCs w:val="20"/>
        </w:rPr>
        <w:t xml:space="preserve">Provost, </w:t>
      </w:r>
      <w:r>
        <w:rPr>
          <w:rFonts w:ascii="Arial" w:hAnsi="Arial" w:cs="Arial"/>
          <w:sz w:val="20"/>
          <w:szCs w:val="20"/>
        </w:rPr>
        <w:t xml:space="preserve">‘Reciprocity in Human Rights and Humanitarian Law’, 65 </w:t>
      </w:r>
      <w:r>
        <w:rPr>
          <w:rFonts w:ascii="Arial" w:hAnsi="Arial" w:cs="Arial"/>
          <w:i/>
          <w:sz w:val="20"/>
          <w:szCs w:val="20"/>
        </w:rPr>
        <w:t xml:space="preserve">BYIL </w:t>
      </w:r>
      <w:r>
        <w:rPr>
          <w:rFonts w:ascii="Arial" w:hAnsi="Arial" w:cs="Arial"/>
          <w:sz w:val="20"/>
          <w:szCs w:val="20"/>
        </w:rPr>
        <w:t>(1994) 383, at 403.</w:t>
      </w:r>
    </w:p>
  </w:footnote>
  <w:footnote w:id="35">
    <w:p w14:paraId="203B4F21" w14:textId="77E6EA7E" w:rsidR="001A5BF9" w:rsidRPr="006F219C" w:rsidRDefault="001A5BF9" w:rsidP="000E7B32">
      <w:pPr>
        <w:pStyle w:val="FootnoteText"/>
        <w:rPr>
          <w:rFonts w:ascii="Arial" w:hAnsi="Arial" w:cs="Arial"/>
          <w:color w:val="FF0000"/>
          <w:sz w:val="20"/>
          <w:szCs w:val="20"/>
          <w:lang w:val="en-US"/>
        </w:rPr>
      </w:pPr>
      <w:r w:rsidRPr="00E143CD">
        <w:rPr>
          <w:rStyle w:val="FootnoteReference"/>
          <w:rFonts w:ascii="Arial" w:hAnsi="Arial" w:cs="Arial"/>
          <w:sz w:val="20"/>
          <w:szCs w:val="20"/>
        </w:rPr>
        <w:footnoteRef/>
      </w:r>
      <w:r w:rsidRPr="00E143CD">
        <w:rPr>
          <w:rFonts w:ascii="Arial" w:hAnsi="Arial" w:cs="Arial"/>
          <w:sz w:val="20"/>
          <w:szCs w:val="20"/>
        </w:rPr>
        <w:t xml:space="preserve"> Vienna</w:t>
      </w:r>
      <w:r w:rsidRPr="002A11D6">
        <w:rPr>
          <w:rFonts w:ascii="Arial" w:hAnsi="Arial" w:cs="Arial"/>
          <w:sz w:val="20"/>
          <w:szCs w:val="20"/>
        </w:rPr>
        <w:t xml:space="preserve"> Convention,</w:t>
      </w:r>
      <w:r>
        <w:rPr>
          <w:rFonts w:ascii="Arial" w:hAnsi="Arial" w:cs="Arial"/>
          <w:color w:val="FF0000"/>
          <w:sz w:val="20"/>
          <w:szCs w:val="20"/>
        </w:rPr>
        <w:t xml:space="preserve"> </w:t>
      </w:r>
      <w:r w:rsidRPr="00D65978">
        <w:rPr>
          <w:rFonts w:ascii="Arial" w:hAnsi="Arial" w:cs="Arial"/>
          <w:sz w:val="20"/>
          <w:szCs w:val="20"/>
        </w:rPr>
        <w:t>Art 19.</w:t>
      </w:r>
    </w:p>
  </w:footnote>
  <w:footnote w:id="36">
    <w:p w14:paraId="47BF699D" w14:textId="4B28313A" w:rsidR="001A5BF9" w:rsidRPr="00001AE7" w:rsidRDefault="001A5BF9" w:rsidP="001310A3">
      <w:pPr>
        <w:pStyle w:val="FootnoteText"/>
        <w:rPr>
          <w:rFonts w:ascii="Baskerville" w:hAnsi="Baskerville"/>
          <w:lang w:val="en-US"/>
        </w:rPr>
      </w:pPr>
      <w:r w:rsidRPr="00001AE7">
        <w:rPr>
          <w:rStyle w:val="FootnoteReference"/>
          <w:rFonts w:ascii="Arial" w:hAnsi="Arial" w:cs="Arial"/>
          <w:sz w:val="20"/>
          <w:szCs w:val="20"/>
        </w:rPr>
        <w:footnoteRef/>
      </w:r>
      <w:r w:rsidRPr="00001AE7">
        <w:rPr>
          <w:rFonts w:ascii="Arial" w:hAnsi="Arial" w:cs="Arial"/>
          <w:sz w:val="20"/>
          <w:szCs w:val="20"/>
        </w:rPr>
        <w:t xml:space="preserve"> Vienna Convention, Art. 20(1)</w:t>
      </w:r>
    </w:p>
  </w:footnote>
  <w:footnote w:id="37">
    <w:p w14:paraId="20B7CBF5" w14:textId="79D81C2B" w:rsidR="001A5BF9" w:rsidRPr="00B640C7" w:rsidRDefault="001A5BF9">
      <w:pPr>
        <w:pStyle w:val="FootnoteText"/>
        <w:rPr>
          <w:rFonts w:ascii="Arial" w:hAnsi="Arial" w:cs="Arial"/>
          <w:sz w:val="20"/>
          <w:szCs w:val="20"/>
          <w:lang w:val="en-US"/>
        </w:rPr>
      </w:pPr>
      <w:r w:rsidRPr="00B640C7">
        <w:rPr>
          <w:rStyle w:val="FootnoteReference"/>
          <w:rFonts w:ascii="Arial" w:hAnsi="Arial" w:cs="Arial"/>
          <w:sz w:val="20"/>
          <w:szCs w:val="20"/>
        </w:rPr>
        <w:footnoteRef/>
      </w:r>
      <w:r w:rsidRPr="00B640C7">
        <w:rPr>
          <w:rFonts w:ascii="Arial" w:hAnsi="Arial" w:cs="Arial"/>
          <w:sz w:val="20"/>
          <w:szCs w:val="20"/>
        </w:rPr>
        <w:t xml:space="preserve"> </w:t>
      </w:r>
      <w:r w:rsidRPr="004D2FEF">
        <w:rPr>
          <w:rFonts w:ascii="Arial" w:hAnsi="Arial" w:cs="Arial"/>
          <w:sz w:val="20"/>
          <w:szCs w:val="20"/>
          <w:lang w:val="en-US"/>
        </w:rPr>
        <w:t>F. Berman, ‘Community Law and International Law: How Far Does Eith</w:t>
      </w:r>
      <w:r>
        <w:rPr>
          <w:rFonts w:ascii="Arial" w:hAnsi="Arial" w:cs="Arial"/>
          <w:sz w:val="20"/>
          <w:szCs w:val="20"/>
          <w:lang w:val="en-US"/>
        </w:rPr>
        <w:t xml:space="preserve">er Belong to the Other?’, in B. </w:t>
      </w:r>
      <w:r w:rsidRPr="004D2FEF">
        <w:rPr>
          <w:rFonts w:ascii="Arial" w:hAnsi="Arial" w:cs="Arial"/>
          <w:sz w:val="20"/>
          <w:szCs w:val="20"/>
          <w:lang w:val="en-US"/>
        </w:rPr>
        <w:t xml:space="preserve">S. Markesinis (ed.), </w:t>
      </w:r>
      <w:r w:rsidRPr="004D2FEF">
        <w:rPr>
          <w:rFonts w:ascii="Arial" w:hAnsi="Arial" w:cs="Arial"/>
          <w:i/>
          <w:iCs/>
          <w:sz w:val="20"/>
          <w:szCs w:val="20"/>
          <w:lang w:val="en-US"/>
        </w:rPr>
        <w:t xml:space="preserve">The Clifford Chance Lectures Volume I: Bridging the Channel </w:t>
      </w:r>
      <w:r w:rsidRPr="004D2FEF">
        <w:rPr>
          <w:rFonts w:ascii="Arial" w:hAnsi="Arial" w:cs="Arial"/>
          <w:sz w:val="20"/>
          <w:szCs w:val="20"/>
          <w:lang w:val="en-US"/>
        </w:rPr>
        <w:t xml:space="preserve">(Oxford: </w:t>
      </w:r>
      <w:r>
        <w:rPr>
          <w:rFonts w:ascii="Arial" w:hAnsi="Arial" w:cs="Arial"/>
          <w:sz w:val="20"/>
          <w:szCs w:val="20"/>
          <w:lang w:val="en-US"/>
        </w:rPr>
        <w:t>OUP 1996), p</w:t>
      </w:r>
      <w:r w:rsidRPr="004D2FEF">
        <w:rPr>
          <w:rFonts w:ascii="Arial" w:hAnsi="Arial" w:cs="Arial"/>
          <w:sz w:val="20"/>
          <w:szCs w:val="20"/>
          <w:lang w:val="en-US"/>
        </w:rPr>
        <w:t xml:space="preserve"> 2</w:t>
      </w:r>
      <w:r>
        <w:rPr>
          <w:rFonts w:ascii="Arial" w:hAnsi="Arial" w:cs="Arial"/>
          <w:sz w:val="20"/>
          <w:szCs w:val="20"/>
          <w:lang w:val="en-US"/>
        </w:rPr>
        <w:t>50</w:t>
      </w:r>
      <w:r w:rsidRPr="004D2FEF">
        <w:rPr>
          <w:rFonts w:ascii="Arial" w:hAnsi="Arial" w:cs="Arial"/>
          <w:sz w:val="20"/>
          <w:szCs w:val="20"/>
          <w:lang w:val="en-US"/>
        </w:rPr>
        <w:t>.  </w:t>
      </w:r>
    </w:p>
  </w:footnote>
  <w:footnote w:id="38">
    <w:p w14:paraId="1067AAA4" w14:textId="6DDBE8DB" w:rsidR="001A5BF9" w:rsidRPr="00B640C7" w:rsidRDefault="001A5BF9">
      <w:pPr>
        <w:pStyle w:val="FootnoteText"/>
        <w:rPr>
          <w:rFonts w:ascii="Arial" w:hAnsi="Arial" w:cs="Arial"/>
          <w:sz w:val="20"/>
          <w:szCs w:val="20"/>
          <w:lang w:val="en-US"/>
        </w:rPr>
      </w:pPr>
      <w:r w:rsidRPr="00B640C7">
        <w:rPr>
          <w:rStyle w:val="FootnoteReference"/>
          <w:rFonts w:ascii="Arial" w:hAnsi="Arial" w:cs="Arial"/>
          <w:sz w:val="20"/>
          <w:szCs w:val="20"/>
        </w:rPr>
        <w:footnoteRef/>
      </w:r>
      <w:r w:rsidRPr="00B640C7">
        <w:rPr>
          <w:rFonts w:ascii="Arial" w:hAnsi="Arial" w:cs="Arial"/>
          <w:sz w:val="20"/>
          <w:szCs w:val="20"/>
        </w:rPr>
        <w:t xml:space="preserve"> Ibid.</w:t>
      </w:r>
    </w:p>
  </w:footnote>
  <w:footnote w:id="39">
    <w:p w14:paraId="643260FB" w14:textId="604B9FEF" w:rsidR="001A5BF9" w:rsidRPr="00197611" w:rsidRDefault="001A5BF9">
      <w:pPr>
        <w:pStyle w:val="FootnoteText"/>
        <w:rPr>
          <w:rFonts w:ascii="Arial" w:hAnsi="Arial" w:cs="Arial"/>
          <w:sz w:val="20"/>
          <w:szCs w:val="20"/>
          <w:lang w:val="en-US"/>
        </w:rPr>
      </w:pPr>
      <w:r w:rsidRPr="00197611">
        <w:rPr>
          <w:rStyle w:val="FootnoteReference"/>
          <w:rFonts w:ascii="Arial" w:hAnsi="Arial" w:cs="Arial"/>
          <w:sz w:val="20"/>
          <w:szCs w:val="20"/>
        </w:rPr>
        <w:footnoteRef/>
      </w:r>
      <w:r w:rsidRPr="00197611">
        <w:rPr>
          <w:rFonts w:ascii="Arial" w:hAnsi="Arial" w:cs="Arial"/>
          <w:sz w:val="20"/>
          <w:szCs w:val="20"/>
        </w:rPr>
        <w:t xml:space="preserve"> </w:t>
      </w:r>
      <w:r w:rsidRPr="00367DC5">
        <w:rPr>
          <w:rFonts w:ascii="Arial" w:hAnsi="Arial" w:cs="Arial"/>
          <w:sz w:val="20"/>
          <w:szCs w:val="20"/>
        </w:rPr>
        <w:t>[1951] ICJ Rep 15, 23</w:t>
      </w:r>
      <w:r>
        <w:rPr>
          <w:rFonts w:ascii="Arial" w:hAnsi="Arial" w:cs="Arial"/>
          <w:sz w:val="20"/>
          <w:szCs w:val="20"/>
        </w:rPr>
        <w:t>.</w:t>
      </w:r>
    </w:p>
  </w:footnote>
  <w:footnote w:id="40">
    <w:p w14:paraId="0A29BE3E" w14:textId="2AF960A1" w:rsidR="001A5BF9" w:rsidRPr="00F83302" w:rsidRDefault="001A5BF9" w:rsidP="00DF2534">
      <w:pPr>
        <w:pStyle w:val="FootnoteText"/>
        <w:rPr>
          <w:rFonts w:ascii="Arial" w:hAnsi="Arial" w:cs="Arial"/>
          <w:iCs/>
          <w:sz w:val="20"/>
          <w:szCs w:val="20"/>
          <w:lang w:val="en-US"/>
        </w:rPr>
      </w:pPr>
      <w:r w:rsidRPr="00F83302">
        <w:rPr>
          <w:rStyle w:val="FootnoteReference"/>
          <w:rFonts w:ascii="Arial" w:hAnsi="Arial" w:cs="Arial"/>
          <w:sz w:val="20"/>
          <w:szCs w:val="20"/>
        </w:rPr>
        <w:footnoteRef/>
      </w:r>
      <w:r w:rsidRPr="00F83302">
        <w:rPr>
          <w:rFonts w:ascii="Arial" w:hAnsi="Arial" w:cs="Arial"/>
          <w:sz w:val="20"/>
          <w:szCs w:val="20"/>
        </w:rPr>
        <w:t xml:space="preserve"> </w:t>
      </w:r>
      <w:r>
        <w:rPr>
          <w:rFonts w:ascii="Arial" w:hAnsi="Arial" w:cs="Arial"/>
          <w:sz w:val="20"/>
          <w:szCs w:val="20"/>
        </w:rPr>
        <w:t xml:space="preserve">M. Milanovic &amp; </w:t>
      </w:r>
      <w:r w:rsidRPr="00F83302">
        <w:rPr>
          <w:rFonts w:ascii="Arial" w:hAnsi="Arial" w:cs="Arial"/>
          <w:sz w:val="20"/>
          <w:szCs w:val="20"/>
          <w:lang w:val="en-US"/>
        </w:rPr>
        <w:t>L</w:t>
      </w:r>
      <w:r>
        <w:rPr>
          <w:rFonts w:ascii="Arial" w:hAnsi="Arial" w:cs="Arial"/>
          <w:sz w:val="20"/>
          <w:szCs w:val="20"/>
          <w:lang w:val="en-US"/>
        </w:rPr>
        <w:t xml:space="preserve">-A. Sicilianos, </w:t>
      </w:r>
      <w:r w:rsidRPr="00F83302">
        <w:rPr>
          <w:rFonts w:ascii="Arial" w:hAnsi="Arial" w:cs="Arial"/>
          <w:sz w:val="20"/>
          <w:szCs w:val="20"/>
          <w:lang w:val="en-US"/>
        </w:rPr>
        <w:t>‘</w:t>
      </w:r>
      <w:r w:rsidRPr="00F83302">
        <w:rPr>
          <w:rFonts w:ascii="Arial" w:hAnsi="Arial" w:cs="Arial"/>
          <w:iCs/>
          <w:sz w:val="20"/>
          <w:szCs w:val="20"/>
          <w:lang w:val="en-US"/>
        </w:rPr>
        <w:t>Reservations to Treaties: An Introduction’</w:t>
      </w:r>
      <w:r>
        <w:rPr>
          <w:rFonts w:ascii="Arial" w:hAnsi="Arial" w:cs="Arial"/>
          <w:iCs/>
          <w:sz w:val="20"/>
          <w:szCs w:val="20"/>
          <w:lang w:val="en-US"/>
        </w:rPr>
        <w:t xml:space="preserve">, </w:t>
      </w:r>
      <w:r>
        <w:rPr>
          <w:rFonts w:ascii="Arial" w:hAnsi="Arial" w:cs="Arial"/>
          <w:i/>
          <w:iCs/>
          <w:sz w:val="20"/>
          <w:szCs w:val="20"/>
          <w:lang w:val="en-US"/>
        </w:rPr>
        <w:t>EJ</w:t>
      </w:r>
      <w:r w:rsidRPr="00F83302">
        <w:rPr>
          <w:rFonts w:ascii="Arial" w:hAnsi="Arial" w:cs="Arial"/>
          <w:i/>
          <w:iCs/>
          <w:sz w:val="20"/>
          <w:szCs w:val="20"/>
          <w:lang w:val="en-US"/>
        </w:rPr>
        <w:t xml:space="preserve">IL </w:t>
      </w:r>
      <w:r w:rsidRPr="00F83302">
        <w:rPr>
          <w:rFonts w:ascii="Arial" w:hAnsi="Arial" w:cs="Arial"/>
          <w:iCs/>
          <w:sz w:val="20"/>
          <w:szCs w:val="20"/>
          <w:lang w:val="en-US"/>
        </w:rPr>
        <w:t>(2</w:t>
      </w:r>
      <w:r>
        <w:rPr>
          <w:rFonts w:ascii="Arial" w:hAnsi="Arial" w:cs="Arial"/>
          <w:iCs/>
          <w:sz w:val="20"/>
          <w:szCs w:val="20"/>
          <w:lang w:val="en-US"/>
        </w:rPr>
        <w:t>013), 24:4, 1056.</w:t>
      </w:r>
    </w:p>
  </w:footnote>
  <w:footnote w:id="41">
    <w:p w14:paraId="233ECD11" w14:textId="77777777" w:rsidR="001A5BF9" w:rsidRPr="001B2B7D" w:rsidRDefault="001A5BF9" w:rsidP="00DA4324">
      <w:pPr>
        <w:pStyle w:val="FootnoteText"/>
        <w:rPr>
          <w:rFonts w:ascii="Arial" w:hAnsi="Arial" w:cs="Arial"/>
          <w:sz w:val="20"/>
          <w:szCs w:val="20"/>
          <w:lang w:val="en-US"/>
        </w:rPr>
      </w:pPr>
      <w:r w:rsidRPr="001B2B7D">
        <w:rPr>
          <w:rStyle w:val="FootnoteReference"/>
          <w:rFonts w:ascii="Arial" w:hAnsi="Arial" w:cs="Arial"/>
          <w:sz w:val="20"/>
          <w:szCs w:val="20"/>
        </w:rPr>
        <w:footnoteRef/>
      </w:r>
      <w:r w:rsidRPr="001B2B7D">
        <w:rPr>
          <w:rFonts w:ascii="Arial" w:hAnsi="Arial" w:cs="Arial"/>
          <w:sz w:val="20"/>
          <w:szCs w:val="20"/>
        </w:rPr>
        <w:t xml:space="preserve"> </w:t>
      </w:r>
      <w:r w:rsidRPr="001B2B7D">
        <w:rPr>
          <w:rFonts w:ascii="Arial" w:hAnsi="Arial" w:cs="Arial"/>
          <w:sz w:val="20"/>
          <w:szCs w:val="20"/>
          <w:lang w:val="en-US"/>
        </w:rPr>
        <w:t>M</w:t>
      </w:r>
      <w:r>
        <w:rPr>
          <w:rFonts w:ascii="Arial" w:hAnsi="Arial" w:cs="Arial"/>
          <w:sz w:val="20"/>
          <w:szCs w:val="20"/>
          <w:lang w:val="en-US"/>
        </w:rPr>
        <w:t>.</w:t>
      </w:r>
      <w:r w:rsidRPr="001B2B7D">
        <w:rPr>
          <w:rFonts w:ascii="Arial" w:hAnsi="Arial" w:cs="Arial"/>
          <w:sz w:val="20"/>
          <w:szCs w:val="20"/>
          <w:lang w:val="en-US"/>
        </w:rPr>
        <w:t xml:space="preserve"> Wood, First Report on Formation and Evidence of Customary International Law, U</w:t>
      </w:r>
      <w:r>
        <w:rPr>
          <w:rFonts w:ascii="Arial" w:hAnsi="Arial" w:cs="Arial"/>
          <w:sz w:val="20"/>
          <w:szCs w:val="20"/>
          <w:lang w:val="en-US"/>
        </w:rPr>
        <w:t>N Doc. No. A/CN.4/663 (2013), p</w:t>
      </w:r>
      <w:r w:rsidRPr="001B2B7D">
        <w:rPr>
          <w:rFonts w:ascii="Arial" w:hAnsi="Arial" w:cs="Arial"/>
          <w:sz w:val="20"/>
          <w:szCs w:val="20"/>
          <w:lang w:val="en-US"/>
        </w:rPr>
        <w:t xml:space="preserve"> 28, para. 66.  </w:t>
      </w:r>
    </w:p>
  </w:footnote>
  <w:footnote w:id="42">
    <w:p w14:paraId="7B1066ED" w14:textId="7382967F" w:rsidR="001A5BF9" w:rsidRPr="001D7418" w:rsidRDefault="001A5BF9" w:rsidP="00DA4324">
      <w:pPr>
        <w:pStyle w:val="FootnoteText"/>
        <w:rPr>
          <w:rFonts w:ascii="Arial" w:hAnsi="Arial" w:cs="Arial"/>
          <w:sz w:val="20"/>
          <w:szCs w:val="20"/>
          <w:lang w:val="en-US"/>
        </w:rPr>
      </w:pPr>
      <w:r w:rsidRPr="001D7418">
        <w:rPr>
          <w:rStyle w:val="FootnoteReference"/>
          <w:rFonts w:ascii="Arial" w:hAnsi="Arial" w:cs="Arial"/>
          <w:sz w:val="20"/>
          <w:szCs w:val="20"/>
        </w:rPr>
        <w:footnoteRef/>
      </w:r>
      <w:r w:rsidRPr="001D7418">
        <w:rPr>
          <w:rFonts w:ascii="Arial" w:hAnsi="Arial" w:cs="Arial"/>
          <w:sz w:val="20"/>
          <w:szCs w:val="20"/>
        </w:rPr>
        <w:t xml:space="preserve"> </w:t>
      </w:r>
      <w:r w:rsidRPr="003266A1">
        <w:rPr>
          <w:rFonts w:ascii="Arial" w:hAnsi="Arial" w:cs="Arial"/>
          <w:sz w:val="20"/>
          <w:szCs w:val="20"/>
          <w:lang w:val="en-US"/>
        </w:rPr>
        <w:t>V</w:t>
      </w:r>
      <w:r>
        <w:rPr>
          <w:rFonts w:ascii="Arial" w:hAnsi="Arial" w:cs="Arial"/>
          <w:sz w:val="20"/>
          <w:szCs w:val="20"/>
          <w:lang w:val="en-US"/>
        </w:rPr>
        <w:t>. Fon &amp;</w:t>
      </w:r>
      <w:r w:rsidRPr="003266A1">
        <w:rPr>
          <w:rFonts w:ascii="Arial" w:hAnsi="Arial" w:cs="Arial"/>
          <w:sz w:val="20"/>
          <w:szCs w:val="20"/>
          <w:lang w:val="en-US"/>
        </w:rPr>
        <w:t xml:space="preserve"> F</w:t>
      </w:r>
      <w:r>
        <w:rPr>
          <w:rFonts w:ascii="Arial" w:hAnsi="Arial" w:cs="Arial"/>
          <w:sz w:val="20"/>
          <w:szCs w:val="20"/>
          <w:lang w:val="en-US"/>
        </w:rPr>
        <w:t>.</w:t>
      </w:r>
      <w:r w:rsidRPr="003266A1">
        <w:rPr>
          <w:rFonts w:ascii="Arial" w:hAnsi="Arial" w:cs="Arial"/>
          <w:sz w:val="20"/>
          <w:szCs w:val="20"/>
          <w:lang w:val="en-US"/>
        </w:rPr>
        <w:t xml:space="preserve"> P</w:t>
      </w:r>
      <w:r>
        <w:rPr>
          <w:rFonts w:ascii="Arial" w:hAnsi="Arial" w:cs="Arial"/>
          <w:sz w:val="20"/>
          <w:szCs w:val="20"/>
          <w:lang w:val="en-US"/>
        </w:rPr>
        <w:t>arisi</w:t>
      </w:r>
      <w:r>
        <w:rPr>
          <w:rFonts w:ascii="Arial" w:hAnsi="Arial" w:cs="Arial"/>
          <w:sz w:val="20"/>
          <w:szCs w:val="20"/>
        </w:rPr>
        <w:t>, ‘</w:t>
      </w:r>
      <w:r w:rsidRPr="003266A1">
        <w:rPr>
          <w:rFonts w:ascii="Arial" w:hAnsi="Arial" w:cs="Arial"/>
          <w:sz w:val="20"/>
          <w:szCs w:val="20"/>
          <w:lang w:val="en-US"/>
        </w:rPr>
        <w:t>The Hidden Bias of the Vienna Convention on th</w:t>
      </w:r>
      <w:r>
        <w:rPr>
          <w:rFonts w:ascii="Arial" w:hAnsi="Arial" w:cs="Arial"/>
          <w:sz w:val="20"/>
          <w:szCs w:val="20"/>
          <w:lang w:val="en-US"/>
        </w:rPr>
        <w:t xml:space="preserve">e International Law of Treaties’, </w:t>
      </w:r>
      <w:r>
        <w:rPr>
          <w:rFonts w:ascii="Arial" w:hAnsi="Arial" w:cs="Arial"/>
          <w:i/>
          <w:sz w:val="20"/>
          <w:szCs w:val="20"/>
          <w:lang w:val="en-US"/>
        </w:rPr>
        <w:t>RLE</w:t>
      </w:r>
      <w:r>
        <w:rPr>
          <w:rFonts w:ascii="Arial" w:hAnsi="Arial" w:cs="Arial"/>
          <w:sz w:val="20"/>
          <w:szCs w:val="20"/>
          <w:lang w:val="en-US"/>
        </w:rPr>
        <w:t xml:space="preserve"> (2008) </w:t>
      </w:r>
      <w:r>
        <w:rPr>
          <w:rFonts w:ascii="Arial" w:hAnsi="Arial" w:cs="Arial"/>
          <w:sz w:val="20"/>
          <w:szCs w:val="20"/>
        </w:rPr>
        <w:t>4:1, p 383.</w:t>
      </w:r>
    </w:p>
  </w:footnote>
  <w:footnote w:id="43">
    <w:p w14:paraId="3F499B5E" w14:textId="77777777" w:rsidR="001A5BF9" w:rsidRPr="00B20695" w:rsidRDefault="001A5BF9" w:rsidP="00DA4324">
      <w:pPr>
        <w:pStyle w:val="FootnoteText"/>
        <w:rPr>
          <w:rFonts w:ascii="Arial" w:hAnsi="Arial" w:cs="Arial"/>
          <w:sz w:val="20"/>
          <w:szCs w:val="20"/>
          <w:lang w:val="en-US"/>
        </w:rPr>
      </w:pPr>
      <w:r w:rsidRPr="00B20695">
        <w:rPr>
          <w:rStyle w:val="FootnoteReference"/>
          <w:rFonts w:ascii="Arial" w:hAnsi="Arial" w:cs="Arial"/>
          <w:sz w:val="20"/>
          <w:szCs w:val="20"/>
        </w:rPr>
        <w:footnoteRef/>
      </w:r>
      <w:r w:rsidRPr="00B20695">
        <w:rPr>
          <w:rFonts w:ascii="Arial" w:hAnsi="Arial" w:cs="Arial"/>
          <w:sz w:val="20"/>
          <w:szCs w:val="20"/>
        </w:rPr>
        <w:t xml:space="preserve"> </w:t>
      </w:r>
      <w:r>
        <w:rPr>
          <w:rFonts w:ascii="Arial" w:hAnsi="Arial" w:cs="Arial"/>
          <w:sz w:val="20"/>
          <w:szCs w:val="20"/>
          <w:lang w:val="en-US"/>
        </w:rPr>
        <w:t>Ibid</w:t>
      </w:r>
      <w:r>
        <w:rPr>
          <w:rFonts w:ascii="Arial" w:hAnsi="Arial" w:cs="Arial"/>
          <w:sz w:val="20"/>
          <w:szCs w:val="20"/>
        </w:rPr>
        <w:t>, p 405.</w:t>
      </w:r>
    </w:p>
  </w:footnote>
  <w:footnote w:id="44">
    <w:p w14:paraId="05DA4D14" w14:textId="77777777" w:rsidR="001A5BF9" w:rsidRPr="00B05E74" w:rsidRDefault="001A5BF9" w:rsidP="00DA4324">
      <w:pPr>
        <w:pStyle w:val="FootnoteText"/>
        <w:rPr>
          <w:rFonts w:ascii="Arial" w:hAnsi="Arial"/>
          <w:sz w:val="20"/>
          <w:szCs w:val="20"/>
          <w:lang w:val="en-US"/>
        </w:rPr>
      </w:pPr>
      <w:r w:rsidRPr="00B05E74">
        <w:rPr>
          <w:rStyle w:val="FootnoteReference"/>
          <w:rFonts w:ascii="Arial" w:hAnsi="Arial"/>
          <w:sz w:val="20"/>
          <w:szCs w:val="20"/>
        </w:rPr>
        <w:footnoteRef/>
      </w:r>
      <w:r w:rsidRPr="00B05E74">
        <w:rPr>
          <w:rFonts w:ascii="Arial" w:hAnsi="Arial"/>
          <w:sz w:val="20"/>
          <w:szCs w:val="20"/>
        </w:rPr>
        <w:t xml:space="preserve"> </w:t>
      </w:r>
      <w:r>
        <w:rPr>
          <w:rFonts w:ascii="Arial" w:hAnsi="Arial"/>
          <w:sz w:val="20"/>
          <w:szCs w:val="20"/>
        </w:rPr>
        <w:t>Ibid.</w:t>
      </w:r>
    </w:p>
  </w:footnote>
  <w:footnote w:id="45">
    <w:p w14:paraId="22CBA945" w14:textId="77777777" w:rsidR="001A5BF9" w:rsidRPr="00B20695" w:rsidRDefault="001A5BF9" w:rsidP="00DA4324">
      <w:pPr>
        <w:pStyle w:val="FootnoteText"/>
        <w:rPr>
          <w:rFonts w:ascii="Arial" w:hAnsi="Arial" w:cs="Arial"/>
          <w:sz w:val="20"/>
          <w:szCs w:val="20"/>
          <w:lang w:val="en-US"/>
        </w:rPr>
      </w:pPr>
      <w:r w:rsidRPr="00B20695">
        <w:rPr>
          <w:rStyle w:val="FootnoteReference"/>
          <w:rFonts w:ascii="Arial" w:hAnsi="Arial" w:cs="Arial"/>
          <w:sz w:val="20"/>
          <w:szCs w:val="20"/>
        </w:rPr>
        <w:footnoteRef/>
      </w:r>
      <w:r w:rsidRPr="00B20695">
        <w:rPr>
          <w:rFonts w:ascii="Arial" w:hAnsi="Arial" w:cs="Arial"/>
          <w:sz w:val="20"/>
          <w:szCs w:val="20"/>
        </w:rPr>
        <w:t xml:space="preserve"> </w:t>
      </w:r>
      <w:r>
        <w:rPr>
          <w:rFonts w:ascii="Arial" w:hAnsi="Arial" w:cs="Arial"/>
          <w:sz w:val="20"/>
          <w:szCs w:val="20"/>
          <w:lang w:val="en-US"/>
        </w:rPr>
        <w:t>Ibid</w:t>
      </w:r>
      <w:r>
        <w:rPr>
          <w:rFonts w:ascii="Arial" w:hAnsi="Arial" w:cs="Arial"/>
          <w:sz w:val="20"/>
          <w:szCs w:val="20"/>
        </w:rPr>
        <w:t>, p 406.</w:t>
      </w:r>
    </w:p>
  </w:footnote>
  <w:footnote w:id="46">
    <w:p w14:paraId="4A717A90" w14:textId="2DCB47B5" w:rsidR="001A5BF9" w:rsidRPr="00F6192B" w:rsidRDefault="001A5BF9">
      <w:pPr>
        <w:pStyle w:val="FootnoteText"/>
        <w:rPr>
          <w:rFonts w:ascii="Arial" w:hAnsi="Arial" w:cs="Arial"/>
          <w:sz w:val="20"/>
          <w:szCs w:val="20"/>
          <w:lang w:val="en-US"/>
        </w:rPr>
      </w:pPr>
      <w:r w:rsidRPr="00F6192B">
        <w:rPr>
          <w:rStyle w:val="FootnoteReference"/>
          <w:rFonts w:ascii="Arial" w:hAnsi="Arial" w:cs="Arial"/>
          <w:sz w:val="20"/>
          <w:szCs w:val="20"/>
        </w:rPr>
        <w:footnoteRef/>
      </w:r>
      <w:r w:rsidRPr="00F6192B">
        <w:rPr>
          <w:rFonts w:ascii="Arial" w:hAnsi="Arial" w:cs="Arial"/>
          <w:sz w:val="20"/>
          <w:szCs w:val="20"/>
        </w:rPr>
        <w:t xml:space="preserve"> </w:t>
      </w:r>
      <w:r>
        <w:rPr>
          <w:rFonts w:ascii="Arial" w:hAnsi="Arial" w:cs="Arial"/>
          <w:sz w:val="20"/>
          <w:szCs w:val="20"/>
          <w:lang w:val="en-US"/>
        </w:rPr>
        <w:t xml:space="preserve">See </w:t>
      </w:r>
      <w:r w:rsidRPr="00F6192B">
        <w:rPr>
          <w:rFonts w:ascii="Arial" w:hAnsi="Arial" w:cs="Arial"/>
          <w:sz w:val="20"/>
          <w:szCs w:val="20"/>
          <w:lang w:val="en-US"/>
        </w:rPr>
        <w:t>J</w:t>
      </w:r>
      <w:r>
        <w:rPr>
          <w:rFonts w:ascii="Arial" w:hAnsi="Arial" w:cs="Arial"/>
          <w:sz w:val="20"/>
          <w:szCs w:val="20"/>
          <w:lang w:val="en-US"/>
        </w:rPr>
        <w:t>.</w:t>
      </w:r>
      <w:r w:rsidRPr="00F6192B">
        <w:rPr>
          <w:rFonts w:ascii="Arial" w:hAnsi="Arial" w:cs="Arial"/>
          <w:sz w:val="20"/>
          <w:szCs w:val="20"/>
          <w:lang w:val="en-US"/>
        </w:rPr>
        <w:t xml:space="preserve"> Klabbers, “Some Problems Regarding the Object and Purpose of Treaties”, 8 </w:t>
      </w:r>
      <w:r>
        <w:rPr>
          <w:rFonts w:ascii="Arial" w:hAnsi="Arial" w:cs="Arial"/>
          <w:i/>
          <w:sz w:val="20"/>
          <w:szCs w:val="20"/>
          <w:lang w:val="en-US"/>
        </w:rPr>
        <w:t xml:space="preserve">FYIL </w:t>
      </w:r>
      <w:r>
        <w:rPr>
          <w:rFonts w:ascii="Arial" w:hAnsi="Arial" w:cs="Arial"/>
          <w:sz w:val="20"/>
          <w:szCs w:val="20"/>
          <w:lang w:val="en-US"/>
        </w:rPr>
        <w:t xml:space="preserve">(1997), 138– 160. </w:t>
      </w:r>
      <w:r w:rsidRPr="00F6192B">
        <w:rPr>
          <w:rFonts w:ascii="Arial" w:hAnsi="Arial" w:cs="Arial"/>
          <w:sz w:val="20"/>
          <w:szCs w:val="20"/>
          <w:lang w:val="en-US"/>
        </w:rPr>
        <w:t>See also</w:t>
      </w:r>
      <w:r>
        <w:rPr>
          <w:rFonts w:ascii="Arial" w:hAnsi="Arial" w:cs="Arial"/>
          <w:sz w:val="20"/>
          <w:szCs w:val="20"/>
          <w:lang w:val="en-US"/>
        </w:rPr>
        <w:t>,</w:t>
      </w:r>
      <w:r w:rsidRPr="00F6192B">
        <w:rPr>
          <w:rFonts w:ascii="Arial" w:hAnsi="Arial" w:cs="Arial"/>
          <w:sz w:val="20"/>
          <w:szCs w:val="20"/>
          <w:lang w:val="en-US"/>
        </w:rPr>
        <w:t xml:space="preserve"> I</w:t>
      </w:r>
      <w:r>
        <w:rPr>
          <w:rFonts w:ascii="Arial" w:hAnsi="Arial" w:cs="Arial"/>
          <w:sz w:val="20"/>
          <w:szCs w:val="20"/>
          <w:lang w:val="en-US"/>
        </w:rPr>
        <w:t>.</w:t>
      </w:r>
      <w:r w:rsidRPr="00F6192B">
        <w:rPr>
          <w:rFonts w:ascii="Arial" w:hAnsi="Arial" w:cs="Arial"/>
          <w:sz w:val="20"/>
          <w:szCs w:val="20"/>
          <w:lang w:val="en-US"/>
        </w:rPr>
        <w:t xml:space="preserve"> Buffard and K</w:t>
      </w:r>
      <w:r>
        <w:rPr>
          <w:rFonts w:ascii="Arial" w:hAnsi="Arial" w:cs="Arial"/>
          <w:sz w:val="20"/>
          <w:szCs w:val="20"/>
          <w:lang w:val="en-US"/>
        </w:rPr>
        <w:t>.</w:t>
      </w:r>
      <w:r w:rsidRPr="00F6192B">
        <w:rPr>
          <w:rFonts w:ascii="Arial" w:hAnsi="Arial" w:cs="Arial"/>
          <w:sz w:val="20"/>
          <w:szCs w:val="20"/>
          <w:lang w:val="en-US"/>
        </w:rPr>
        <w:t xml:space="preserve"> Zemanek, “The ‘Object and Purpose’ of a Treaty: An Enigma?”, 3 </w:t>
      </w:r>
      <w:r>
        <w:rPr>
          <w:rFonts w:ascii="Arial" w:hAnsi="Arial" w:cs="Arial"/>
          <w:i/>
          <w:sz w:val="20"/>
          <w:szCs w:val="20"/>
          <w:lang w:val="en-US"/>
        </w:rPr>
        <w:t>ARIEL</w:t>
      </w:r>
      <w:r w:rsidRPr="00F6192B">
        <w:rPr>
          <w:rFonts w:ascii="Arial" w:hAnsi="Arial" w:cs="Arial"/>
          <w:i/>
          <w:iCs/>
          <w:sz w:val="20"/>
          <w:szCs w:val="20"/>
          <w:lang w:val="en-US"/>
        </w:rPr>
        <w:t xml:space="preserve"> </w:t>
      </w:r>
      <w:r>
        <w:rPr>
          <w:rFonts w:ascii="Arial" w:hAnsi="Arial" w:cs="Arial"/>
          <w:sz w:val="20"/>
          <w:szCs w:val="20"/>
          <w:lang w:val="en-US"/>
        </w:rPr>
        <w:t xml:space="preserve">(1998), 311–343. </w:t>
      </w:r>
    </w:p>
  </w:footnote>
  <w:footnote w:id="47">
    <w:p w14:paraId="66D7D574" w14:textId="04F85B5E" w:rsidR="001A5BF9" w:rsidRPr="00C3560E" w:rsidRDefault="001A5BF9">
      <w:pPr>
        <w:pStyle w:val="FootnoteText"/>
        <w:rPr>
          <w:rFonts w:ascii="Arial" w:hAnsi="Arial" w:cs="Arial"/>
          <w:sz w:val="20"/>
          <w:szCs w:val="20"/>
          <w:lang w:val="en-US"/>
        </w:rPr>
      </w:pPr>
      <w:r w:rsidRPr="00B6112A">
        <w:rPr>
          <w:rStyle w:val="FootnoteReference"/>
          <w:rFonts w:ascii="Arial" w:hAnsi="Arial" w:cs="Arial"/>
          <w:sz w:val="20"/>
          <w:szCs w:val="20"/>
        </w:rPr>
        <w:footnoteRef/>
      </w:r>
      <w:r w:rsidRPr="00B6112A">
        <w:rPr>
          <w:rFonts w:ascii="Arial" w:hAnsi="Arial" w:cs="Arial"/>
          <w:sz w:val="20"/>
          <w:szCs w:val="20"/>
        </w:rPr>
        <w:t xml:space="preserve"> </w:t>
      </w:r>
      <w:r w:rsidRPr="00C3560E">
        <w:rPr>
          <w:rFonts w:ascii="Arial" w:hAnsi="Arial" w:cs="Arial"/>
          <w:sz w:val="20"/>
          <w:szCs w:val="20"/>
        </w:rPr>
        <w:t>Vienna Convention, Art. 20, para 3.</w:t>
      </w:r>
    </w:p>
  </w:footnote>
  <w:footnote w:id="48">
    <w:p w14:paraId="2BC595C5" w14:textId="4728DA46" w:rsidR="001A5BF9" w:rsidRPr="00B6112A" w:rsidRDefault="001A5BF9">
      <w:pPr>
        <w:pStyle w:val="FootnoteText"/>
        <w:rPr>
          <w:rFonts w:ascii="Arial" w:hAnsi="Arial" w:cs="Arial"/>
          <w:sz w:val="20"/>
          <w:szCs w:val="20"/>
          <w:lang w:val="en-US"/>
        </w:rPr>
      </w:pPr>
      <w:r w:rsidRPr="00C3560E">
        <w:rPr>
          <w:rStyle w:val="FootnoteReference"/>
          <w:rFonts w:ascii="Arial" w:hAnsi="Arial" w:cs="Arial"/>
          <w:sz w:val="20"/>
          <w:szCs w:val="20"/>
        </w:rPr>
        <w:footnoteRef/>
      </w:r>
      <w:r w:rsidRPr="00C3560E">
        <w:rPr>
          <w:rFonts w:ascii="Arial" w:hAnsi="Arial" w:cs="Arial"/>
          <w:sz w:val="20"/>
          <w:szCs w:val="20"/>
        </w:rPr>
        <w:t xml:space="preserve"> Vienna Convention, Art. 20, para 5.</w:t>
      </w:r>
      <w:r>
        <w:rPr>
          <w:rFonts w:ascii="Arial" w:hAnsi="Arial" w:cs="Arial"/>
          <w:color w:val="FF0000"/>
          <w:sz w:val="20"/>
          <w:szCs w:val="20"/>
        </w:rPr>
        <w:t xml:space="preserve"> </w:t>
      </w:r>
      <w:r>
        <w:rPr>
          <w:rFonts w:ascii="Arial" w:hAnsi="Arial" w:cs="Arial"/>
          <w:sz w:val="20"/>
          <w:szCs w:val="20"/>
          <w:lang w:val="en-US"/>
        </w:rPr>
        <w:t xml:space="preserve">The UK government does not agree that this provision has </w:t>
      </w:r>
      <w:r w:rsidRPr="00B6112A">
        <w:rPr>
          <w:rFonts w:ascii="Arial" w:hAnsi="Arial" w:cs="Arial"/>
          <w:sz w:val="20"/>
          <w:szCs w:val="20"/>
          <w:lang w:val="en-US"/>
        </w:rPr>
        <w:t>crystalli</w:t>
      </w:r>
      <w:r>
        <w:rPr>
          <w:rFonts w:ascii="Arial" w:hAnsi="Arial" w:cs="Arial"/>
          <w:sz w:val="20"/>
          <w:szCs w:val="20"/>
          <w:lang w:val="en-US"/>
        </w:rPr>
        <w:t>s</w:t>
      </w:r>
      <w:r w:rsidRPr="00B6112A">
        <w:rPr>
          <w:rFonts w:ascii="Arial" w:hAnsi="Arial" w:cs="Arial"/>
          <w:sz w:val="20"/>
          <w:szCs w:val="20"/>
          <w:lang w:val="en-US"/>
        </w:rPr>
        <w:t>ed into customary international law</w:t>
      </w:r>
      <w:r>
        <w:rPr>
          <w:rFonts w:ascii="Arial" w:hAnsi="Arial" w:cs="Arial"/>
          <w:sz w:val="20"/>
          <w:szCs w:val="20"/>
          <w:lang w:val="en-US"/>
        </w:rPr>
        <w:t>.</w:t>
      </w:r>
    </w:p>
  </w:footnote>
  <w:footnote w:id="49">
    <w:p w14:paraId="761C7120" w14:textId="411DE2DA" w:rsidR="001A5BF9" w:rsidRPr="006B7E70" w:rsidRDefault="001A5BF9">
      <w:pPr>
        <w:pStyle w:val="FootnoteText"/>
        <w:rPr>
          <w:rFonts w:ascii="Arial" w:hAnsi="Arial" w:cs="Arial"/>
          <w:color w:val="FF0000"/>
          <w:sz w:val="20"/>
          <w:szCs w:val="20"/>
          <w:lang w:val="en-US"/>
        </w:rPr>
      </w:pPr>
      <w:r w:rsidRPr="00C43E9B">
        <w:rPr>
          <w:rStyle w:val="FootnoteReference"/>
          <w:rFonts w:ascii="Arial" w:hAnsi="Arial" w:cs="Arial"/>
          <w:sz w:val="20"/>
          <w:szCs w:val="20"/>
        </w:rPr>
        <w:footnoteRef/>
      </w:r>
      <w:r w:rsidRPr="00C43E9B">
        <w:rPr>
          <w:rFonts w:ascii="Arial" w:hAnsi="Arial" w:cs="Arial"/>
          <w:sz w:val="20"/>
          <w:szCs w:val="20"/>
        </w:rPr>
        <w:t xml:space="preserve"> Some critics</w:t>
      </w:r>
      <w:r>
        <w:rPr>
          <w:rFonts w:ascii="Arial" w:hAnsi="Arial" w:cs="Arial"/>
          <w:sz w:val="20"/>
          <w:szCs w:val="20"/>
        </w:rPr>
        <w:t>, such as Bowett,</w:t>
      </w:r>
      <w:r w:rsidRPr="00C43E9B">
        <w:rPr>
          <w:rFonts w:ascii="Arial" w:hAnsi="Arial" w:cs="Arial"/>
          <w:sz w:val="20"/>
          <w:szCs w:val="20"/>
        </w:rPr>
        <w:t xml:space="preserve"> argue that objections do not need to be made against </w:t>
      </w:r>
      <w:r w:rsidRPr="00C43E9B">
        <w:rPr>
          <w:rFonts w:ascii="Arial" w:hAnsi="Arial" w:cs="Arial"/>
          <w:sz w:val="20"/>
          <w:szCs w:val="20"/>
          <w:lang w:val="en-US"/>
        </w:rPr>
        <w:t>im</w:t>
      </w:r>
      <w:r>
        <w:rPr>
          <w:rFonts w:ascii="Arial" w:hAnsi="Arial" w:cs="Arial"/>
          <w:sz w:val="20"/>
          <w:szCs w:val="20"/>
          <w:lang w:val="en-US"/>
        </w:rPr>
        <w:t>permissible reservations, but do not substantiate these opinions with any evidence for the means of determining impermissibility.</w:t>
      </w:r>
      <w:r w:rsidRPr="006B7E70">
        <w:rPr>
          <w:rFonts w:ascii="Arial" w:hAnsi="Arial" w:cs="Arial"/>
          <w:color w:val="FF0000"/>
          <w:sz w:val="20"/>
          <w:szCs w:val="20"/>
          <w:lang w:val="en-US"/>
        </w:rPr>
        <w:t xml:space="preserve"> </w:t>
      </w:r>
      <w:r w:rsidRPr="0094729C">
        <w:rPr>
          <w:rFonts w:ascii="Arial" w:hAnsi="Arial" w:cs="Arial"/>
          <w:sz w:val="20"/>
          <w:szCs w:val="20"/>
          <w:lang w:val="en-US"/>
        </w:rPr>
        <w:t xml:space="preserve">See D.W. Bowett, ‘Reservations to Non-Restricted Multilateral Treaties’, 48 </w:t>
      </w:r>
      <w:r w:rsidRPr="0094729C">
        <w:rPr>
          <w:rFonts w:ascii="Arial" w:hAnsi="Arial" w:cs="Arial"/>
          <w:i/>
          <w:iCs/>
          <w:sz w:val="20"/>
          <w:szCs w:val="20"/>
          <w:lang w:val="en-US"/>
        </w:rPr>
        <w:t xml:space="preserve">British Yearbook of International Law </w:t>
      </w:r>
      <w:r w:rsidRPr="0094729C">
        <w:rPr>
          <w:rFonts w:ascii="Arial" w:hAnsi="Arial" w:cs="Arial"/>
          <w:sz w:val="20"/>
          <w:szCs w:val="20"/>
          <w:lang w:val="en-US"/>
        </w:rPr>
        <w:t>(1976–1977), 67–92.</w:t>
      </w:r>
      <w:r>
        <w:rPr>
          <w:rFonts w:ascii="Arial" w:hAnsi="Arial" w:cs="Arial"/>
          <w:color w:val="FF0000"/>
          <w:sz w:val="20"/>
          <w:szCs w:val="20"/>
          <w:lang w:val="en-US"/>
        </w:rPr>
        <w:t xml:space="preserve"> </w:t>
      </w:r>
      <w:r w:rsidRPr="006B7E70">
        <w:rPr>
          <w:rFonts w:ascii="Arial" w:hAnsi="Arial" w:cs="Arial"/>
          <w:color w:val="FF0000"/>
          <w:sz w:val="20"/>
          <w:szCs w:val="20"/>
          <w:lang w:val="en-US"/>
        </w:rPr>
        <w:t xml:space="preserve"> </w:t>
      </w:r>
    </w:p>
  </w:footnote>
  <w:footnote w:id="50">
    <w:p w14:paraId="207034BB" w14:textId="123C838C" w:rsidR="001A5BF9" w:rsidRPr="00C3560E" w:rsidRDefault="001A5BF9">
      <w:pPr>
        <w:pStyle w:val="FootnoteText"/>
        <w:rPr>
          <w:rFonts w:ascii="Arial" w:hAnsi="Arial" w:cs="Arial"/>
          <w:sz w:val="20"/>
          <w:szCs w:val="20"/>
          <w:lang w:val="en-US"/>
        </w:rPr>
      </w:pPr>
      <w:r w:rsidRPr="00182203">
        <w:rPr>
          <w:rStyle w:val="FootnoteReference"/>
          <w:rFonts w:ascii="Arial" w:hAnsi="Arial" w:cs="Arial"/>
          <w:sz w:val="20"/>
          <w:szCs w:val="20"/>
        </w:rPr>
        <w:footnoteRef/>
      </w:r>
      <w:r w:rsidRPr="00182203">
        <w:rPr>
          <w:rFonts w:ascii="Arial" w:hAnsi="Arial" w:cs="Arial"/>
          <w:sz w:val="20"/>
          <w:szCs w:val="20"/>
        </w:rPr>
        <w:t xml:space="preserve"> </w:t>
      </w:r>
      <w:r w:rsidRPr="00C3560E">
        <w:rPr>
          <w:rFonts w:ascii="Arial" w:hAnsi="Arial" w:cs="Arial"/>
          <w:sz w:val="20"/>
          <w:szCs w:val="20"/>
        </w:rPr>
        <w:t>Vienna Convention, Art. 20, para 4(b).</w:t>
      </w:r>
    </w:p>
  </w:footnote>
  <w:footnote w:id="51">
    <w:p w14:paraId="48317F60" w14:textId="33C24AA1" w:rsidR="001A5BF9" w:rsidRPr="00182203" w:rsidRDefault="001A5BF9" w:rsidP="00335EB2">
      <w:pPr>
        <w:pStyle w:val="FootnoteText"/>
        <w:rPr>
          <w:rFonts w:ascii="Arial" w:hAnsi="Arial" w:cs="Arial"/>
          <w:sz w:val="20"/>
          <w:szCs w:val="20"/>
          <w:lang w:val="en-US"/>
        </w:rPr>
      </w:pPr>
      <w:r w:rsidRPr="00C3560E">
        <w:rPr>
          <w:rStyle w:val="FootnoteReference"/>
          <w:rFonts w:ascii="Arial" w:hAnsi="Arial" w:cs="Arial"/>
          <w:sz w:val="20"/>
          <w:szCs w:val="20"/>
        </w:rPr>
        <w:footnoteRef/>
      </w:r>
      <w:r w:rsidRPr="00C3560E">
        <w:rPr>
          <w:rFonts w:ascii="Arial" w:hAnsi="Arial" w:cs="Arial"/>
          <w:sz w:val="20"/>
          <w:szCs w:val="20"/>
        </w:rPr>
        <w:t xml:space="preserve"> Vienna Convention, Art</w:t>
      </w:r>
      <w:r>
        <w:rPr>
          <w:rFonts w:ascii="Arial" w:hAnsi="Arial" w:cs="Arial"/>
          <w:sz w:val="20"/>
          <w:szCs w:val="20"/>
        </w:rPr>
        <w:t>. 21, para 3.</w:t>
      </w:r>
    </w:p>
  </w:footnote>
  <w:footnote w:id="52">
    <w:p w14:paraId="4CD9A91C" w14:textId="275E4FF3" w:rsidR="001A5BF9" w:rsidRPr="00182203" w:rsidRDefault="001A5BF9">
      <w:pPr>
        <w:pStyle w:val="FootnoteText"/>
        <w:rPr>
          <w:rFonts w:ascii="Arial" w:hAnsi="Arial" w:cs="Arial"/>
          <w:sz w:val="20"/>
          <w:szCs w:val="20"/>
          <w:lang w:val="en-US"/>
        </w:rPr>
      </w:pPr>
      <w:r w:rsidRPr="00182203">
        <w:rPr>
          <w:rStyle w:val="FootnoteReference"/>
          <w:rFonts w:ascii="Arial" w:hAnsi="Arial" w:cs="Arial"/>
          <w:sz w:val="20"/>
          <w:szCs w:val="20"/>
        </w:rPr>
        <w:footnoteRef/>
      </w:r>
      <w:r w:rsidRPr="00182203">
        <w:rPr>
          <w:rFonts w:ascii="Arial" w:hAnsi="Arial" w:cs="Arial"/>
          <w:sz w:val="20"/>
          <w:szCs w:val="20"/>
        </w:rPr>
        <w:t xml:space="preserve"> </w:t>
      </w:r>
      <w:r w:rsidRPr="004411C4">
        <w:rPr>
          <w:rFonts w:ascii="Arial" w:hAnsi="Arial" w:cs="Arial"/>
          <w:sz w:val="20"/>
          <w:szCs w:val="20"/>
        </w:rPr>
        <w:t>Bowett (n 49).</w:t>
      </w:r>
    </w:p>
  </w:footnote>
  <w:footnote w:id="53">
    <w:p w14:paraId="427484AF" w14:textId="3F91A514" w:rsidR="001A5BF9" w:rsidRPr="009D27E2" w:rsidRDefault="001A5BF9">
      <w:pPr>
        <w:pStyle w:val="FootnoteText"/>
        <w:rPr>
          <w:rFonts w:ascii="Arial" w:hAnsi="Arial" w:cs="Arial"/>
          <w:sz w:val="20"/>
          <w:szCs w:val="20"/>
          <w:lang w:val="en-US"/>
        </w:rPr>
      </w:pPr>
      <w:r w:rsidRPr="009D27E2">
        <w:rPr>
          <w:rStyle w:val="FootnoteReference"/>
          <w:rFonts w:ascii="Arial" w:hAnsi="Arial" w:cs="Arial"/>
          <w:sz w:val="20"/>
          <w:szCs w:val="20"/>
        </w:rPr>
        <w:footnoteRef/>
      </w:r>
      <w:r w:rsidRPr="009D27E2">
        <w:rPr>
          <w:rFonts w:ascii="Arial" w:hAnsi="Arial" w:cs="Arial"/>
          <w:sz w:val="20"/>
          <w:szCs w:val="20"/>
        </w:rPr>
        <w:t xml:space="preserve"> </w:t>
      </w:r>
      <w:r w:rsidRPr="009D27E2">
        <w:rPr>
          <w:rFonts w:ascii="Arial" w:hAnsi="Arial" w:cs="Arial"/>
          <w:sz w:val="20"/>
          <w:szCs w:val="20"/>
          <w:lang w:val="en-US"/>
        </w:rPr>
        <w:t>See L</w:t>
      </w:r>
      <w:r>
        <w:rPr>
          <w:rFonts w:ascii="Arial" w:hAnsi="Arial" w:cs="Arial"/>
          <w:sz w:val="20"/>
          <w:szCs w:val="20"/>
          <w:lang w:val="en-US"/>
        </w:rPr>
        <w:t>.</w:t>
      </w:r>
      <w:r w:rsidRPr="009D27E2">
        <w:rPr>
          <w:rFonts w:ascii="Arial" w:hAnsi="Arial" w:cs="Arial"/>
          <w:sz w:val="20"/>
          <w:szCs w:val="20"/>
          <w:lang w:val="en-US"/>
        </w:rPr>
        <w:t xml:space="preserve"> Lijnzaad, </w:t>
      </w:r>
      <w:r w:rsidRPr="009D27E2">
        <w:rPr>
          <w:rFonts w:ascii="Arial" w:hAnsi="Arial" w:cs="Arial"/>
          <w:i/>
          <w:iCs/>
          <w:sz w:val="20"/>
          <w:szCs w:val="20"/>
          <w:lang w:val="en-US"/>
        </w:rPr>
        <w:t xml:space="preserve">Reservations to UN Human Rights Treaties: Ratify and Ruin? </w:t>
      </w:r>
      <w:r w:rsidRPr="009D27E2">
        <w:rPr>
          <w:rFonts w:ascii="Arial" w:hAnsi="Arial" w:cs="Arial"/>
          <w:sz w:val="20"/>
          <w:szCs w:val="20"/>
          <w:lang w:val="en-US"/>
        </w:rPr>
        <w:t>(Martinus Nijhoff, Dordrecht, 1994), at 44; R</w:t>
      </w:r>
      <w:r>
        <w:rPr>
          <w:rFonts w:ascii="Arial" w:hAnsi="Arial" w:cs="Arial"/>
          <w:sz w:val="20"/>
          <w:szCs w:val="20"/>
          <w:lang w:val="en-US"/>
        </w:rPr>
        <w:t xml:space="preserve">. </w:t>
      </w:r>
      <w:r w:rsidRPr="009D27E2">
        <w:rPr>
          <w:rFonts w:ascii="Arial" w:hAnsi="Arial" w:cs="Arial"/>
          <w:sz w:val="20"/>
          <w:szCs w:val="20"/>
          <w:lang w:val="en-US"/>
        </w:rPr>
        <w:t xml:space="preserve">Kühner, </w:t>
      </w:r>
      <w:r>
        <w:rPr>
          <w:rFonts w:ascii="Arial" w:hAnsi="Arial" w:cs="Arial"/>
          <w:i/>
          <w:iCs/>
          <w:sz w:val="20"/>
          <w:szCs w:val="20"/>
          <w:lang w:val="en-US"/>
        </w:rPr>
        <w:t>Vorbehalte zu multilat</w:t>
      </w:r>
      <w:r w:rsidRPr="009D27E2">
        <w:rPr>
          <w:rFonts w:ascii="Arial" w:hAnsi="Arial" w:cs="Arial"/>
          <w:i/>
          <w:iCs/>
          <w:sz w:val="20"/>
          <w:szCs w:val="20"/>
          <w:lang w:val="en-US"/>
        </w:rPr>
        <w:t xml:space="preserve">eralen völkerrechtlichen Verträge </w:t>
      </w:r>
      <w:r w:rsidRPr="009D27E2">
        <w:rPr>
          <w:rFonts w:ascii="Arial" w:hAnsi="Arial" w:cs="Arial"/>
          <w:sz w:val="20"/>
          <w:szCs w:val="20"/>
          <w:lang w:val="en-US"/>
        </w:rPr>
        <w:t>(</w:t>
      </w:r>
      <w:r>
        <w:rPr>
          <w:rFonts w:ascii="Arial" w:hAnsi="Arial" w:cs="Arial"/>
          <w:sz w:val="20"/>
          <w:szCs w:val="20"/>
          <w:lang w:val="en-US"/>
        </w:rPr>
        <w:t xml:space="preserve">Berlin: Springer </w:t>
      </w:r>
      <w:r w:rsidRPr="009D27E2">
        <w:rPr>
          <w:rFonts w:ascii="Arial" w:hAnsi="Arial" w:cs="Arial"/>
          <w:sz w:val="20"/>
          <w:szCs w:val="20"/>
          <w:lang w:val="en-US"/>
        </w:rPr>
        <w:t>1986), at 184; D</w:t>
      </w:r>
      <w:r>
        <w:rPr>
          <w:rFonts w:ascii="Arial" w:hAnsi="Arial" w:cs="Arial"/>
          <w:sz w:val="20"/>
          <w:szCs w:val="20"/>
          <w:lang w:val="en-US"/>
        </w:rPr>
        <w:t xml:space="preserve">. </w:t>
      </w:r>
      <w:r w:rsidRPr="009D27E2">
        <w:rPr>
          <w:rFonts w:ascii="Arial" w:hAnsi="Arial" w:cs="Arial"/>
          <w:sz w:val="20"/>
          <w:szCs w:val="20"/>
          <w:lang w:val="en-US"/>
        </w:rPr>
        <w:t xml:space="preserve">N. Hylton, </w:t>
      </w:r>
      <w:r>
        <w:rPr>
          <w:rFonts w:ascii="Arial" w:hAnsi="Arial" w:cs="Arial"/>
          <w:sz w:val="20"/>
          <w:szCs w:val="20"/>
          <w:lang w:val="en-US"/>
        </w:rPr>
        <w:t>‘</w:t>
      </w:r>
      <w:r w:rsidRPr="009D27E2">
        <w:rPr>
          <w:rFonts w:ascii="Arial" w:hAnsi="Arial" w:cs="Arial"/>
          <w:sz w:val="20"/>
          <w:szCs w:val="20"/>
          <w:lang w:val="en-US"/>
        </w:rPr>
        <w:t>Default Breakdown: The Vienna Convention on the Law of Treati</w:t>
      </w:r>
      <w:r>
        <w:rPr>
          <w:rFonts w:ascii="Arial" w:hAnsi="Arial" w:cs="Arial"/>
          <w:sz w:val="20"/>
          <w:szCs w:val="20"/>
          <w:lang w:val="en-US"/>
        </w:rPr>
        <w:t>es’ Inadequate Framework on Re</w:t>
      </w:r>
      <w:r w:rsidRPr="009D27E2">
        <w:rPr>
          <w:rFonts w:ascii="Arial" w:hAnsi="Arial" w:cs="Arial"/>
          <w:sz w:val="20"/>
          <w:szCs w:val="20"/>
          <w:lang w:val="en-US"/>
        </w:rPr>
        <w:t>servations</w:t>
      </w:r>
      <w:r>
        <w:rPr>
          <w:rFonts w:ascii="Arial" w:hAnsi="Arial" w:cs="Arial"/>
          <w:sz w:val="20"/>
          <w:szCs w:val="20"/>
          <w:lang w:val="en-US"/>
        </w:rPr>
        <w:t>’</w:t>
      </w:r>
      <w:r w:rsidRPr="009D27E2">
        <w:rPr>
          <w:rFonts w:ascii="Arial" w:hAnsi="Arial" w:cs="Arial"/>
          <w:sz w:val="20"/>
          <w:szCs w:val="20"/>
          <w:lang w:val="en-US"/>
        </w:rPr>
        <w:t xml:space="preserve">, 27 </w:t>
      </w:r>
      <w:r>
        <w:rPr>
          <w:rFonts w:ascii="Arial" w:hAnsi="Arial" w:cs="Arial"/>
          <w:i/>
          <w:sz w:val="20"/>
          <w:szCs w:val="20"/>
          <w:lang w:val="en-US"/>
        </w:rPr>
        <w:t xml:space="preserve">VJTL </w:t>
      </w:r>
      <w:r w:rsidRPr="009D27E2">
        <w:rPr>
          <w:rFonts w:ascii="Arial" w:hAnsi="Arial" w:cs="Arial"/>
          <w:sz w:val="20"/>
          <w:szCs w:val="20"/>
          <w:lang w:val="en-US"/>
        </w:rPr>
        <w:t xml:space="preserve">(1994), 419–451, at 438–440; J.M. Ruda, </w:t>
      </w:r>
      <w:r>
        <w:rPr>
          <w:rFonts w:ascii="Arial" w:hAnsi="Arial" w:cs="Arial"/>
          <w:sz w:val="20"/>
          <w:szCs w:val="20"/>
          <w:lang w:val="en-US"/>
        </w:rPr>
        <w:t>‘</w:t>
      </w:r>
      <w:r w:rsidRPr="009D27E2">
        <w:rPr>
          <w:rFonts w:ascii="Arial" w:hAnsi="Arial" w:cs="Arial"/>
          <w:sz w:val="20"/>
          <w:szCs w:val="20"/>
          <w:lang w:val="en-US"/>
        </w:rPr>
        <w:t>Reservations to Treaties</w:t>
      </w:r>
      <w:r>
        <w:rPr>
          <w:rFonts w:ascii="Arial" w:hAnsi="Arial" w:cs="Arial"/>
          <w:sz w:val="20"/>
          <w:szCs w:val="20"/>
          <w:lang w:val="en-US"/>
        </w:rPr>
        <w:t>’</w:t>
      </w:r>
      <w:r w:rsidRPr="009D27E2">
        <w:rPr>
          <w:rFonts w:ascii="Arial" w:hAnsi="Arial" w:cs="Arial"/>
          <w:sz w:val="20"/>
          <w:szCs w:val="20"/>
          <w:lang w:val="en-US"/>
        </w:rPr>
        <w:t xml:space="preserve">, 146 </w:t>
      </w:r>
      <w:r w:rsidRPr="009D27E2">
        <w:rPr>
          <w:rFonts w:ascii="Arial" w:hAnsi="Arial" w:cs="Arial"/>
          <w:i/>
          <w:iCs/>
          <w:sz w:val="20"/>
          <w:szCs w:val="20"/>
          <w:lang w:val="en-US"/>
        </w:rPr>
        <w:t xml:space="preserve">Recueil des Cours </w:t>
      </w:r>
      <w:r w:rsidRPr="009D27E2">
        <w:rPr>
          <w:rFonts w:ascii="Arial" w:hAnsi="Arial" w:cs="Arial"/>
          <w:sz w:val="20"/>
          <w:szCs w:val="20"/>
          <w:lang w:val="en-US"/>
        </w:rPr>
        <w:t>(1975/II), 95–218, at 200. See also Sinclair</w:t>
      </w:r>
      <w:r>
        <w:rPr>
          <w:rFonts w:ascii="Arial" w:hAnsi="Arial" w:cs="Arial"/>
          <w:sz w:val="20"/>
          <w:szCs w:val="20"/>
          <w:lang w:val="en-US"/>
        </w:rPr>
        <w:t xml:space="preserve"> </w:t>
      </w:r>
      <w:r w:rsidRPr="002E4CBE">
        <w:rPr>
          <w:rFonts w:ascii="Arial" w:hAnsi="Arial" w:cs="Arial"/>
          <w:sz w:val="20"/>
          <w:szCs w:val="20"/>
          <w:lang w:val="en-US"/>
        </w:rPr>
        <w:t>(n 18),</w:t>
      </w:r>
      <w:r>
        <w:rPr>
          <w:rFonts w:ascii="Arial" w:hAnsi="Arial" w:cs="Arial"/>
          <w:sz w:val="20"/>
          <w:szCs w:val="20"/>
          <w:lang w:val="en-US"/>
        </w:rPr>
        <w:t xml:space="preserve"> at 76–77; at 438–440; </w:t>
      </w:r>
      <w:r w:rsidRPr="00DA56FD">
        <w:rPr>
          <w:rFonts w:ascii="Arial" w:hAnsi="Arial" w:cs="Arial"/>
          <w:sz w:val="20"/>
          <w:szCs w:val="20"/>
          <w:lang w:val="en-US"/>
        </w:rPr>
        <w:t xml:space="preserve">D.W. Greig, ‘Reciprocity, Proportionality, and the Law of Treaties’, 34 </w:t>
      </w:r>
      <w:r>
        <w:rPr>
          <w:rFonts w:ascii="Arial" w:hAnsi="Arial" w:cs="Arial"/>
          <w:i/>
          <w:sz w:val="20"/>
          <w:szCs w:val="20"/>
          <w:lang w:val="en-US"/>
        </w:rPr>
        <w:t xml:space="preserve">VJIL </w:t>
      </w:r>
      <w:r w:rsidRPr="00DA56FD">
        <w:rPr>
          <w:rFonts w:ascii="Arial" w:hAnsi="Arial" w:cs="Arial"/>
          <w:sz w:val="20"/>
          <w:szCs w:val="20"/>
          <w:lang w:val="en-US"/>
        </w:rPr>
        <w:t>(1994)</w:t>
      </w:r>
      <w:r>
        <w:rPr>
          <w:rFonts w:ascii="Arial" w:hAnsi="Arial" w:cs="Arial"/>
          <w:sz w:val="20"/>
          <w:szCs w:val="20"/>
          <w:lang w:val="en-US"/>
        </w:rPr>
        <w:t xml:space="preserve">, </w:t>
      </w:r>
      <w:r w:rsidRPr="000C5BA9">
        <w:rPr>
          <w:rFonts w:ascii="Arial" w:hAnsi="Arial" w:cs="Arial"/>
          <w:sz w:val="20"/>
          <w:szCs w:val="20"/>
          <w:lang w:val="en-US"/>
        </w:rPr>
        <w:t xml:space="preserve">295–403, </w:t>
      </w:r>
      <w:r>
        <w:rPr>
          <w:rFonts w:ascii="Arial" w:hAnsi="Arial" w:cs="Arial"/>
          <w:sz w:val="20"/>
          <w:szCs w:val="20"/>
          <w:lang w:val="en-US"/>
        </w:rPr>
        <w:t xml:space="preserve">at 335. </w:t>
      </w:r>
    </w:p>
  </w:footnote>
  <w:footnote w:id="54">
    <w:p w14:paraId="4674DBEA" w14:textId="365BD358" w:rsidR="001A5BF9" w:rsidRPr="00677CAE" w:rsidRDefault="001A5BF9" w:rsidP="00677CAE">
      <w:pPr>
        <w:pStyle w:val="FootnoteText"/>
        <w:rPr>
          <w:rFonts w:ascii="Arial" w:hAnsi="Arial" w:cs="Arial"/>
          <w:i/>
          <w:iCs/>
          <w:sz w:val="20"/>
          <w:szCs w:val="20"/>
          <w:lang w:val="en-US"/>
        </w:rPr>
      </w:pPr>
      <w:r w:rsidRPr="00B268F4">
        <w:rPr>
          <w:rStyle w:val="FootnoteReference"/>
          <w:rFonts w:ascii="Arial" w:hAnsi="Arial" w:cs="Arial"/>
          <w:sz w:val="20"/>
          <w:szCs w:val="20"/>
        </w:rPr>
        <w:footnoteRef/>
      </w:r>
      <w:r w:rsidRPr="00B268F4">
        <w:rPr>
          <w:rFonts w:ascii="Arial" w:hAnsi="Arial" w:cs="Arial"/>
          <w:sz w:val="20"/>
          <w:szCs w:val="20"/>
        </w:rPr>
        <w:t xml:space="preserve"> </w:t>
      </w:r>
      <w:r w:rsidRPr="00633644">
        <w:rPr>
          <w:rFonts w:ascii="Arial" w:hAnsi="Arial" w:cs="Arial"/>
          <w:i/>
          <w:iCs/>
          <w:sz w:val="20"/>
          <w:szCs w:val="20"/>
          <w:lang w:val="en-US"/>
        </w:rPr>
        <w:t xml:space="preserve">Anglo-French Continental Shelf (United Kingdom </w:t>
      </w:r>
      <w:r w:rsidRPr="00633644">
        <w:rPr>
          <w:rFonts w:ascii="Arial" w:hAnsi="Arial" w:cs="Arial"/>
          <w:iCs/>
          <w:sz w:val="20"/>
          <w:szCs w:val="20"/>
          <w:lang w:val="en-US"/>
        </w:rPr>
        <w:t xml:space="preserve">v </w:t>
      </w:r>
      <w:r w:rsidRPr="00633644">
        <w:rPr>
          <w:rFonts w:ascii="Arial" w:hAnsi="Arial" w:cs="Arial"/>
          <w:i/>
          <w:iCs/>
          <w:sz w:val="20"/>
          <w:szCs w:val="20"/>
          <w:lang w:val="en-US"/>
        </w:rPr>
        <w:t>France</w:t>
      </w:r>
      <w:r w:rsidRPr="00633644">
        <w:rPr>
          <w:rFonts w:ascii="Arial" w:hAnsi="Arial" w:cs="Arial"/>
          <w:iCs/>
          <w:sz w:val="20"/>
          <w:szCs w:val="20"/>
          <w:lang w:val="en-US"/>
        </w:rPr>
        <w:t>)</w:t>
      </w:r>
      <w:r w:rsidRPr="00633644">
        <w:rPr>
          <w:rFonts w:ascii="Arial" w:hAnsi="Arial" w:cs="Arial"/>
          <w:i/>
          <w:iCs/>
          <w:sz w:val="20"/>
          <w:szCs w:val="20"/>
          <w:lang w:val="en-US"/>
        </w:rPr>
        <w:t xml:space="preserve"> </w:t>
      </w:r>
      <w:r w:rsidRPr="00633644">
        <w:rPr>
          <w:rFonts w:ascii="Arial" w:hAnsi="Arial" w:cs="Arial"/>
          <w:iCs/>
          <w:sz w:val="20"/>
          <w:szCs w:val="20"/>
          <w:lang w:val="en-US"/>
        </w:rPr>
        <w:t>18</w:t>
      </w:r>
      <w:r w:rsidRPr="00677CAE">
        <w:rPr>
          <w:rFonts w:ascii="Arial" w:hAnsi="Arial" w:cs="Arial"/>
          <w:i/>
          <w:iCs/>
          <w:sz w:val="20"/>
          <w:szCs w:val="20"/>
          <w:lang w:val="en-US"/>
        </w:rPr>
        <w:t xml:space="preserve"> </w:t>
      </w:r>
      <w:r>
        <w:rPr>
          <w:rFonts w:ascii="Arial" w:hAnsi="Arial" w:cs="Arial"/>
          <w:i/>
          <w:iCs/>
          <w:sz w:val="20"/>
          <w:szCs w:val="20"/>
          <w:lang w:val="en-US"/>
        </w:rPr>
        <w:t>ILM</w:t>
      </w:r>
      <w:r w:rsidRPr="00677CAE">
        <w:rPr>
          <w:rFonts w:ascii="Arial" w:hAnsi="Arial" w:cs="Arial"/>
          <w:iCs/>
          <w:sz w:val="20"/>
          <w:szCs w:val="20"/>
          <w:lang w:val="en-US"/>
        </w:rPr>
        <w:t xml:space="preserve"> (1979), 397</w:t>
      </w:r>
      <w:r>
        <w:rPr>
          <w:rFonts w:ascii="Arial" w:hAnsi="Arial" w:cs="Arial"/>
          <w:iCs/>
          <w:sz w:val="20"/>
          <w:szCs w:val="20"/>
          <w:lang w:val="en-US"/>
        </w:rPr>
        <w:t xml:space="preserve"> </w:t>
      </w:r>
      <w:r>
        <w:rPr>
          <w:rFonts w:ascii="Arial" w:hAnsi="Arial" w:cs="Arial"/>
          <w:sz w:val="20"/>
          <w:szCs w:val="20"/>
          <w:lang w:val="en-US"/>
        </w:rPr>
        <w:t>remains the leading case concerning this regime.</w:t>
      </w:r>
    </w:p>
  </w:footnote>
  <w:footnote w:id="55">
    <w:p w14:paraId="1F3C541C" w14:textId="2618F2BB" w:rsidR="001A5BF9" w:rsidRPr="00B6112A" w:rsidRDefault="001A5BF9">
      <w:pPr>
        <w:pStyle w:val="FootnoteText"/>
        <w:rPr>
          <w:rFonts w:ascii="Arial" w:hAnsi="Arial" w:cs="Arial"/>
          <w:sz w:val="20"/>
          <w:szCs w:val="20"/>
          <w:lang w:val="en-US"/>
        </w:rPr>
      </w:pPr>
      <w:r w:rsidRPr="00B6112A">
        <w:rPr>
          <w:rStyle w:val="FootnoteReference"/>
          <w:rFonts w:ascii="Arial" w:hAnsi="Arial" w:cs="Arial"/>
          <w:sz w:val="20"/>
          <w:szCs w:val="20"/>
        </w:rPr>
        <w:footnoteRef/>
      </w:r>
      <w:r w:rsidRPr="00B6112A">
        <w:rPr>
          <w:rFonts w:ascii="Arial" w:hAnsi="Arial" w:cs="Arial"/>
          <w:sz w:val="20"/>
          <w:szCs w:val="20"/>
        </w:rPr>
        <w:t xml:space="preserve"> </w:t>
      </w:r>
      <w:r w:rsidRPr="00344EA0">
        <w:rPr>
          <w:rFonts w:ascii="Arial" w:hAnsi="Arial" w:cs="Arial"/>
          <w:i/>
          <w:iCs/>
          <w:sz w:val="20"/>
          <w:szCs w:val="20"/>
          <w:lang w:val="en-US"/>
        </w:rPr>
        <w:t>Report of the International</w:t>
      </w:r>
      <w:r>
        <w:rPr>
          <w:rFonts w:ascii="Arial" w:hAnsi="Arial" w:cs="Arial"/>
          <w:i/>
          <w:iCs/>
          <w:sz w:val="20"/>
          <w:szCs w:val="20"/>
          <w:lang w:val="en-US"/>
        </w:rPr>
        <w:t xml:space="preserve"> </w:t>
      </w:r>
      <w:r w:rsidRPr="00344EA0">
        <w:rPr>
          <w:rFonts w:ascii="Arial" w:hAnsi="Arial" w:cs="Arial"/>
          <w:i/>
          <w:iCs/>
          <w:sz w:val="20"/>
          <w:szCs w:val="20"/>
          <w:lang w:val="en-US"/>
        </w:rPr>
        <w:t xml:space="preserve">Law Commission on the Work of its Forty-Ninth Session, 12 May - 18 July 1997, </w:t>
      </w:r>
      <w:r w:rsidRPr="00344EA0">
        <w:rPr>
          <w:rFonts w:ascii="Arial" w:hAnsi="Arial" w:cs="Arial"/>
          <w:sz w:val="20"/>
          <w:szCs w:val="20"/>
          <w:lang w:val="en-US"/>
        </w:rPr>
        <w:t xml:space="preserve">U.N. GAOR, 52nd Sess., Supp. No. 10, at </w:t>
      </w:r>
      <w:r>
        <w:rPr>
          <w:rFonts w:ascii="Arial" w:hAnsi="Arial" w:cs="Arial"/>
          <w:sz w:val="20"/>
          <w:szCs w:val="20"/>
          <w:lang w:val="en-US"/>
        </w:rPr>
        <w:t>94</w:t>
      </w:r>
      <w:r w:rsidRPr="00344EA0">
        <w:rPr>
          <w:rFonts w:ascii="Arial" w:hAnsi="Arial" w:cs="Arial"/>
          <w:sz w:val="20"/>
          <w:szCs w:val="20"/>
          <w:lang w:val="en-US"/>
        </w:rPr>
        <w:t xml:space="preserve">, </w:t>
      </w:r>
      <w:r>
        <w:rPr>
          <w:rFonts w:ascii="Arial" w:hAnsi="Arial" w:cs="Arial"/>
          <w:sz w:val="20"/>
          <w:szCs w:val="20"/>
          <w:lang w:val="en-US"/>
        </w:rPr>
        <w:t>44-45</w:t>
      </w:r>
      <w:r w:rsidRPr="00344EA0">
        <w:rPr>
          <w:rFonts w:ascii="Arial" w:hAnsi="Arial" w:cs="Arial"/>
          <w:sz w:val="20"/>
          <w:szCs w:val="20"/>
          <w:lang w:val="en-US"/>
        </w:rPr>
        <w:t>, U.N. Doc. A/52/10 (1997)</w:t>
      </w:r>
      <w:r>
        <w:rPr>
          <w:rFonts w:ascii="Arial" w:hAnsi="Arial" w:cs="Arial"/>
          <w:sz w:val="20"/>
          <w:szCs w:val="20"/>
          <w:lang w:val="en-US"/>
        </w:rPr>
        <w:t xml:space="preserve"> [hereinafter ILC Report]</w:t>
      </w:r>
      <w:r w:rsidRPr="00B6112A">
        <w:rPr>
          <w:rFonts w:ascii="Arial" w:hAnsi="Arial" w:cs="Arial"/>
          <w:sz w:val="20"/>
          <w:szCs w:val="20"/>
        </w:rPr>
        <w:t>, at 110, 101.</w:t>
      </w:r>
    </w:p>
  </w:footnote>
  <w:footnote w:id="56">
    <w:p w14:paraId="21662054" w14:textId="63847D97" w:rsidR="001A5BF9" w:rsidRPr="00F6678A" w:rsidRDefault="001A5BF9">
      <w:pPr>
        <w:pStyle w:val="FootnoteText"/>
        <w:rPr>
          <w:rFonts w:ascii="Arial" w:hAnsi="Arial" w:cs="Arial"/>
          <w:sz w:val="20"/>
          <w:szCs w:val="20"/>
          <w:lang w:val="en-US"/>
        </w:rPr>
      </w:pPr>
      <w:r w:rsidRPr="00F6678A">
        <w:rPr>
          <w:rStyle w:val="FootnoteReference"/>
          <w:rFonts w:ascii="Arial" w:hAnsi="Arial" w:cs="Arial"/>
          <w:sz w:val="20"/>
          <w:szCs w:val="20"/>
        </w:rPr>
        <w:footnoteRef/>
      </w:r>
      <w:r w:rsidRPr="00F6678A">
        <w:rPr>
          <w:rFonts w:ascii="Arial" w:hAnsi="Arial" w:cs="Arial"/>
          <w:sz w:val="20"/>
          <w:szCs w:val="20"/>
        </w:rPr>
        <w:t xml:space="preserve"> </w:t>
      </w:r>
      <w:r>
        <w:rPr>
          <w:rFonts w:ascii="Arial" w:hAnsi="Arial" w:cs="Arial"/>
          <w:sz w:val="20"/>
          <w:szCs w:val="20"/>
        </w:rPr>
        <w:t>Ibid, at 110, 104.</w:t>
      </w:r>
    </w:p>
  </w:footnote>
  <w:footnote w:id="57">
    <w:p w14:paraId="5B1A902A" w14:textId="572AB00A" w:rsidR="001A5BF9" w:rsidRPr="00F6678A" w:rsidRDefault="001A5BF9" w:rsidP="00F6678A">
      <w:pPr>
        <w:pStyle w:val="FootnoteText"/>
        <w:rPr>
          <w:rFonts w:ascii="Arial" w:hAnsi="Arial" w:cs="Arial"/>
          <w:sz w:val="20"/>
          <w:szCs w:val="20"/>
          <w:lang w:val="en-US"/>
        </w:rPr>
      </w:pPr>
      <w:r w:rsidRPr="00F6678A">
        <w:rPr>
          <w:rStyle w:val="FootnoteReference"/>
          <w:rFonts w:ascii="Arial" w:hAnsi="Arial" w:cs="Arial"/>
          <w:sz w:val="20"/>
          <w:szCs w:val="20"/>
        </w:rPr>
        <w:footnoteRef/>
      </w:r>
      <w:r w:rsidRPr="00F6678A">
        <w:rPr>
          <w:rFonts w:ascii="Arial" w:hAnsi="Arial" w:cs="Arial"/>
          <w:sz w:val="20"/>
          <w:szCs w:val="20"/>
        </w:rPr>
        <w:t xml:space="preserve"> </w:t>
      </w:r>
      <w:r>
        <w:rPr>
          <w:rFonts w:ascii="Arial" w:hAnsi="Arial" w:cs="Arial"/>
          <w:sz w:val="20"/>
          <w:szCs w:val="20"/>
        </w:rPr>
        <w:t>Ibid, at 112, 107.</w:t>
      </w:r>
    </w:p>
  </w:footnote>
  <w:footnote w:id="58">
    <w:p w14:paraId="73DCACC9" w14:textId="0186F023" w:rsidR="001A5BF9" w:rsidRPr="007A238C" w:rsidRDefault="001A5BF9">
      <w:pPr>
        <w:pStyle w:val="FootnoteText"/>
        <w:rPr>
          <w:rFonts w:ascii="Arial" w:hAnsi="Arial" w:cs="Arial"/>
          <w:sz w:val="20"/>
          <w:szCs w:val="20"/>
          <w:lang w:val="en-US"/>
        </w:rPr>
      </w:pPr>
      <w:r w:rsidRPr="007A238C">
        <w:rPr>
          <w:rStyle w:val="FootnoteReference"/>
          <w:rFonts w:ascii="Arial" w:hAnsi="Arial" w:cs="Arial"/>
          <w:sz w:val="20"/>
          <w:szCs w:val="20"/>
        </w:rPr>
        <w:footnoteRef/>
      </w:r>
      <w:r w:rsidRPr="007A238C">
        <w:rPr>
          <w:rFonts w:ascii="Arial" w:hAnsi="Arial" w:cs="Arial"/>
          <w:sz w:val="20"/>
          <w:szCs w:val="20"/>
        </w:rPr>
        <w:t xml:space="preserve"> </w:t>
      </w:r>
      <w:r w:rsidRPr="00346012">
        <w:rPr>
          <w:rFonts w:ascii="Arial" w:hAnsi="Arial" w:cs="Arial"/>
          <w:sz w:val="20"/>
          <w:szCs w:val="20"/>
        </w:rPr>
        <w:t>Evans (n 11),</w:t>
      </w:r>
      <w:r>
        <w:rPr>
          <w:rFonts w:ascii="Arial" w:hAnsi="Arial" w:cs="Arial"/>
          <w:sz w:val="20"/>
          <w:szCs w:val="20"/>
        </w:rPr>
        <w:t xml:space="preserve"> p 188.</w:t>
      </w:r>
    </w:p>
  </w:footnote>
  <w:footnote w:id="59">
    <w:p w14:paraId="61E7815E" w14:textId="64990629" w:rsidR="001A5BF9" w:rsidRPr="00175622" w:rsidRDefault="001A5BF9">
      <w:pPr>
        <w:pStyle w:val="FootnoteText"/>
        <w:rPr>
          <w:rFonts w:ascii="Arial" w:hAnsi="Arial" w:cs="Arial"/>
          <w:sz w:val="20"/>
          <w:szCs w:val="20"/>
        </w:rPr>
      </w:pPr>
      <w:r w:rsidRPr="00175622">
        <w:rPr>
          <w:rStyle w:val="FootnoteReference"/>
          <w:rFonts w:ascii="Arial" w:hAnsi="Arial" w:cs="Arial"/>
          <w:sz w:val="20"/>
          <w:szCs w:val="20"/>
        </w:rPr>
        <w:footnoteRef/>
      </w:r>
      <w:r w:rsidRPr="00175622">
        <w:rPr>
          <w:rFonts w:ascii="Arial" w:hAnsi="Arial" w:cs="Arial"/>
          <w:sz w:val="20"/>
          <w:szCs w:val="20"/>
        </w:rPr>
        <w:t xml:space="preserve"> See A. Pellet &amp; D. Müller, ‘Reservations to Human Rights Treaties: Not an Absolute Evil’, in U. Fastenrath </w:t>
      </w:r>
      <w:r w:rsidRPr="00175622">
        <w:rPr>
          <w:rFonts w:ascii="Arial" w:hAnsi="Arial" w:cs="Arial"/>
          <w:iCs/>
          <w:sz w:val="20"/>
          <w:szCs w:val="20"/>
        </w:rPr>
        <w:t>et al.</w:t>
      </w:r>
      <w:r w:rsidRPr="00175622">
        <w:rPr>
          <w:rFonts w:ascii="Arial" w:hAnsi="Arial" w:cs="Arial"/>
          <w:i/>
          <w:iCs/>
          <w:sz w:val="20"/>
          <w:szCs w:val="20"/>
        </w:rPr>
        <w:t xml:space="preserve"> </w:t>
      </w:r>
      <w:r w:rsidRPr="00175622">
        <w:rPr>
          <w:rFonts w:ascii="Arial" w:hAnsi="Arial" w:cs="Arial"/>
          <w:sz w:val="20"/>
          <w:szCs w:val="20"/>
        </w:rPr>
        <w:t>(eds</w:t>
      </w:r>
      <w:r>
        <w:rPr>
          <w:rFonts w:ascii="Arial" w:hAnsi="Arial" w:cs="Arial"/>
          <w:sz w:val="20"/>
          <w:szCs w:val="20"/>
        </w:rPr>
        <w:t>.</w:t>
      </w:r>
      <w:r w:rsidRPr="00175622">
        <w:rPr>
          <w:rFonts w:ascii="Arial" w:hAnsi="Arial" w:cs="Arial"/>
          <w:sz w:val="20"/>
          <w:szCs w:val="20"/>
        </w:rPr>
        <w:t xml:space="preserve">), </w:t>
      </w:r>
      <w:r w:rsidRPr="00175622">
        <w:rPr>
          <w:rFonts w:ascii="Arial" w:hAnsi="Arial" w:cs="Arial"/>
          <w:i/>
          <w:iCs/>
          <w:sz w:val="20"/>
          <w:szCs w:val="20"/>
        </w:rPr>
        <w:t xml:space="preserve">From Bilateralism to Community Interest – Essays in Honour of Judge Bruno Simma </w:t>
      </w:r>
      <w:r w:rsidRPr="00175622">
        <w:rPr>
          <w:rFonts w:ascii="Arial" w:hAnsi="Arial" w:cs="Arial"/>
          <w:sz w:val="20"/>
          <w:szCs w:val="20"/>
        </w:rPr>
        <w:t xml:space="preserve">(OUP 2011), at 521, 521–551. </w:t>
      </w:r>
    </w:p>
  </w:footnote>
  <w:footnote w:id="60">
    <w:p w14:paraId="62990C35" w14:textId="6743E636" w:rsidR="001A5BF9" w:rsidRPr="0033677C" w:rsidRDefault="001A5BF9" w:rsidP="00712021">
      <w:pPr>
        <w:pStyle w:val="FootnoteText"/>
        <w:rPr>
          <w:rFonts w:ascii="Arial" w:hAnsi="Arial"/>
          <w:sz w:val="20"/>
          <w:szCs w:val="20"/>
          <w:lang w:val="en-US"/>
        </w:rPr>
      </w:pPr>
      <w:r w:rsidRPr="0033677C">
        <w:rPr>
          <w:rStyle w:val="FootnoteReference"/>
          <w:rFonts w:ascii="Arial" w:hAnsi="Arial"/>
          <w:sz w:val="20"/>
          <w:szCs w:val="20"/>
        </w:rPr>
        <w:footnoteRef/>
      </w:r>
      <w:r w:rsidRPr="0033677C">
        <w:rPr>
          <w:rFonts w:ascii="Arial" w:hAnsi="Arial"/>
          <w:sz w:val="20"/>
          <w:szCs w:val="20"/>
        </w:rPr>
        <w:t xml:space="preserve"> </w:t>
      </w:r>
      <w:r>
        <w:rPr>
          <w:rFonts w:ascii="Arial" w:hAnsi="Arial" w:cs="Arial"/>
          <w:sz w:val="20"/>
          <w:szCs w:val="20"/>
        </w:rPr>
        <w:t>ICJ Rep. (1974</w:t>
      </w:r>
      <w:r w:rsidRPr="0033677C">
        <w:rPr>
          <w:rFonts w:ascii="Arial" w:hAnsi="Arial" w:cs="Arial"/>
          <w:sz w:val="20"/>
          <w:szCs w:val="20"/>
        </w:rPr>
        <w:t>), at 28.</w:t>
      </w:r>
    </w:p>
  </w:footnote>
  <w:footnote w:id="61">
    <w:p w14:paraId="247626CC" w14:textId="68A6BE34" w:rsidR="001A5BF9" w:rsidRPr="001B05DF" w:rsidRDefault="001A5BF9" w:rsidP="00712021">
      <w:pPr>
        <w:pStyle w:val="FootnoteText"/>
        <w:rPr>
          <w:rFonts w:ascii="Arial" w:hAnsi="Arial" w:cs="Arial"/>
          <w:color w:val="FF0000"/>
          <w:sz w:val="20"/>
          <w:szCs w:val="20"/>
          <w:lang w:val="en-US"/>
        </w:rPr>
      </w:pPr>
      <w:r w:rsidRPr="00CD6B7F">
        <w:rPr>
          <w:rStyle w:val="FootnoteReference"/>
          <w:rFonts w:ascii="Arial" w:hAnsi="Arial"/>
          <w:sz w:val="20"/>
          <w:szCs w:val="20"/>
        </w:rPr>
        <w:footnoteRef/>
      </w:r>
      <w:r>
        <w:t xml:space="preserve"> </w:t>
      </w:r>
      <w:r w:rsidRPr="001B05DF">
        <w:rPr>
          <w:rFonts w:ascii="Arial" w:hAnsi="Arial" w:cs="Arial"/>
          <w:i/>
          <w:iCs/>
          <w:sz w:val="20"/>
          <w:szCs w:val="20"/>
          <w:lang w:val="en-US"/>
        </w:rPr>
        <w:t>Aegean Sea Continental Shelf</w:t>
      </w:r>
      <w:r w:rsidRPr="001B05DF">
        <w:rPr>
          <w:rFonts w:ascii="Arial" w:hAnsi="Arial" w:cs="Arial"/>
          <w:sz w:val="20"/>
          <w:szCs w:val="20"/>
          <w:lang w:val="en-US"/>
        </w:rPr>
        <w:t xml:space="preserve">, </w:t>
      </w:r>
      <w:r w:rsidRPr="001B05DF">
        <w:rPr>
          <w:rFonts w:ascii="Arial" w:hAnsi="Arial" w:cs="Arial"/>
          <w:sz w:val="20"/>
          <w:szCs w:val="20"/>
        </w:rPr>
        <w:t xml:space="preserve">ICJ Rep. (1978), at </w:t>
      </w:r>
      <w:r w:rsidRPr="001B05DF">
        <w:rPr>
          <w:rFonts w:ascii="Arial" w:hAnsi="Arial" w:cs="Arial"/>
          <w:sz w:val="20"/>
          <w:szCs w:val="20"/>
          <w:lang w:val="en-US"/>
        </w:rPr>
        <w:t>77.  </w:t>
      </w:r>
    </w:p>
  </w:footnote>
  <w:footnote w:id="62">
    <w:p w14:paraId="278DAD24" w14:textId="4CF932BC" w:rsidR="001A5BF9" w:rsidRPr="00E51195" w:rsidRDefault="001A5BF9" w:rsidP="00020E8C">
      <w:pPr>
        <w:pStyle w:val="FootnoteText"/>
        <w:rPr>
          <w:rFonts w:ascii="Arial" w:hAnsi="Arial"/>
          <w:sz w:val="20"/>
          <w:szCs w:val="20"/>
          <w:lang w:val="en-US"/>
        </w:rPr>
      </w:pPr>
      <w:r w:rsidRPr="00E51195">
        <w:rPr>
          <w:rStyle w:val="FootnoteReference"/>
          <w:rFonts w:ascii="Arial" w:hAnsi="Arial"/>
          <w:sz w:val="20"/>
          <w:szCs w:val="20"/>
        </w:rPr>
        <w:footnoteRef/>
      </w:r>
      <w:r w:rsidRPr="00E51195">
        <w:rPr>
          <w:rFonts w:ascii="Arial" w:hAnsi="Arial"/>
          <w:sz w:val="20"/>
          <w:szCs w:val="20"/>
        </w:rPr>
        <w:t xml:space="preserve"> </w:t>
      </w:r>
      <w:r w:rsidRPr="00E51195">
        <w:rPr>
          <w:rFonts w:ascii="Arial" w:hAnsi="Arial"/>
          <w:i/>
          <w:sz w:val="20"/>
          <w:szCs w:val="20"/>
          <w:lang w:val="en-US"/>
        </w:rPr>
        <w:t xml:space="preserve">Belilos </w:t>
      </w:r>
      <w:r w:rsidRPr="00E51195">
        <w:rPr>
          <w:rFonts w:ascii="Arial" w:hAnsi="Arial"/>
          <w:sz w:val="20"/>
          <w:szCs w:val="20"/>
          <w:lang w:val="en-US"/>
        </w:rPr>
        <w:t xml:space="preserve">v </w:t>
      </w:r>
      <w:r w:rsidRPr="00E51195">
        <w:rPr>
          <w:rFonts w:ascii="Arial" w:hAnsi="Arial"/>
          <w:i/>
          <w:sz w:val="20"/>
          <w:szCs w:val="20"/>
          <w:lang w:val="en-US"/>
        </w:rPr>
        <w:t xml:space="preserve">Switzerland </w:t>
      </w:r>
      <w:r w:rsidRPr="00E51195">
        <w:rPr>
          <w:rFonts w:ascii="Arial" w:hAnsi="Arial"/>
          <w:sz w:val="20"/>
          <w:szCs w:val="20"/>
          <w:lang w:val="en-US"/>
        </w:rPr>
        <w:t>(1988) 10 EHRR 466; (1988) ECHR (A/132).</w:t>
      </w:r>
    </w:p>
  </w:footnote>
  <w:footnote w:id="63">
    <w:p w14:paraId="10D41B96" w14:textId="53388D70" w:rsidR="001A5BF9" w:rsidRPr="003E21E2" w:rsidRDefault="001A5BF9">
      <w:pPr>
        <w:pStyle w:val="FootnoteText"/>
        <w:rPr>
          <w:rFonts w:ascii="Arial" w:hAnsi="Arial" w:cs="Arial"/>
          <w:color w:val="FF0000"/>
          <w:sz w:val="20"/>
          <w:szCs w:val="20"/>
        </w:rPr>
      </w:pPr>
      <w:r w:rsidRPr="00420409">
        <w:rPr>
          <w:rStyle w:val="FootnoteReference"/>
          <w:rFonts w:ascii="Arial" w:hAnsi="Arial"/>
          <w:sz w:val="20"/>
          <w:szCs w:val="20"/>
        </w:rPr>
        <w:footnoteRef/>
      </w:r>
      <w:r w:rsidRPr="00420409">
        <w:rPr>
          <w:rFonts w:ascii="Arial" w:hAnsi="Arial"/>
          <w:sz w:val="20"/>
          <w:szCs w:val="20"/>
        </w:rPr>
        <w:t xml:space="preserve"> </w:t>
      </w:r>
      <w:r w:rsidRPr="005D5F3B">
        <w:rPr>
          <w:rFonts w:ascii="Arial" w:hAnsi="Arial" w:cs="Arial"/>
          <w:i/>
          <w:iCs/>
          <w:sz w:val="20"/>
          <w:szCs w:val="20"/>
        </w:rPr>
        <w:t xml:space="preserve">T.K. </w:t>
      </w:r>
      <w:r w:rsidRPr="005D5F3B">
        <w:rPr>
          <w:rFonts w:ascii="Arial" w:hAnsi="Arial" w:cs="Arial"/>
          <w:iCs/>
          <w:sz w:val="20"/>
          <w:szCs w:val="20"/>
        </w:rPr>
        <w:t>v</w:t>
      </w:r>
      <w:r w:rsidRPr="005D5F3B">
        <w:rPr>
          <w:rFonts w:ascii="Arial" w:hAnsi="Arial" w:cs="Arial"/>
          <w:i/>
          <w:iCs/>
          <w:sz w:val="20"/>
          <w:szCs w:val="20"/>
        </w:rPr>
        <w:t xml:space="preserve"> France</w:t>
      </w:r>
      <w:r w:rsidRPr="005D5F3B">
        <w:rPr>
          <w:rFonts w:ascii="Arial" w:hAnsi="Arial" w:cs="Arial"/>
          <w:sz w:val="20"/>
          <w:szCs w:val="20"/>
        </w:rPr>
        <w:t>, UN Doc CCPR/C/37/D/220/198</w:t>
      </w:r>
      <w:r w:rsidRPr="00294321">
        <w:rPr>
          <w:rFonts w:ascii="Arial" w:hAnsi="Arial" w:cs="Arial"/>
          <w:sz w:val="20"/>
          <w:szCs w:val="20"/>
        </w:rPr>
        <w:t>7.</w:t>
      </w:r>
    </w:p>
  </w:footnote>
  <w:footnote w:id="64">
    <w:p w14:paraId="1BF83BD8" w14:textId="41B18157" w:rsidR="001A5BF9" w:rsidRPr="00D0096B" w:rsidRDefault="001A5BF9">
      <w:pPr>
        <w:pStyle w:val="FootnoteText"/>
        <w:rPr>
          <w:rFonts w:ascii="Arial" w:hAnsi="Arial" w:cs="Arial"/>
          <w:sz w:val="20"/>
          <w:szCs w:val="20"/>
        </w:rPr>
      </w:pPr>
      <w:r w:rsidRPr="0047075D">
        <w:rPr>
          <w:rStyle w:val="FootnoteReference"/>
          <w:rFonts w:ascii="Arial" w:hAnsi="Arial" w:cs="Arial"/>
          <w:sz w:val="20"/>
          <w:szCs w:val="20"/>
        </w:rPr>
        <w:footnoteRef/>
      </w:r>
      <w:r w:rsidRPr="0047075D">
        <w:rPr>
          <w:rFonts w:ascii="Arial" w:hAnsi="Arial" w:cs="Arial"/>
          <w:sz w:val="20"/>
          <w:szCs w:val="20"/>
        </w:rPr>
        <w:t xml:space="preserve"> </w:t>
      </w:r>
      <w:r w:rsidRPr="00D0096B">
        <w:rPr>
          <w:rFonts w:ascii="Arial" w:hAnsi="Arial" w:cs="Arial"/>
          <w:bCs/>
          <w:sz w:val="20"/>
          <w:szCs w:val="20"/>
          <w:lang w:val="en-US"/>
        </w:rPr>
        <w:t>Lijnzaad (n 32)</w:t>
      </w:r>
      <w:r w:rsidRPr="00D0096B">
        <w:rPr>
          <w:rFonts w:ascii="Arial" w:hAnsi="Arial" w:cs="Arial"/>
          <w:sz w:val="20"/>
          <w:szCs w:val="20"/>
        </w:rPr>
        <w:t>, p 17.</w:t>
      </w:r>
    </w:p>
  </w:footnote>
  <w:footnote w:id="65">
    <w:p w14:paraId="63C0F60C" w14:textId="5BB0114B" w:rsidR="001A5BF9" w:rsidRPr="00185341" w:rsidRDefault="001A5BF9">
      <w:pPr>
        <w:pStyle w:val="FootnoteText"/>
        <w:rPr>
          <w:rFonts w:ascii="Arial" w:hAnsi="Arial" w:cs="Arial"/>
          <w:sz w:val="20"/>
          <w:szCs w:val="20"/>
          <w:lang w:val="en-US"/>
        </w:rPr>
      </w:pPr>
      <w:r w:rsidRPr="00BD641A">
        <w:rPr>
          <w:rStyle w:val="FootnoteReference"/>
          <w:rFonts w:ascii="Arial" w:hAnsi="Arial" w:cs="Arial"/>
          <w:sz w:val="20"/>
          <w:szCs w:val="20"/>
        </w:rPr>
        <w:footnoteRef/>
      </w:r>
      <w:r w:rsidRPr="00BD641A">
        <w:rPr>
          <w:rFonts w:ascii="Arial" w:hAnsi="Arial" w:cs="Arial"/>
          <w:sz w:val="20"/>
          <w:szCs w:val="20"/>
        </w:rPr>
        <w:t xml:space="preserve"> </w:t>
      </w:r>
      <w:r>
        <w:rPr>
          <w:rFonts w:ascii="Arial" w:hAnsi="Arial" w:cs="Arial"/>
          <w:sz w:val="20"/>
          <w:szCs w:val="20"/>
        </w:rPr>
        <w:t xml:space="preserve">Raoul Wallenberg Institute, </w:t>
      </w:r>
      <w:r>
        <w:rPr>
          <w:rFonts w:ascii="Arial" w:hAnsi="Arial" w:cs="Arial"/>
          <w:i/>
          <w:sz w:val="20"/>
          <w:szCs w:val="20"/>
        </w:rPr>
        <w:t xml:space="preserve">General Comments or Recommendations adopted by United Nations Human Rights Treaty Bodies. Human Rights Committee </w:t>
      </w:r>
      <w:r>
        <w:rPr>
          <w:rFonts w:ascii="Arial" w:hAnsi="Arial" w:cs="Arial"/>
          <w:sz w:val="20"/>
          <w:szCs w:val="20"/>
        </w:rPr>
        <w:t>(3</w:t>
      </w:r>
      <w:r w:rsidRPr="00200045">
        <w:rPr>
          <w:rFonts w:ascii="Arial" w:hAnsi="Arial" w:cs="Arial"/>
          <w:sz w:val="20"/>
          <w:szCs w:val="20"/>
          <w:vertAlign w:val="superscript"/>
        </w:rPr>
        <w:t>rd</w:t>
      </w:r>
      <w:r>
        <w:rPr>
          <w:rFonts w:ascii="Arial" w:hAnsi="Arial" w:cs="Arial"/>
          <w:sz w:val="20"/>
          <w:szCs w:val="20"/>
        </w:rPr>
        <w:t xml:space="preserve"> edn, LUP 2000) Vol. I, pp. 77-86, here p. 85, para. 18.</w:t>
      </w:r>
    </w:p>
  </w:footnote>
  <w:footnote w:id="66">
    <w:p w14:paraId="6099B82C" w14:textId="627BADC3" w:rsidR="001A5BF9" w:rsidRPr="003B1B1C" w:rsidRDefault="001A5BF9" w:rsidP="003B1B1C">
      <w:pPr>
        <w:pStyle w:val="FootnoteText"/>
        <w:rPr>
          <w:rFonts w:ascii="Arial" w:hAnsi="Arial"/>
          <w:sz w:val="20"/>
          <w:szCs w:val="20"/>
          <w:lang w:val="en-US"/>
        </w:rPr>
      </w:pPr>
      <w:r w:rsidRPr="00093B73">
        <w:rPr>
          <w:rStyle w:val="FootnoteReference"/>
          <w:rFonts w:ascii="Arial" w:hAnsi="Arial" w:cs="Arial"/>
          <w:sz w:val="20"/>
          <w:szCs w:val="20"/>
        </w:rPr>
        <w:footnoteRef/>
      </w:r>
      <w:r w:rsidRPr="00093B73">
        <w:rPr>
          <w:rFonts w:ascii="Arial" w:hAnsi="Arial" w:cs="Arial"/>
          <w:sz w:val="20"/>
          <w:szCs w:val="20"/>
        </w:rPr>
        <w:t xml:space="preserve"> </w:t>
      </w:r>
      <w:r>
        <w:rPr>
          <w:rFonts w:ascii="Arial" w:hAnsi="Arial" w:cs="Arial"/>
          <w:sz w:val="20"/>
          <w:szCs w:val="20"/>
        </w:rPr>
        <w:t xml:space="preserve">999 UNTS 171; </w:t>
      </w:r>
      <w:r>
        <w:rPr>
          <w:rFonts w:ascii="Arial" w:hAnsi="Arial"/>
          <w:sz w:val="20"/>
          <w:szCs w:val="20"/>
        </w:rPr>
        <w:t xml:space="preserve">A. Seibert-Fohr, ‘The Potentials of the Vienna Convention on the Law of Treaties with respect to Reservations to Human Rights Treaties’ in </w:t>
      </w:r>
      <w:r w:rsidRPr="00B33FAC">
        <w:rPr>
          <w:rFonts w:ascii="Arial" w:hAnsi="Arial"/>
          <w:sz w:val="20"/>
          <w:szCs w:val="20"/>
        </w:rPr>
        <w:t xml:space="preserve">I. Ziemele (ed.), </w:t>
      </w:r>
      <w:r w:rsidRPr="00B33FAC">
        <w:rPr>
          <w:rFonts w:ascii="Arial" w:hAnsi="Arial"/>
          <w:i/>
          <w:sz w:val="20"/>
          <w:szCs w:val="20"/>
        </w:rPr>
        <w:t>Reservations to Human Rights Treaties and the Vienna Convention Regime: Conflict, Harmony or Reconciliation</w:t>
      </w:r>
      <w:r w:rsidRPr="00B33FAC">
        <w:rPr>
          <w:rFonts w:ascii="Arial" w:hAnsi="Arial"/>
          <w:sz w:val="20"/>
          <w:szCs w:val="20"/>
        </w:rPr>
        <w:t xml:space="preserve"> (Leiden/Boston: Martinus Nijhoff Publishers 2004)</w:t>
      </w:r>
      <w:r>
        <w:rPr>
          <w:rFonts w:ascii="Arial" w:hAnsi="Arial"/>
          <w:sz w:val="20"/>
          <w:szCs w:val="20"/>
        </w:rPr>
        <w:t>, p 189.</w:t>
      </w:r>
      <w:r w:rsidRPr="004C2D74">
        <w:rPr>
          <w:rFonts w:ascii="Arial" w:hAnsi="Arial" w:cs="Arial"/>
          <w:sz w:val="20"/>
          <w:szCs w:val="20"/>
        </w:rPr>
        <w:t xml:space="preserve"> </w:t>
      </w:r>
      <w:r w:rsidRPr="00933982">
        <w:rPr>
          <w:rFonts w:ascii="Arial" w:hAnsi="Arial" w:cs="Arial"/>
          <w:sz w:val="20"/>
          <w:szCs w:val="20"/>
        </w:rPr>
        <w:t>One of the more understated methods of subjecting human rights treaties to domestic law is by ‘depriving them of their autonomous meaning’, as exemplified by the widely criticised</w:t>
      </w:r>
      <w:r>
        <w:rPr>
          <w:rFonts w:ascii="Arial" w:hAnsi="Arial" w:cs="Arial"/>
          <w:sz w:val="20"/>
          <w:szCs w:val="20"/>
        </w:rPr>
        <w:t xml:space="preserve"> </w:t>
      </w:r>
      <w:r w:rsidRPr="00933982">
        <w:rPr>
          <w:rFonts w:ascii="Arial" w:hAnsi="Arial" w:cs="Arial"/>
          <w:sz w:val="20"/>
          <w:szCs w:val="20"/>
        </w:rPr>
        <w:t xml:space="preserve">reservations made by the USA to Articles 7, 10 and 14 of the </w:t>
      </w:r>
      <w:r w:rsidRPr="00933982">
        <w:rPr>
          <w:rFonts w:ascii="Arial" w:hAnsi="Arial" w:cs="Arial"/>
          <w:sz w:val="20"/>
          <w:szCs w:val="20"/>
          <w:lang w:val="en-US"/>
        </w:rPr>
        <w:t>International Covenant on Civil</w:t>
      </w:r>
      <w:r w:rsidRPr="004C2D74">
        <w:rPr>
          <w:rFonts w:ascii="Arial" w:hAnsi="Arial" w:cs="Arial"/>
          <w:sz w:val="20"/>
          <w:szCs w:val="20"/>
          <w:lang w:val="en-US"/>
        </w:rPr>
        <w:t xml:space="preserve"> </w:t>
      </w:r>
      <w:r w:rsidRPr="00933982">
        <w:rPr>
          <w:rFonts w:ascii="Arial" w:hAnsi="Arial" w:cs="Arial"/>
          <w:sz w:val="20"/>
          <w:szCs w:val="20"/>
          <w:lang w:val="en-US"/>
        </w:rPr>
        <w:t>and Political Rights (ICCPR)</w:t>
      </w:r>
      <w:r w:rsidRPr="00933982">
        <w:rPr>
          <w:rFonts w:ascii="Arial" w:hAnsi="Arial" w:cs="Arial"/>
          <w:sz w:val="20"/>
          <w:szCs w:val="20"/>
        </w:rPr>
        <w:t>.</w:t>
      </w:r>
      <w:r>
        <w:rPr>
          <w:rFonts w:ascii="Arial" w:hAnsi="Arial" w:cs="Arial"/>
          <w:sz w:val="20"/>
          <w:szCs w:val="20"/>
        </w:rPr>
        <w:t xml:space="preserve"> </w:t>
      </w:r>
      <w:r>
        <w:rPr>
          <w:rFonts w:ascii="Arial" w:hAnsi="Arial"/>
          <w:sz w:val="20"/>
          <w:szCs w:val="20"/>
        </w:rPr>
        <w:t xml:space="preserve">The USA’s reservations were even accused of being in violation of the object and purpose of the Covenant. See L. Henkin, ‘US Ratification of Human Rights Conventions: The Ghost of Senator Bricker’, 89 </w:t>
      </w:r>
      <w:r w:rsidRPr="006B4E6E">
        <w:rPr>
          <w:rFonts w:ascii="Arial" w:hAnsi="Arial"/>
          <w:i/>
          <w:sz w:val="20"/>
          <w:szCs w:val="20"/>
        </w:rPr>
        <w:t>AJIL</w:t>
      </w:r>
      <w:r>
        <w:rPr>
          <w:rFonts w:ascii="Arial" w:hAnsi="Arial"/>
          <w:sz w:val="20"/>
          <w:szCs w:val="20"/>
        </w:rPr>
        <w:t xml:space="preserve"> (1995), p 341 (343). </w:t>
      </w:r>
      <w:r w:rsidRPr="00641431">
        <w:rPr>
          <w:rFonts w:ascii="Arial" w:hAnsi="Arial"/>
          <w:sz w:val="20"/>
          <w:szCs w:val="20"/>
        </w:rPr>
        <w:t>See</w:t>
      </w:r>
      <w:r>
        <w:rPr>
          <w:rFonts w:ascii="Arial" w:hAnsi="Arial"/>
          <w:sz w:val="20"/>
          <w:szCs w:val="20"/>
        </w:rPr>
        <w:t xml:space="preserve"> also A. Seibert-Fohr, ‘Domestic Implementation of the International Covenant on Civil and Political Rights Pursuant to its article 2 para. 2’, </w:t>
      </w:r>
      <w:r>
        <w:rPr>
          <w:rFonts w:ascii="Arial" w:hAnsi="Arial"/>
          <w:i/>
          <w:sz w:val="20"/>
          <w:szCs w:val="20"/>
        </w:rPr>
        <w:t xml:space="preserve">Max Planck </w:t>
      </w:r>
      <w:r w:rsidRPr="00251149">
        <w:rPr>
          <w:rFonts w:ascii="Arial" w:hAnsi="Arial"/>
          <w:i/>
          <w:sz w:val="20"/>
          <w:szCs w:val="20"/>
        </w:rPr>
        <w:t>UNYB</w:t>
      </w:r>
      <w:r w:rsidRPr="00251149">
        <w:rPr>
          <w:rFonts w:ascii="Arial" w:hAnsi="Arial"/>
          <w:sz w:val="20"/>
          <w:szCs w:val="20"/>
        </w:rPr>
        <w:t xml:space="preserve"> 5</w:t>
      </w:r>
      <w:r>
        <w:rPr>
          <w:rFonts w:ascii="Arial" w:hAnsi="Arial"/>
          <w:i/>
          <w:sz w:val="20"/>
          <w:szCs w:val="20"/>
        </w:rPr>
        <w:t xml:space="preserve"> </w:t>
      </w:r>
      <w:r>
        <w:rPr>
          <w:rFonts w:ascii="Arial" w:hAnsi="Arial"/>
          <w:sz w:val="20"/>
          <w:szCs w:val="20"/>
        </w:rPr>
        <w:t xml:space="preserve">(2001), pp. 190, 399 (440 </w:t>
      </w:r>
      <w:r w:rsidRPr="00911BEB">
        <w:rPr>
          <w:rFonts w:ascii="Arial" w:hAnsi="Arial"/>
          <w:i/>
          <w:sz w:val="20"/>
          <w:szCs w:val="20"/>
        </w:rPr>
        <w:t>et s</w:t>
      </w:r>
      <w:r>
        <w:rPr>
          <w:rFonts w:ascii="Arial" w:hAnsi="Arial"/>
          <w:i/>
          <w:sz w:val="20"/>
          <w:szCs w:val="20"/>
        </w:rPr>
        <w:t>e</w:t>
      </w:r>
      <w:r w:rsidRPr="00911BEB">
        <w:rPr>
          <w:rFonts w:ascii="Arial" w:hAnsi="Arial"/>
          <w:i/>
          <w:sz w:val="20"/>
          <w:szCs w:val="20"/>
        </w:rPr>
        <w:t>q.</w:t>
      </w:r>
      <w:r>
        <w:rPr>
          <w:rFonts w:ascii="Arial" w:hAnsi="Arial"/>
          <w:sz w:val="20"/>
          <w:szCs w:val="20"/>
        </w:rPr>
        <w:t xml:space="preserve">); O. Schachter, ‘The Obligation to implement the Covenant in Domestic Law’ in L. Henkin (ed.), </w:t>
      </w:r>
      <w:r>
        <w:rPr>
          <w:rFonts w:ascii="Arial" w:hAnsi="Arial"/>
          <w:i/>
          <w:sz w:val="20"/>
          <w:szCs w:val="20"/>
        </w:rPr>
        <w:t xml:space="preserve">The International Bill of Rights </w:t>
      </w:r>
      <w:r>
        <w:rPr>
          <w:rFonts w:ascii="Arial" w:hAnsi="Arial"/>
          <w:sz w:val="20"/>
          <w:szCs w:val="20"/>
        </w:rPr>
        <w:t xml:space="preserve">(New York: CUP 1981), p 311 (322); F. C. Newman and D. Weissbrodt, </w:t>
      </w:r>
      <w:r>
        <w:rPr>
          <w:rFonts w:ascii="Arial" w:hAnsi="Arial"/>
          <w:i/>
          <w:sz w:val="20"/>
          <w:szCs w:val="20"/>
        </w:rPr>
        <w:t xml:space="preserve">International Human Rights </w:t>
      </w:r>
      <w:r>
        <w:rPr>
          <w:rFonts w:ascii="Arial" w:hAnsi="Arial"/>
          <w:sz w:val="20"/>
          <w:szCs w:val="20"/>
        </w:rPr>
        <w:t>(Cincinnati: Anderson 1990), p 590.</w:t>
      </w:r>
    </w:p>
  </w:footnote>
  <w:footnote w:id="67">
    <w:p w14:paraId="10A0AC44" w14:textId="6B174851" w:rsidR="001A5BF9" w:rsidRPr="007F63BD" w:rsidRDefault="001A5BF9" w:rsidP="007F63BD">
      <w:pPr>
        <w:pStyle w:val="FootnoteText"/>
        <w:rPr>
          <w:rFonts w:ascii="Arial" w:hAnsi="Arial" w:cs="Arial"/>
          <w:sz w:val="20"/>
          <w:szCs w:val="20"/>
          <w:lang w:val="en-US"/>
        </w:rPr>
      </w:pPr>
      <w:r w:rsidRPr="00D05DDB">
        <w:rPr>
          <w:rStyle w:val="FootnoteReference"/>
          <w:rFonts w:ascii="Arial" w:hAnsi="Arial" w:cs="Arial"/>
          <w:sz w:val="20"/>
          <w:szCs w:val="20"/>
        </w:rPr>
        <w:footnoteRef/>
      </w:r>
      <w:r w:rsidRPr="00D05DDB">
        <w:rPr>
          <w:rFonts w:ascii="Arial" w:hAnsi="Arial" w:cs="Arial"/>
          <w:sz w:val="20"/>
          <w:szCs w:val="20"/>
        </w:rPr>
        <w:t xml:space="preserve"> </w:t>
      </w:r>
      <w:r>
        <w:rPr>
          <w:rFonts w:ascii="Arial" w:hAnsi="Arial" w:cs="Arial"/>
          <w:sz w:val="20"/>
          <w:szCs w:val="20"/>
        </w:rPr>
        <w:t xml:space="preserve">Human Rights Committee, </w:t>
      </w:r>
      <w:r w:rsidRPr="00B21BCF">
        <w:rPr>
          <w:rFonts w:ascii="Arial" w:hAnsi="Arial" w:cs="Arial"/>
          <w:i/>
          <w:sz w:val="20"/>
          <w:szCs w:val="20"/>
        </w:rPr>
        <w:t xml:space="preserve">General Comment </w:t>
      </w:r>
      <w:r>
        <w:rPr>
          <w:rFonts w:ascii="Arial" w:hAnsi="Arial" w:cs="Arial"/>
          <w:i/>
          <w:sz w:val="20"/>
          <w:szCs w:val="20"/>
        </w:rPr>
        <w:t xml:space="preserve">No. </w:t>
      </w:r>
      <w:r w:rsidRPr="00B21BCF">
        <w:rPr>
          <w:rFonts w:ascii="Arial" w:hAnsi="Arial" w:cs="Arial"/>
          <w:i/>
          <w:sz w:val="20"/>
          <w:szCs w:val="20"/>
        </w:rPr>
        <w:t xml:space="preserve">24/52 on Issues relating to Reservations </w:t>
      </w:r>
      <w:r w:rsidRPr="00B21BCF">
        <w:rPr>
          <w:rFonts w:ascii="Arial" w:hAnsi="Arial" w:cs="Arial"/>
          <w:i/>
          <w:iCs/>
          <w:sz w:val="20"/>
          <w:szCs w:val="20"/>
          <w:lang w:val="en-US"/>
        </w:rPr>
        <w:t xml:space="preserve">Made upon Ratification or Accession to the Covenant or the Optional Protocols thereto, or in Relation to Declarations under Article 41 of the </w:t>
      </w:r>
      <w:r w:rsidRPr="00B21BCF">
        <w:rPr>
          <w:rFonts w:ascii="Arial" w:hAnsi="Arial" w:cs="Arial"/>
          <w:i/>
          <w:sz w:val="20"/>
          <w:szCs w:val="20"/>
        </w:rPr>
        <w:t>UN Covenant on Civil and Political Rights</w:t>
      </w:r>
      <w:r>
        <w:rPr>
          <w:rFonts w:ascii="Arial" w:hAnsi="Arial" w:cs="Arial"/>
          <w:sz w:val="20"/>
          <w:szCs w:val="20"/>
        </w:rPr>
        <w:t>, 4 November 1994, CCPR/C/21/Rev.1/Add.6, para 17, in 34 ILM (1995) at 845.</w:t>
      </w:r>
    </w:p>
  </w:footnote>
  <w:footnote w:id="68">
    <w:p w14:paraId="07509BF8" w14:textId="77777777" w:rsidR="001A5BF9" w:rsidRPr="00D05DDB" w:rsidRDefault="001A5BF9" w:rsidP="00516C50">
      <w:pPr>
        <w:pStyle w:val="FootnoteText"/>
        <w:rPr>
          <w:rFonts w:ascii="Arial" w:hAnsi="Arial" w:cs="Arial"/>
          <w:sz w:val="20"/>
          <w:szCs w:val="20"/>
          <w:lang w:val="en-US"/>
        </w:rPr>
      </w:pPr>
      <w:r w:rsidRPr="00D05DDB">
        <w:rPr>
          <w:rStyle w:val="FootnoteReference"/>
          <w:rFonts w:ascii="Arial" w:hAnsi="Arial" w:cs="Arial"/>
          <w:sz w:val="20"/>
          <w:szCs w:val="20"/>
        </w:rPr>
        <w:footnoteRef/>
      </w:r>
      <w:r w:rsidRPr="00D05DDB">
        <w:rPr>
          <w:rFonts w:ascii="Arial" w:hAnsi="Arial" w:cs="Arial"/>
          <w:sz w:val="20"/>
          <w:szCs w:val="20"/>
        </w:rPr>
        <w:t xml:space="preserve"> </w:t>
      </w:r>
      <w:r w:rsidRPr="00D05DDB">
        <w:rPr>
          <w:rFonts w:ascii="Arial" w:hAnsi="Arial" w:cs="Arial"/>
          <w:i/>
          <w:sz w:val="20"/>
          <w:szCs w:val="20"/>
        </w:rPr>
        <w:t>Gab</w:t>
      </w:r>
      <w:r w:rsidRPr="00D05DDB">
        <w:rPr>
          <w:rFonts w:ascii="Arial" w:hAnsi="Arial" w:cs="Arial"/>
          <w:i/>
          <w:color w:val="000000"/>
          <w:sz w:val="20"/>
          <w:szCs w:val="20"/>
        </w:rPr>
        <w:t>č</w:t>
      </w:r>
      <w:r w:rsidRPr="00D05DDB">
        <w:rPr>
          <w:rFonts w:ascii="Arial" w:hAnsi="Arial" w:cs="Arial"/>
          <w:i/>
          <w:sz w:val="20"/>
          <w:szCs w:val="20"/>
        </w:rPr>
        <w:t>ikovo</w:t>
      </w:r>
      <w:r>
        <w:rPr>
          <w:rFonts w:ascii="Arial" w:hAnsi="Arial" w:cs="Arial"/>
          <w:i/>
          <w:sz w:val="20"/>
          <w:szCs w:val="20"/>
        </w:rPr>
        <w:t>-Nagymaros Project (Hungary/Slovakia), Judgment, ICJ Reports 1997</w:t>
      </w:r>
      <w:r w:rsidRPr="00D05DDB">
        <w:rPr>
          <w:rFonts w:ascii="Arial" w:hAnsi="Arial" w:cs="Arial"/>
          <w:i/>
          <w:sz w:val="20"/>
          <w:szCs w:val="20"/>
        </w:rPr>
        <w:t>,</w:t>
      </w:r>
      <w:r>
        <w:rPr>
          <w:rFonts w:ascii="Arial" w:hAnsi="Arial" w:cs="Arial"/>
          <w:sz w:val="20"/>
          <w:szCs w:val="20"/>
        </w:rPr>
        <w:t xml:space="preserve"> p 7, para 142.</w:t>
      </w:r>
    </w:p>
  </w:footnote>
  <w:footnote w:id="69">
    <w:p w14:paraId="1DCA9473" w14:textId="0E32D2A7" w:rsidR="001A5BF9" w:rsidRPr="0025734E" w:rsidRDefault="001A5BF9">
      <w:pPr>
        <w:pStyle w:val="FootnoteText"/>
        <w:rPr>
          <w:rFonts w:ascii="Arial" w:hAnsi="Arial" w:cs="Arial"/>
          <w:sz w:val="20"/>
          <w:szCs w:val="20"/>
          <w:lang w:val="en-US"/>
        </w:rPr>
      </w:pPr>
      <w:r w:rsidRPr="0025734E">
        <w:rPr>
          <w:rStyle w:val="FootnoteReference"/>
          <w:rFonts w:ascii="Arial" w:hAnsi="Arial" w:cs="Arial"/>
          <w:sz w:val="20"/>
          <w:szCs w:val="20"/>
        </w:rPr>
        <w:footnoteRef/>
      </w:r>
      <w:r w:rsidRPr="0025734E">
        <w:rPr>
          <w:rFonts w:ascii="Arial" w:hAnsi="Arial" w:cs="Arial"/>
          <w:sz w:val="20"/>
          <w:szCs w:val="20"/>
        </w:rPr>
        <w:t xml:space="preserve"> </w:t>
      </w:r>
      <w:r w:rsidRPr="0062754E">
        <w:rPr>
          <w:rFonts w:ascii="Arial" w:hAnsi="Arial" w:cs="Arial"/>
          <w:i/>
          <w:sz w:val="20"/>
          <w:szCs w:val="20"/>
        </w:rPr>
        <w:t>General Comment No. 24</w:t>
      </w:r>
      <w:r w:rsidRPr="0062754E">
        <w:rPr>
          <w:rFonts w:ascii="Arial" w:hAnsi="Arial" w:cs="Arial"/>
          <w:sz w:val="20"/>
          <w:szCs w:val="20"/>
        </w:rPr>
        <w:t xml:space="preserve"> (n 67), paras 12 &amp; 19.</w:t>
      </w:r>
    </w:p>
  </w:footnote>
  <w:footnote w:id="70">
    <w:p w14:paraId="1351CB94" w14:textId="295CBA89" w:rsidR="001A5BF9" w:rsidRPr="00E90099" w:rsidRDefault="001A5BF9" w:rsidP="009C152B">
      <w:pPr>
        <w:pStyle w:val="FootnoteText"/>
        <w:rPr>
          <w:rFonts w:ascii="Arial" w:hAnsi="Arial" w:cs="Arial"/>
          <w:sz w:val="20"/>
          <w:szCs w:val="20"/>
          <w:lang w:val="en-US"/>
        </w:rPr>
      </w:pPr>
      <w:r w:rsidRPr="00E90099">
        <w:rPr>
          <w:rStyle w:val="FootnoteReference"/>
          <w:rFonts w:ascii="Arial" w:hAnsi="Arial" w:cs="Arial"/>
          <w:sz w:val="20"/>
          <w:szCs w:val="20"/>
        </w:rPr>
        <w:footnoteRef/>
      </w:r>
      <w:r w:rsidRPr="00E90099">
        <w:rPr>
          <w:rFonts w:ascii="Arial" w:hAnsi="Arial" w:cs="Arial"/>
          <w:sz w:val="20"/>
          <w:szCs w:val="20"/>
        </w:rPr>
        <w:t xml:space="preserve"> </w:t>
      </w:r>
      <w:r w:rsidRPr="00432321">
        <w:rPr>
          <w:rFonts w:ascii="Arial" w:hAnsi="Arial" w:cs="Arial"/>
          <w:sz w:val="20"/>
          <w:szCs w:val="20"/>
        </w:rPr>
        <w:t>Ibid,</w:t>
      </w:r>
      <w:r>
        <w:rPr>
          <w:rFonts w:ascii="Arial" w:hAnsi="Arial" w:cs="Arial"/>
          <w:sz w:val="20"/>
          <w:szCs w:val="20"/>
        </w:rPr>
        <w:t xml:space="preserve"> para. 18.</w:t>
      </w:r>
    </w:p>
  </w:footnote>
  <w:footnote w:id="71">
    <w:p w14:paraId="43FBA650" w14:textId="77777777" w:rsidR="001A5BF9" w:rsidRPr="001E0B4E" w:rsidRDefault="001A5BF9" w:rsidP="009C152B">
      <w:pPr>
        <w:pStyle w:val="FootnoteText"/>
        <w:rPr>
          <w:rFonts w:ascii="Arial" w:hAnsi="Arial" w:cs="Arial"/>
          <w:sz w:val="20"/>
          <w:szCs w:val="20"/>
          <w:lang w:val="en-US"/>
        </w:rPr>
      </w:pPr>
      <w:r w:rsidRPr="001E0B4E">
        <w:rPr>
          <w:rStyle w:val="FootnoteReference"/>
          <w:rFonts w:ascii="Arial" w:hAnsi="Arial" w:cs="Arial"/>
          <w:sz w:val="20"/>
          <w:szCs w:val="20"/>
        </w:rPr>
        <w:footnoteRef/>
      </w:r>
      <w:r w:rsidRPr="001E0B4E">
        <w:rPr>
          <w:rFonts w:ascii="Arial" w:hAnsi="Arial" w:cs="Arial"/>
          <w:sz w:val="20"/>
          <w:szCs w:val="20"/>
        </w:rPr>
        <w:t xml:space="preserve"> </w:t>
      </w:r>
      <w:r>
        <w:rPr>
          <w:rFonts w:ascii="Arial" w:hAnsi="Arial" w:cs="Arial"/>
          <w:sz w:val="20"/>
          <w:szCs w:val="20"/>
        </w:rPr>
        <w:t>Ibid.</w:t>
      </w:r>
    </w:p>
  </w:footnote>
  <w:footnote w:id="72">
    <w:p w14:paraId="282811B9" w14:textId="768BD869" w:rsidR="001A5BF9" w:rsidRPr="001059FA" w:rsidRDefault="001A5BF9" w:rsidP="009C152B">
      <w:pPr>
        <w:pStyle w:val="FootnoteText"/>
        <w:rPr>
          <w:rFonts w:ascii="Arial" w:hAnsi="Arial" w:cs="Arial"/>
          <w:sz w:val="20"/>
          <w:szCs w:val="20"/>
          <w:lang w:val="en-US"/>
        </w:rPr>
      </w:pPr>
      <w:r w:rsidRPr="00776A76">
        <w:rPr>
          <w:rStyle w:val="FootnoteReference"/>
          <w:rFonts w:ascii="Arial" w:hAnsi="Arial" w:cs="Arial"/>
          <w:sz w:val="20"/>
          <w:szCs w:val="20"/>
        </w:rPr>
        <w:footnoteRef/>
      </w:r>
      <w:r w:rsidRPr="00776A76">
        <w:rPr>
          <w:rFonts w:ascii="Arial" w:hAnsi="Arial" w:cs="Arial"/>
          <w:sz w:val="20"/>
          <w:szCs w:val="20"/>
        </w:rPr>
        <w:t xml:space="preserve"> </w:t>
      </w:r>
      <w:r>
        <w:rPr>
          <w:rFonts w:ascii="Arial" w:hAnsi="Arial" w:cs="Arial"/>
          <w:sz w:val="20"/>
          <w:szCs w:val="20"/>
        </w:rPr>
        <w:t xml:space="preserve">M. Scheinin, ‘Reservations by States under the International Covenant on Civil and Political Rights and its Optional Protocols, and the Practice of the Human Rights Committee’ in </w:t>
      </w:r>
      <w:r w:rsidRPr="001059FA">
        <w:rPr>
          <w:rFonts w:ascii="Arial" w:hAnsi="Arial" w:cs="Arial"/>
          <w:sz w:val="20"/>
          <w:szCs w:val="20"/>
        </w:rPr>
        <w:t xml:space="preserve">Ziemele </w:t>
      </w:r>
      <w:r w:rsidRPr="00A93B19">
        <w:rPr>
          <w:rFonts w:ascii="Arial" w:hAnsi="Arial" w:cs="Arial"/>
          <w:sz w:val="20"/>
          <w:szCs w:val="20"/>
        </w:rPr>
        <w:t xml:space="preserve">(n </w:t>
      </w:r>
      <w:r>
        <w:rPr>
          <w:rFonts w:ascii="Arial" w:hAnsi="Arial" w:cs="Arial"/>
          <w:sz w:val="20"/>
          <w:szCs w:val="20"/>
        </w:rPr>
        <w:t>66</w:t>
      </w:r>
      <w:r w:rsidRPr="00A93B19">
        <w:rPr>
          <w:rFonts w:ascii="Arial" w:hAnsi="Arial" w:cs="Arial"/>
          <w:sz w:val="20"/>
          <w:szCs w:val="20"/>
        </w:rPr>
        <w:t>),</w:t>
      </w:r>
      <w:r w:rsidRPr="001059FA">
        <w:rPr>
          <w:rFonts w:ascii="Arial" w:hAnsi="Arial" w:cs="Arial"/>
          <w:sz w:val="20"/>
          <w:szCs w:val="20"/>
        </w:rPr>
        <w:t xml:space="preserve"> p 42.</w:t>
      </w:r>
    </w:p>
  </w:footnote>
  <w:footnote w:id="73">
    <w:p w14:paraId="5216E85C" w14:textId="6321FD89" w:rsidR="001A5BF9" w:rsidRPr="00A75E79" w:rsidRDefault="001A5BF9">
      <w:pPr>
        <w:pStyle w:val="FootnoteText"/>
        <w:rPr>
          <w:rFonts w:ascii="Arial" w:hAnsi="Arial"/>
          <w:sz w:val="20"/>
          <w:szCs w:val="20"/>
          <w:lang w:val="en-US"/>
        </w:rPr>
      </w:pPr>
      <w:r w:rsidRPr="00A75E79">
        <w:rPr>
          <w:rStyle w:val="FootnoteReference"/>
          <w:rFonts w:ascii="Arial" w:hAnsi="Arial"/>
          <w:sz w:val="20"/>
          <w:szCs w:val="20"/>
        </w:rPr>
        <w:footnoteRef/>
      </w:r>
      <w:r w:rsidRPr="00A75E79">
        <w:rPr>
          <w:rFonts w:ascii="Arial" w:hAnsi="Arial"/>
          <w:sz w:val="20"/>
          <w:szCs w:val="20"/>
        </w:rPr>
        <w:t xml:space="preserve"> </w:t>
      </w:r>
      <w:r>
        <w:rPr>
          <w:rFonts w:ascii="Arial" w:hAnsi="Arial"/>
          <w:sz w:val="20"/>
          <w:szCs w:val="20"/>
        </w:rPr>
        <w:t xml:space="preserve">V. Lowe, </w:t>
      </w:r>
      <w:r>
        <w:rPr>
          <w:rFonts w:ascii="Arial" w:hAnsi="Arial"/>
          <w:i/>
          <w:sz w:val="20"/>
          <w:szCs w:val="20"/>
        </w:rPr>
        <w:t xml:space="preserve">International Law </w:t>
      </w:r>
      <w:r>
        <w:rPr>
          <w:rFonts w:ascii="Arial" w:hAnsi="Arial"/>
          <w:sz w:val="20"/>
          <w:szCs w:val="20"/>
        </w:rPr>
        <w:t>(OUP 2007</w:t>
      </w:r>
      <w:r w:rsidRPr="00B82AD5">
        <w:rPr>
          <w:rFonts w:ascii="Arial" w:hAnsi="Arial"/>
          <w:sz w:val="20"/>
          <w:szCs w:val="20"/>
        </w:rPr>
        <w:t>), p 71.</w:t>
      </w:r>
    </w:p>
  </w:footnote>
  <w:footnote w:id="74">
    <w:p w14:paraId="76F67D44" w14:textId="0BC72618" w:rsidR="001A5BF9" w:rsidRPr="00F30BC5" w:rsidRDefault="001A5BF9">
      <w:pPr>
        <w:pStyle w:val="FootnoteText"/>
        <w:rPr>
          <w:rFonts w:ascii="Arial" w:hAnsi="Arial" w:cs="Arial"/>
          <w:sz w:val="20"/>
          <w:szCs w:val="20"/>
          <w:lang w:val="en-US"/>
        </w:rPr>
      </w:pPr>
      <w:r w:rsidRPr="00F30BC5">
        <w:rPr>
          <w:rStyle w:val="FootnoteReference"/>
          <w:rFonts w:ascii="Arial" w:hAnsi="Arial" w:cs="Arial"/>
          <w:sz w:val="20"/>
          <w:szCs w:val="20"/>
        </w:rPr>
        <w:footnoteRef/>
      </w:r>
      <w:r w:rsidRPr="00F30BC5">
        <w:rPr>
          <w:rFonts w:ascii="Arial" w:hAnsi="Arial" w:cs="Arial"/>
          <w:sz w:val="20"/>
          <w:szCs w:val="20"/>
        </w:rPr>
        <w:t xml:space="preserve"> </w:t>
      </w:r>
      <w:r>
        <w:rPr>
          <w:rFonts w:ascii="Arial" w:hAnsi="Arial" w:cs="Arial"/>
          <w:sz w:val="20"/>
          <w:szCs w:val="20"/>
        </w:rPr>
        <w:t xml:space="preserve">See </w:t>
      </w:r>
      <w:r>
        <w:rPr>
          <w:rFonts w:ascii="Arial" w:hAnsi="Arial" w:cs="Arial"/>
          <w:i/>
          <w:sz w:val="20"/>
          <w:szCs w:val="20"/>
        </w:rPr>
        <w:t>Annual Report 1995 of the Human Rights Committee</w:t>
      </w:r>
      <w:r>
        <w:rPr>
          <w:rFonts w:ascii="Arial" w:hAnsi="Arial" w:cs="Arial"/>
          <w:sz w:val="20"/>
          <w:szCs w:val="20"/>
        </w:rPr>
        <w:t xml:space="preserve">, A/50/40 vol. I, pp. 126-134 (the United States and the United Kingdom); </w:t>
      </w:r>
      <w:r>
        <w:rPr>
          <w:rFonts w:ascii="Arial" w:hAnsi="Arial" w:cs="Arial"/>
          <w:i/>
          <w:sz w:val="20"/>
          <w:szCs w:val="20"/>
        </w:rPr>
        <w:t>Annual Report 1996 of the Human Rights Committee</w:t>
      </w:r>
      <w:r>
        <w:rPr>
          <w:rFonts w:ascii="Arial" w:hAnsi="Arial" w:cs="Arial"/>
          <w:sz w:val="20"/>
          <w:szCs w:val="20"/>
        </w:rPr>
        <w:t>, A/51/40 vol. I, pp. 104-106 (France).</w:t>
      </w:r>
    </w:p>
  </w:footnote>
  <w:footnote w:id="75">
    <w:p w14:paraId="7971355B" w14:textId="7D12452A" w:rsidR="001A5BF9" w:rsidRPr="00FA2AA8" w:rsidRDefault="001A5BF9">
      <w:pPr>
        <w:pStyle w:val="FootnoteText"/>
        <w:rPr>
          <w:rFonts w:ascii="Arial" w:hAnsi="Arial"/>
          <w:sz w:val="20"/>
          <w:szCs w:val="20"/>
          <w:lang w:val="en-US"/>
        </w:rPr>
      </w:pPr>
      <w:r w:rsidRPr="00FA2AA8">
        <w:rPr>
          <w:rStyle w:val="FootnoteReference"/>
          <w:rFonts w:ascii="Arial" w:hAnsi="Arial"/>
          <w:sz w:val="20"/>
          <w:szCs w:val="20"/>
        </w:rPr>
        <w:footnoteRef/>
      </w:r>
      <w:r w:rsidRPr="00FA2AA8">
        <w:rPr>
          <w:rFonts w:ascii="Arial" w:hAnsi="Arial"/>
          <w:sz w:val="20"/>
          <w:szCs w:val="20"/>
        </w:rPr>
        <w:t xml:space="preserve"> </w:t>
      </w:r>
      <w:r>
        <w:rPr>
          <w:rFonts w:ascii="Arial" w:hAnsi="Arial"/>
          <w:sz w:val="20"/>
          <w:szCs w:val="20"/>
        </w:rPr>
        <w:t xml:space="preserve">Ibid, p 72. </w:t>
      </w:r>
      <w:r w:rsidRPr="007B1323">
        <w:rPr>
          <w:rFonts w:ascii="Arial" w:hAnsi="Arial"/>
          <w:sz w:val="20"/>
          <w:szCs w:val="20"/>
          <w:lang w:val="en-US"/>
        </w:rPr>
        <w:t xml:space="preserve">The Committee also clarified that it did </w:t>
      </w:r>
      <w:r>
        <w:rPr>
          <w:rFonts w:ascii="Arial" w:hAnsi="Arial"/>
          <w:sz w:val="20"/>
          <w:szCs w:val="20"/>
          <w:lang w:val="en-US"/>
        </w:rPr>
        <w:t>‘</w:t>
      </w:r>
      <w:r w:rsidRPr="007B1323">
        <w:rPr>
          <w:rFonts w:ascii="Arial" w:hAnsi="Arial"/>
          <w:sz w:val="20"/>
          <w:szCs w:val="20"/>
          <w:lang w:val="en-US"/>
        </w:rPr>
        <w:t>not accept either reservations to treaties that codify customary international law</w:t>
      </w:r>
      <w:r>
        <w:rPr>
          <w:rFonts w:ascii="Arial" w:hAnsi="Arial"/>
          <w:sz w:val="20"/>
          <w:szCs w:val="20"/>
          <w:lang w:val="en-US"/>
        </w:rPr>
        <w:t>’ or ‘reservations incompatible with the object and purpose of the ICCPR’.</w:t>
      </w:r>
    </w:p>
  </w:footnote>
  <w:footnote w:id="76">
    <w:p w14:paraId="0FBD790A" w14:textId="250256C6" w:rsidR="001A5BF9" w:rsidRPr="006F0274" w:rsidRDefault="001A5BF9">
      <w:pPr>
        <w:pStyle w:val="FootnoteText"/>
        <w:rPr>
          <w:rFonts w:ascii="Arial" w:hAnsi="Arial"/>
          <w:i/>
          <w:sz w:val="20"/>
          <w:szCs w:val="20"/>
          <w:lang w:val="en-US"/>
        </w:rPr>
      </w:pPr>
      <w:r w:rsidRPr="001059FA">
        <w:rPr>
          <w:rStyle w:val="FootnoteReference"/>
          <w:rFonts w:ascii="Arial" w:hAnsi="Arial"/>
          <w:sz w:val="20"/>
          <w:szCs w:val="20"/>
        </w:rPr>
        <w:footnoteRef/>
      </w:r>
      <w:r w:rsidRPr="001059FA">
        <w:rPr>
          <w:rFonts w:ascii="Arial" w:hAnsi="Arial"/>
          <w:sz w:val="20"/>
          <w:szCs w:val="20"/>
        </w:rPr>
        <w:t xml:space="preserve"> </w:t>
      </w:r>
      <w:r w:rsidRPr="001059FA">
        <w:rPr>
          <w:rFonts w:ascii="Arial" w:hAnsi="Arial"/>
          <w:i/>
          <w:sz w:val="20"/>
          <w:szCs w:val="20"/>
        </w:rPr>
        <w:t>Rawle Kennedy</w:t>
      </w:r>
      <w:r>
        <w:rPr>
          <w:rFonts w:ascii="Arial" w:hAnsi="Arial"/>
          <w:i/>
          <w:sz w:val="20"/>
          <w:szCs w:val="20"/>
        </w:rPr>
        <w:t xml:space="preserve"> </w:t>
      </w:r>
      <w:r>
        <w:rPr>
          <w:rFonts w:ascii="Arial" w:hAnsi="Arial"/>
          <w:sz w:val="20"/>
          <w:szCs w:val="20"/>
        </w:rPr>
        <w:t xml:space="preserve">v </w:t>
      </w:r>
      <w:r>
        <w:rPr>
          <w:rFonts w:ascii="Arial" w:hAnsi="Arial"/>
          <w:i/>
          <w:sz w:val="20"/>
          <w:szCs w:val="20"/>
        </w:rPr>
        <w:t xml:space="preserve">Trinidad and Tobago </w:t>
      </w:r>
      <w:r>
        <w:rPr>
          <w:rFonts w:ascii="Arial" w:hAnsi="Arial"/>
          <w:sz w:val="20"/>
          <w:szCs w:val="20"/>
        </w:rPr>
        <w:t>(2000) 7 I.H.R.R. 315, Comm. No. 845/1999, Decision, 2 November 1999, UN Doc. A/55/40, vol. II, Annex XI, A, Individual Dissenting Opinion of Ando, Bhagwati, Klein and Kretzmer, para 16.</w:t>
      </w:r>
      <w:r w:rsidRPr="001059FA">
        <w:rPr>
          <w:rFonts w:ascii="Arial" w:hAnsi="Arial"/>
          <w:i/>
          <w:sz w:val="20"/>
          <w:szCs w:val="20"/>
        </w:rPr>
        <w:t xml:space="preserve"> </w:t>
      </w:r>
    </w:p>
  </w:footnote>
  <w:footnote w:id="77">
    <w:p w14:paraId="56DD8D06" w14:textId="606E21B7" w:rsidR="001A5BF9" w:rsidRPr="00883C2F" w:rsidRDefault="001A5BF9">
      <w:pPr>
        <w:pStyle w:val="FootnoteText"/>
        <w:rPr>
          <w:rFonts w:ascii="Arial" w:hAnsi="Arial" w:cs="Arial"/>
          <w:sz w:val="20"/>
          <w:szCs w:val="20"/>
          <w:lang w:val="en-US"/>
        </w:rPr>
      </w:pPr>
      <w:r w:rsidRPr="00883C2F">
        <w:rPr>
          <w:rStyle w:val="FootnoteReference"/>
          <w:rFonts w:ascii="Arial" w:hAnsi="Arial" w:cs="Arial"/>
          <w:sz w:val="20"/>
          <w:szCs w:val="20"/>
        </w:rPr>
        <w:footnoteRef/>
      </w:r>
      <w:r w:rsidRPr="00883C2F">
        <w:rPr>
          <w:rFonts w:ascii="Arial" w:hAnsi="Arial" w:cs="Arial"/>
          <w:sz w:val="20"/>
          <w:szCs w:val="20"/>
        </w:rPr>
        <w:t xml:space="preserve"> </w:t>
      </w:r>
      <w:r>
        <w:rPr>
          <w:rFonts w:ascii="Arial" w:hAnsi="Arial" w:cs="Arial"/>
          <w:sz w:val="20"/>
          <w:szCs w:val="20"/>
        </w:rPr>
        <w:t xml:space="preserve">A. Cassese, </w:t>
      </w:r>
      <w:r>
        <w:rPr>
          <w:rFonts w:ascii="Arial" w:hAnsi="Arial" w:cs="Arial"/>
          <w:i/>
          <w:sz w:val="20"/>
          <w:szCs w:val="20"/>
        </w:rPr>
        <w:t xml:space="preserve">International Law </w:t>
      </w:r>
      <w:r>
        <w:rPr>
          <w:rFonts w:ascii="Arial" w:hAnsi="Arial" w:cs="Arial"/>
          <w:sz w:val="20"/>
          <w:szCs w:val="20"/>
        </w:rPr>
        <w:t>(2</w:t>
      </w:r>
      <w:r w:rsidRPr="002F56E9">
        <w:rPr>
          <w:rFonts w:ascii="Arial" w:hAnsi="Arial" w:cs="Arial"/>
          <w:sz w:val="20"/>
          <w:szCs w:val="20"/>
          <w:vertAlign w:val="superscript"/>
        </w:rPr>
        <w:t>nd</w:t>
      </w:r>
      <w:r>
        <w:rPr>
          <w:rFonts w:ascii="Arial" w:hAnsi="Arial" w:cs="Arial"/>
          <w:sz w:val="20"/>
          <w:szCs w:val="20"/>
        </w:rPr>
        <w:t xml:space="preserve"> edn, OUP 2005)</w:t>
      </w:r>
      <w:r w:rsidRPr="00883C2F">
        <w:rPr>
          <w:rFonts w:ascii="Arial" w:hAnsi="Arial" w:cs="Arial"/>
          <w:sz w:val="20"/>
          <w:szCs w:val="20"/>
        </w:rPr>
        <w:t>, p 175.</w:t>
      </w:r>
    </w:p>
  </w:footnote>
  <w:footnote w:id="78">
    <w:p w14:paraId="45DEC190" w14:textId="77777777" w:rsidR="001A5BF9" w:rsidRPr="00AE6AFF" w:rsidRDefault="001A5BF9" w:rsidP="003974DA">
      <w:pPr>
        <w:pStyle w:val="FootnoteText"/>
        <w:rPr>
          <w:rFonts w:ascii="Arial" w:hAnsi="Arial" w:cs="Arial"/>
          <w:sz w:val="20"/>
          <w:szCs w:val="20"/>
          <w:lang w:val="en-US"/>
        </w:rPr>
      </w:pPr>
      <w:r w:rsidRPr="00AE6AFF">
        <w:rPr>
          <w:rStyle w:val="FootnoteReference"/>
          <w:rFonts w:ascii="Arial" w:hAnsi="Arial" w:cs="Arial"/>
          <w:sz w:val="20"/>
          <w:szCs w:val="20"/>
        </w:rPr>
        <w:footnoteRef/>
      </w:r>
      <w:r w:rsidRPr="00AE6AFF">
        <w:rPr>
          <w:rFonts w:ascii="Arial" w:hAnsi="Arial" w:cs="Arial"/>
          <w:sz w:val="20"/>
          <w:szCs w:val="20"/>
        </w:rPr>
        <w:t xml:space="preserve"> </w:t>
      </w:r>
      <w:r>
        <w:rPr>
          <w:rFonts w:ascii="Arial" w:hAnsi="Arial" w:cs="Arial"/>
          <w:sz w:val="20"/>
          <w:szCs w:val="20"/>
        </w:rPr>
        <w:t>Vienna Convention, 1155 UNTS 331, 23 May 1969, Art. 26.</w:t>
      </w:r>
    </w:p>
  </w:footnote>
  <w:footnote w:id="79">
    <w:p w14:paraId="0DB489CE" w14:textId="77777777" w:rsidR="001A5BF9" w:rsidRPr="00E81B1F" w:rsidRDefault="001A5BF9" w:rsidP="003974DA">
      <w:pPr>
        <w:pStyle w:val="FootnoteText"/>
        <w:rPr>
          <w:rFonts w:ascii="Arial" w:hAnsi="Arial" w:cs="Arial"/>
          <w:sz w:val="20"/>
          <w:szCs w:val="20"/>
          <w:lang w:val="en-US"/>
        </w:rPr>
      </w:pPr>
      <w:r w:rsidRPr="00E81B1F">
        <w:rPr>
          <w:rStyle w:val="FootnoteReference"/>
          <w:rFonts w:ascii="Arial" w:hAnsi="Arial" w:cs="Arial"/>
          <w:sz w:val="20"/>
          <w:szCs w:val="20"/>
        </w:rPr>
        <w:footnoteRef/>
      </w:r>
      <w:r w:rsidRPr="00E81B1F">
        <w:rPr>
          <w:rFonts w:ascii="Arial" w:hAnsi="Arial" w:cs="Arial"/>
          <w:sz w:val="20"/>
          <w:szCs w:val="20"/>
        </w:rPr>
        <w:t xml:space="preserve"> </w:t>
      </w:r>
      <w:r>
        <w:rPr>
          <w:rFonts w:ascii="Arial" w:hAnsi="Arial" w:cs="Arial"/>
          <w:sz w:val="20"/>
          <w:szCs w:val="20"/>
        </w:rPr>
        <w:t xml:space="preserve">N. </w:t>
      </w:r>
      <w:r>
        <w:rPr>
          <w:rFonts w:ascii="Arial" w:hAnsi="Arial" w:cs="Arial"/>
          <w:color w:val="000000" w:themeColor="text1"/>
          <w:sz w:val="20"/>
          <w:szCs w:val="20"/>
          <w:lang w:val="en-US"/>
        </w:rPr>
        <w:t>Rodley, ‘</w:t>
      </w:r>
      <w:r w:rsidRPr="00E81B1F">
        <w:rPr>
          <w:rFonts w:ascii="Arial" w:hAnsi="Arial" w:cs="Arial"/>
          <w:color w:val="000000" w:themeColor="text1"/>
          <w:sz w:val="20"/>
          <w:szCs w:val="20"/>
          <w:lang w:val="en-US"/>
        </w:rPr>
        <w:t>On the Necessity of United States Ratification of the International Human Rights Conventions</w:t>
      </w:r>
      <w:r>
        <w:rPr>
          <w:rFonts w:ascii="Arial" w:hAnsi="Arial" w:cs="Arial"/>
          <w:color w:val="000000" w:themeColor="text1"/>
          <w:sz w:val="20"/>
          <w:szCs w:val="20"/>
          <w:lang w:val="en-US"/>
        </w:rPr>
        <w:t>’</w:t>
      </w:r>
      <w:r w:rsidRPr="00E81B1F">
        <w:rPr>
          <w:rFonts w:ascii="Arial" w:hAnsi="Arial" w:cs="Arial"/>
          <w:color w:val="000000" w:themeColor="text1"/>
          <w:sz w:val="20"/>
          <w:szCs w:val="20"/>
          <w:lang w:val="en-US"/>
        </w:rPr>
        <w:t xml:space="preserve"> in </w:t>
      </w:r>
      <w:r>
        <w:rPr>
          <w:rFonts w:ascii="Arial" w:hAnsi="Arial" w:cs="Arial"/>
          <w:color w:val="000000" w:themeColor="text1"/>
          <w:sz w:val="20"/>
          <w:szCs w:val="20"/>
          <w:lang w:val="en-US"/>
        </w:rPr>
        <w:t xml:space="preserve">R. B. </w:t>
      </w:r>
      <w:r w:rsidRPr="00E81B1F">
        <w:rPr>
          <w:rFonts w:ascii="Arial" w:hAnsi="Arial" w:cs="Arial"/>
          <w:color w:val="000000" w:themeColor="text1"/>
          <w:sz w:val="20"/>
          <w:szCs w:val="20"/>
          <w:lang w:val="en-US"/>
        </w:rPr>
        <w:t>Lillich</w:t>
      </w:r>
      <w:r>
        <w:rPr>
          <w:rFonts w:ascii="Arial" w:hAnsi="Arial" w:cs="Arial"/>
          <w:color w:val="000000" w:themeColor="text1"/>
          <w:sz w:val="20"/>
          <w:szCs w:val="20"/>
          <w:lang w:val="en-US"/>
        </w:rPr>
        <w:t xml:space="preserve"> (ed.)</w:t>
      </w:r>
      <w:r w:rsidRPr="00E81B1F">
        <w:rPr>
          <w:rFonts w:ascii="Arial" w:hAnsi="Arial" w:cs="Arial"/>
          <w:color w:val="000000" w:themeColor="text1"/>
          <w:sz w:val="20"/>
          <w:szCs w:val="20"/>
          <w:lang w:val="en-US"/>
        </w:rPr>
        <w:t xml:space="preserve">, </w:t>
      </w:r>
      <w:r w:rsidRPr="00E81B1F">
        <w:rPr>
          <w:rFonts w:ascii="Arial" w:hAnsi="Arial" w:cs="Arial"/>
          <w:i/>
          <w:color w:val="000000" w:themeColor="text1"/>
          <w:sz w:val="20"/>
          <w:szCs w:val="20"/>
          <w:lang w:val="en-US"/>
        </w:rPr>
        <w:t>U.S. Ratification of the Human Rights Treaties: With or Without Reservations</w:t>
      </w:r>
      <w:r>
        <w:rPr>
          <w:rFonts w:ascii="Arial" w:hAnsi="Arial" w:cs="Arial"/>
          <w:color w:val="000000" w:themeColor="text1"/>
          <w:sz w:val="20"/>
          <w:szCs w:val="20"/>
          <w:lang w:val="en-US"/>
        </w:rPr>
        <w:t xml:space="preserve"> (Charlottesville: VUP</w:t>
      </w:r>
      <w:r w:rsidRPr="00A45ACE">
        <w:rPr>
          <w:rFonts w:ascii="Arial" w:hAnsi="Arial" w:cs="Arial"/>
          <w:sz w:val="20"/>
          <w:szCs w:val="20"/>
          <w:lang w:val="en-US"/>
        </w:rPr>
        <w:t xml:space="preserve"> </w:t>
      </w:r>
      <w:r>
        <w:rPr>
          <w:rFonts w:ascii="Arial" w:hAnsi="Arial" w:cs="Arial"/>
          <w:color w:val="000000" w:themeColor="text1"/>
          <w:sz w:val="20"/>
          <w:szCs w:val="20"/>
          <w:lang w:val="en-US"/>
        </w:rPr>
        <w:t>1981), p</w:t>
      </w:r>
      <w:r w:rsidRPr="00E81B1F">
        <w:rPr>
          <w:rFonts w:ascii="Arial" w:hAnsi="Arial" w:cs="Arial"/>
          <w:color w:val="000000" w:themeColor="text1"/>
          <w:sz w:val="20"/>
          <w:szCs w:val="20"/>
          <w:lang w:val="en-US"/>
        </w:rPr>
        <w:t xml:space="preserve"> 3 at p 18.</w:t>
      </w:r>
    </w:p>
  </w:footnote>
  <w:footnote w:id="80">
    <w:p w14:paraId="62176B2A" w14:textId="77777777" w:rsidR="001A5BF9" w:rsidRPr="00D33D58" w:rsidRDefault="001A5BF9" w:rsidP="003974DA">
      <w:pPr>
        <w:pStyle w:val="FootnoteText"/>
        <w:rPr>
          <w:rFonts w:ascii="Arial" w:hAnsi="Arial" w:cs="Arial"/>
          <w:sz w:val="20"/>
          <w:szCs w:val="20"/>
          <w:lang w:val="en-US"/>
        </w:rPr>
      </w:pPr>
      <w:r w:rsidRPr="00D33D58">
        <w:rPr>
          <w:rStyle w:val="FootnoteReference"/>
          <w:rFonts w:ascii="Arial" w:hAnsi="Arial" w:cs="Arial"/>
          <w:sz w:val="20"/>
          <w:szCs w:val="20"/>
        </w:rPr>
        <w:footnoteRef/>
      </w:r>
      <w:r w:rsidRPr="00D33D58">
        <w:rPr>
          <w:rFonts w:ascii="Arial" w:hAnsi="Arial" w:cs="Arial"/>
          <w:sz w:val="20"/>
          <w:szCs w:val="20"/>
        </w:rPr>
        <w:t xml:space="preserve"> </w:t>
      </w:r>
      <w:r w:rsidRPr="00D33D58">
        <w:rPr>
          <w:rFonts w:ascii="Arial" w:hAnsi="Arial" w:cs="Arial"/>
          <w:sz w:val="20"/>
          <w:szCs w:val="20"/>
          <w:lang w:val="en-US"/>
        </w:rPr>
        <w:t>N. Rodley, ‘United Nations Human Rights Treaty</w:t>
      </w:r>
      <w:r>
        <w:rPr>
          <w:rFonts w:ascii="Arial" w:hAnsi="Arial" w:cs="Arial"/>
          <w:sz w:val="20"/>
          <w:szCs w:val="20"/>
          <w:lang w:val="en-US"/>
        </w:rPr>
        <w:t xml:space="preserve"> Bodies and Special Procedures </w:t>
      </w:r>
      <w:r w:rsidRPr="00D33D58">
        <w:rPr>
          <w:rFonts w:ascii="Arial" w:hAnsi="Arial" w:cs="Arial"/>
          <w:sz w:val="20"/>
          <w:szCs w:val="20"/>
          <w:lang w:val="en-US"/>
        </w:rPr>
        <w:t xml:space="preserve">of the Commission on Human Rights: Complementary or Competition?’ (2003) 25 Human Rights </w:t>
      </w:r>
    </w:p>
    <w:p w14:paraId="37772777" w14:textId="77777777" w:rsidR="001A5BF9" w:rsidRPr="00D33D58" w:rsidRDefault="001A5BF9" w:rsidP="003974DA">
      <w:pPr>
        <w:pStyle w:val="FootnoteText"/>
        <w:rPr>
          <w:rFonts w:ascii="Arial" w:hAnsi="Arial" w:cs="Arial"/>
          <w:sz w:val="20"/>
          <w:szCs w:val="20"/>
          <w:lang w:val="en-US"/>
        </w:rPr>
      </w:pPr>
      <w:r>
        <w:rPr>
          <w:rFonts w:ascii="Arial" w:hAnsi="Arial" w:cs="Arial"/>
          <w:sz w:val="20"/>
          <w:szCs w:val="20"/>
          <w:lang w:val="en-US"/>
        </w:rPr>
        <w:t>Quarterly 882, 887.</w:t>
      </w:r>
    </w:p>
  </w:footnote>
  <w:footnote w:id="81">
    <w:p w14:paraId="7131C7B6" w14:textId="2065FC3B" w:rsidR="001A5BF9" w:rsidRPr="00C06786" w:rsidRDefault="001A5BF9" w:rsidP="003974DA">
      <w:pPr>
        <w:pStyle w:val="FootnoteText"/>
        <w:rPr>
          <w:rFonts w:ascii="Arial" w:hAnsi="Arial" w:cs="Arial"/>
          <w:sz w:val="20"/>
          <w:szCs w:val="20"/>
          <w:lang w:val="en-US"/>
        </w:rPr>
      </w:pPr>
      <w:r w:rsidRPr="00D33D58">
        <w:rPr>
          <w:rStyle w:val="FootnoteReference"/>
          <w:rFonts w:ascii="Arial" w:hAnsi="Arial" w:cs="Arial"/>
          <w:sz w:val="20"/>
          <w:szCs w:val="20"/>
        </w:rPr>
        <w:footnoteRef/>
      </w:r>
      <w:r w:rsidRPr="00D33D58">
        <w:rPr>
          <w:rFonts w:ascii="Arial" w:hAnsi="Arial" w:cs="Arial"/>
          <w:sz w:val="20"/>
          <w:szCs w:val="20"/>
        </w:rPr>
        <w:t xml:space="preserve"> </w:t>
      </w:r>
      <w:r w:rsidRPr="00C06786">
        <w:rPr>
          <w:rFonts w:ascii="Arial" w:hAnsi="Arial" w:cs="Arial"/>
          <w:sz w:val="20"/>
          <w:szCs w:val="20"/>
          <w:lang w:val="en-US"/>
        </w:rPr>
        <w:t>N</w:t>
      </w:r>
      <w:r>
        <w:rPr>
          <w:rFonts w:ascii="Arial" w:hAnsi="Arial" w:cs="Arial"/>
          <w:sz w:val="20"/>
          <w:szCs w:val="20"/>
          <w:lang w:val="en-US"/>
        </w:rPr>
        <w:t>.</w:t>
      </w:r>
      <w:r w:rsidRPr="00C06786">
        <w:rPr>
          <w:rFonts w:ascii="Arial" w:hAnsi="Arial" w:cs="Arial"/>
          <w:sz w:val="20"/>
          <w:szCs w:val="20"/>
          <w:lang w:val="en-US"/>
        </w:rPr>
        <w:t xml:space="preserve"> Rodley, ‘The Extraterritorial Reach and Applicability in Armed Conflict of the International Covenant on Civil and Political Rights: A Rejoinder to Dennis and Surena’, </w:t>
      </w:r>
      <w:r>
        <w:rPr>
          <w:rFonts w:ascii="Arial" w:hAnsi="Arial" w:cs="Arial"/>
          <w:i/>
          <w:sz w:val="20"/>
          <w:szCs w:val="20"/>
          <w:lang w:val="en-US"/>
        </w:rPr>
        <w:t xml:space="preserve">EHRLR </w:t>
      </w:r>
      <w:r w:rsidRPr="00C06786">
        <w:rPr>
          <w:rFonts w:ascii="Arial" w:hAnsi="Arial" w:cs="Arial"/>
          <w:sz w:val="20"/>
          <w:szCs w:val="20"/>
          <w:lang w:val="en-US"/>
        </w:rPr>
        <w:t>6 (2009): 628.  </w:t>
      </w:r>
    </w:p>
  </w:footnote>
  <w:footnote w:id="82">
    <w:p w14:paraId="1DC775E6" w14:textId="21C76640" w:rsidR="001A5BF9" w:rsidRPr="00BE4A82" w:rsidRDefault="001A5BF9" w:rsidP="003974DA">
      <w:pPr>
        <w:pStyle w:val="FootnoteText"/>
        <w:rPr>
          <w:rFonts w:ascii="Arial" w:hAnsi="Arial" w:cs="Arial"/>
          <w:sz w:val="20"/>
          <w:szCs w:val="20"/>
          <w:lang w:val="en-US"/>
        </w:rPr>
      </w:pPr>
      <w:r w:rsidRPr="00BE4A82">
        <w:rPr>
          <w:rStyle w:val="FootnoteReference"/>
          <w:rFonts w:ascii="Arial" w:hAnsi="Arial" w:cs="Arial"/>
          <w:sz w:val="20"/>
          <w:szCs w:val="20"/>
        </w:rPr>
        <w:footnoteRef/>
      </w:r>
      <w:r w:rsidRPr="00BE4A82">
        <w:rPr>
          <w:rFonts w:ascii="Arial" w:hAnsi="Arial" w:cs="Arial"/>
          <w:sz w:val="20"/>
          <w:szCs w:val="20"/>
        </w:rPr>
        <w:t xml:space="preserve"> </w:t>
      </w:r>
      <w:r>
        <w:rPr>
          <w:rFonts w:ascii="Arial" w:hAnsi="Arial" w:cs="Arial"/>
          <w:sz w:val="20"/>
          <w:szCs w:val="20"/>
        </w:rPr>
        <w:t xml:space="preserve">Sir N. Rodley, ‘The International Court of Justice and human rights treaty bodies’ in </w:t>
      </w:r>
      <w:r w:rsidRPr="00855DFA">
        <w:rPr>
          <w:rFonts w:ascii="Arial" w:hAnsi="Arial" w:cs="Arial"/>
          <w:sz w:val="20"/>
          <w:szCs w:val="20"/>
          <w:lang w:val="en-US"/>
        </w:rPr>
        <w:t>M</w:t>
      </w:r>
      <w:r>
        <w:rPr>
          <w:rFonts w:ascii="Arial" w:hAnsi="Arial" w:cs="Arial"/>
          <w:sz w:val="20"/>
          <w:szCs w:val="20"/>
          <w:lang w:val="en-US"/>
        </w:rPr>
        <w:t>.</w:t>
      </w:r>
      <w:r w:rsidRPr="00855DFA">
        <w:rPr>
          <w:rFonts w:ascii="Arial" w:hAnsi="Arial" w:cs="Arial"/>
          <w:sz w:val="20"/>
          <w:szCs w:val="20"/>
          <w:lang w:val="en-US"/>
        </w:rPr>
        <w:t xml:space="preserve"> A</w:t>
      </w:r>
      <w:r>
        <w:rPr>
          <w:rFonts w:ascii="Arial" w:hAnsi="Arial" w:cs="Arial"/>
          <w:sz w:val="20"/>
          <w:szCs w:val="20"/>
          <w:lang w:val="en-US"/>
        </w:rPr>
        <w:t xml:space="preserve">ndenas &amp; E. Bjorge (eds.), </w:t>
      </w:r>
      <w:r>
        <w:rPr>
          <w:rFonts w:ascii="Arial" w:hAnsi="Arial" w:cs="Arial"/>
          <w:i/>
          <w:sz w:val="20"/>
          <w:szCs w:val="20"/>
          <w:lang w:val="en-US"/>
        </w:rPr>
        <w:t xml:space="preserve">A Farewell to Fragmentation: Reassertion and Convergence in International Law </w:t>
      </w:r>
      <w:r>
        <w:rPr>
          <w:rFonts w:ascii="Arial" w:hAnsi="Arial" w:cs="Arial"/>
          <w:sz w:val="20"/>
          <w:szCs w:val="20"/>
          <w:lang w:val="en-US"/>
        </w:rPr>
        <w:t>(CUP 2015)</w:t>
      </w:r>
      <w:r>
        <w:rPr>
          <w:rFonts w:ascii="Arial" w:hAnsi="Arial" w:cs="Arial"/>
          <w:sz w:val="20"/>
          <w:szCs w:val="20"/>
        </w:rPr>
        <w:t>, p 97.</w:t>
      </w:r>
    </w:p>
  </w:footnote>
  <w:footnote w:id="83">
    <w:p w14:paraId="7C3407A7" w14:textId="33522F1F" w:rsidR="001A5BF9" w:rsidRPr="00A56176" w:rsidRDefault="001A5BF9">
      <w:pPr>
        <w:pStyle w:val="FootnoteText"/>
        <w:rPr>
          <w:rFonts w:ascii="Arial" w:hAnsi="Arial" w:cs="Arial"/>
          <w:sz w:val="20"/>
          <w:szCs w:val="20"/>
          <w:lang w:val="en-US"/>
        </w:rPr>
      </w:pPr>
      <w:r w:rsidRPr="00A56176">
        <w:rPr>
          <w:rStyle w:val="FootnoteReference"/>
          <w:rFonts w:ascii="Arial" w:hAnsi="Arial" w:cs="Arial"/>
          <w:sz w:val="20"/>
          <w:szCs w:val="20"/>
        </w:rPr>
        <w:footnoteRef/>
      </w:r>
      <w:r w:rsidRPr="00A56176">
        <w:rPr>
          <w:rFonts w:ascii="Arial" w:hAnsi="Arial" w:cs="Arial"/>
          <w:sz w:val="20"/>
          <w:szCs w:val="20"/>
        </w:rPr>
        <w:t xml:space="preserve"> </w:t>
      </w:r>
      <w:r>
        <w:rPr>
          <w:rFonts w:ascii="Arial" w:hAnsi="Arial" w:cs="Arial"/>
          <w:sz w:val="20"/>
          <w:szCs w:val="20"/>
        </w:rPr>
        <w:t>J. Klabbers, ‘On Human Rights Treaties, Contractual Conceptions and Reservations’ in Ziemele</w:t>
      </w:r>
      <w:r w:rsidRPr="0062754E">
        <w:rPr>
          <w:rFonts w:ascii="Arial" w:hAnsi="Arial" w:cs="Arial"/>
          <w:sz w:val="20"/>
          <w:szCs w:val="20"/>
        </w:rPr>
        <w:t xml:space="preserve"> (n 66), </w:t>
      </w:r>
      <w:r>
        <w:rPr>
          <w:rFonts w:ascii="Arial" w:hAnsi="Arial" w:cs="Arial"/>
          <w:sz w:val="20"/>
          <w:szCs w:val="20"/>
        </w:rPr>
        <w:t>p 149.</w:t>
      </w:r>
    </w:p>
  </w:footnote>
  <w:footnote w:id="84">
    <w:p w14:paraId="28917DC1" w14:textId="69FA50B3" w:rsidR="001A5BF9" w:rsidRPr="009D2D6A" w:rsidRDefault="001A5BF9">
      <w:pPr>
        <w:pStyle w:val="FootnoteText"/>
        <w:rPr>
          <w:rFonts w:ascii="Arial" w:hAnsi="Arial" w:cs="Arial"/>
          <w:sz w:val="20"/>
          <w:szCs w:val="20"/>
          <w:lang w:val="en-US"/>
        </w:rPr>
      </w:pPr>
      <w:r w:rsidRPr="009D2D6A">
        <w:rPr>
          <w:rStyle w:val="FootnoteReference"/>
          <w:rFonts w:ascii="Arial" w:hAnsi="Arial" w:cs="Arial"/>
          <w:sz w:val="20"/>
          <w:szCs w:val="20"/>
        </w:rPr>
        <w:footnoteRef/>
      </w:r>
      <w:r w:rsidRPr="009D2D6A">
        <w:rPr>
          <w:rFonts w:ascii="Arial" w:hAnsi="Arial" w:cs="Arial"/>
          <w:sz w:val="20"/>
          <w:szCs w:val="20"/>
        </w:rPr>
        <w:t xml:space="preserve"> </w:t>
      </w:r>
      <w:r w:rsidRPr="000C4442">
        <w:rPr>
          <w:rFonts w:ascii="Arial" w:hAnsi="Arial" w:cs="Arial"/>
          <w:sz w:val="20"/>
          <w:szCs w:val="20"/>
        </w:rPr>
        <w:t>[1951] ICJ Rep 15, 23.</w:t>
      </w:r>
    </w:p>
  </w:footnote>
  <w:footnote w:id="85">
    <w:p w14:paraId="3764FC0B" w14:textId="30FA533C" w:rsidR="001A5BF9" w:rsidRPr="0087321A" w:rsidRDefault="001A5BF9">
      <w:pPr>
        <w:pStyle w:val="FootnoteText"/>
        <w:rPr>
          <w:rFonts w:ascii="Arial" w:hAnsi="Arial" w:cs="Arial"/>
          <w:sz w:val="20"/>
          <w:szCs w:val="20"/>
          <w:lang w:val="en-US"/>
        </w:rPr>
      </w:pPr>
      <w:r w:rsidRPr="0087321A">
        <w:rPr>
          <w:rStyle w:val="FootnoteReference"/>
          <w:rFonts w:ascii="Arial" w:hAnsi="Arial" w:cs="Arial"/>
          <w:sz w:val="20"/>
          <w:szCs w:val="20"/>
        </w:rPr>
        <w:footnoteRef/>
      </w:r>
      <w:r w:rsidRPr="0087321A">
        <w:rPr>
          <w:rFonts w:ascii="Arial" w:hAnsi="Arial" w:cs="Arial"/>
          <w:sz w:val="20"/>
          <w:szCs w:val="20"/>
        </w:rPr>
        <w:t xml:space="preserve"> </w:t>
      </w:r>
      <w:r w:rsidRPr="005C6BE5">
        <w:rPr>
          <w:rFonts w:ascii="Arial" w:hAnsi="Arial" w:cs="Arial"/>
          <w:sz w:val="20"/>
          <w:szCs w:val="20"/>
        </w:rPr>
        <w:t>Sinclair (n 18),</w:t>
      </w:r>
      <w:r>
        <w:rPr>
          <w:rFonts w:ascii="Arial" w:hAnsi="Arial" w:cs="Arial"/>
          <w:sz w:val="20"/>
          <w:szCs w:val="20"/>
        </w:rPr>
        <w:t xml:space="preserve"> p 58.</w:t>
      </w:r>
    </w:p>
  </w:footnote>
  <w:footnote w:id="86">
    <w:p w14:paraId="14951430" w14:textId="59C8279E" w:rsidR="001A5BF9" w:rsidRPr="002A1AEE" w:rsidRDefault="001A5BF9">
      <w:pPr>
        <w:pStyle w:val="FootnoteText"/>
        <w:rPr>
          <w:rFonts w:ascii="Arial" w:hAnsi="Arial" w:cs="Arial"/>
          <w:sz w:val="20"/>
          <w:szCs w:val="20"/>
          <w:lang w:val="en-US"/>
        </w:rPr>
      </w:pPr>
      <w:r w:rsidRPr="002A1AEE">
        <w:rPr>
          <w:rStyle w:val="FootnoteReference"/>
          <w:rFonts w:ascii="Arial" w:hAnsi="Arial" w:cs="Arial"/>
          <w:sz w:val="20"/>
          <w:szCs w:val="20"/>
        </w:rPr>
        <w:footnoteRef/>
      </w:r>
      <w:r w:rsidRPr="002A1AEE">
        <w:rPr>
          <w:rFonts w:ascii="Arial" w:hAnsi="Arial" w:cs="Arial"/>
          <w:sz w:val="20"/>
          <w:szCs w:val="20"/>
        </w:rPr>
        <w:t xml:space="preserve"> </w:t>
      </w:r>
      <w:r>
        <w:rPr>
          <w:rFonts w:ascii="Arial" w:hAnsi="Arial" w:cs="Arial"/>
          <w:sz w:val="20"/>
          <w:szCs w:val="20"/>
        </w:rPr>
        <w:t>Ibid, pp. 58-59.</w:t>
      </w:r>
    </w:p>
  </w:footnote>
  <w:footnote w:id="87">
    <w:p w14:paraId="54DAB82A" w14:textId="09575E38" w:rsidR="001A5BF9" w:rsidRPr="00C14849" w:rsidRDefault="001A5BF9">
      <w:pPr>
        <w:pStyle w:val="FootnoteText"/>
        <w:rPr>
          <w:rFonts w:ascii="Arial" w:hAnsi="Arial" w:cs="Arial"/>
          <w:sz w:val="20"/>
          <w:szCs w:val="20"/>
          <w:lang w:val="en-US"/>
        </w:rPr>
      </w:pPr>
      <w:r w:rsidRPr="00C14849">
        <w:rPr>
          <w:rStyle w:val="FootnoteReference"/>
          <w:rFonts w:ascii="Arial" w:hAnsi="Arial" w:cs="Arial"/>
          <w:sz w:val="20"/>
          <w:szCs w:val="20"/>
        </w:rPr>
        <w:footnoteRef/>
      </w:r>
      <w:r w:rsidRPr="00C14849">
        <w:rPr>
          <w:rFonts w:ascii="Arial" w:hAnsi="Arial" w:cs="Arial"/>
          <w:sz w:val="20"/>
          <w:szCs w:val="20"/>
        </w:rPr>
        <w:t xml:space="preserve"> </w:t>
      </w:r>
      <w:r>
        <w:rPr>
          <w:rFonts w:ascii="Arial" w:hAnsi="Arial" w:cs="Arial"/>
          <w:i/>
          <w:sz w:val="20"/>
          <w:szCs w:val="20"/>
        </w:rPr>
        <w:t xml:space="preserve">Yearbook of the International Law Commission </w:t>
      </w:r>
      <w:r>
        <w:rPr>
          <w:rFonts w:ascii="Arial" w:hAnsi="Arial" w:cs="Arial"/>
          <w:sz w:val="20"/>
          <w:szCs w:val="20"/>
        </w:rPr>
        <w:t>(1951-II), 130-1.</w:t>
      </w:r>
    </w:p>
  </w:footnote>
  <w:footnote w:id="88">
    <w:p w14:paraId="2724BACE" w14:textId="1D167383" w:rsidR="001A5BF9" w:rsidRPr="00490EAB" w:rsidRDefault="001A5BF9">
      <w:pPr>
        <w:pStyle w:val="FootnoteText"/>
        <w:rPr>
          <w:rFonts w:ascii="Arial" w:hAnsi="Arial" w:cs="Arial"/>
          <w:sz w:val="20"/>
          <w:szCs w:val="20"/>
          <w:lang w:val="en-US"/>
        </w:rPr>
      </w:pPr>
      <w:r w:rsidRPr="00490EAB">
        <w:rPr>
          <w:rStyle w:val="FootnoteReference"/>
          <w:rFonts w:ascii="Arial" w:hAnsi="Arial" w:cs="Arial"/>
          <w:sz w:val="20"/>
          <w:szCs w:val="20"/>
        </w:rPr>
        <w:footnoteRef/>
      </w:r>
      <w:r w:rsidRPr="00490EAB">
        <w:rPr>
          <w:rFonts w:ascii="Arial" w:hAnsi="Arial" w:cs="Arial"/>
          <w:sz w:val="20"/>
          <w:szCs w:val="20"/>
        </w:rPr>
        <w:t xml:space="preserve"> </w:t>
      </w:r>
      <w:r w:rsidRPr="00A51C99">
        <w:rPr>
          <w:rFonts w:ascii="Arial" w:hAnsi="Arial" w:cs="Arial"/>
          <w:sz w:val="20"/>
          <w:szCs w:val="20"/>
        </w:rPr>
        <w:t>Sinclair (n 18),</w:t>
      </w:r>
      <w:r>
        <w:rPr>
          <w:rFonts w:ascii="Arial" w:hAnsi="Arial" w:cs="Arial"/>
          <w:sz w:val="20"/>
          <w:szCs w:val="20"/>
        </w:rPr>
        <w:t xml:space="preserve"> p 59; G.A. Resolution 598 (VI) of 12 January 1952.</w:t>
      </w:r>
    </w:p>
  </w:footnote>
  <w:footnote w:id="89">
    <w:p w14:paraId="1F3468D7" w14:textId="574E563F" w:rsidR="001A5BF9" w:rsidRPr="000F3748" w:rsidRDefault="001A5BF9">
      <w:pPr>
        <w:pStyle w:val="FootnoteText"/>
        <w:rPr>
          <w:rFonts w:ascii="Arial" w:hAnsi="Arial" w:cs="Arial"/>
          <w:sz w:val="20"/>
          <w:szCs w:val="20"/>
          <w:lang w:val="en-US"/>
        </w:rPr>
      </w:pPr>
      <w:r w:rsidRPr="000F3748">
        <w:rPr>
          <w:rStyle w:val="FootnoteReference"/>
          <w:rFonts w:ascii="Arial" w:hAnsi="Arial" w:cs="Arial"/>
          <w:sz w:val="20"/>
          <w:szCs w:val="20"/>
        </w:rPr>
        <w:footnoteRef/>
      </w:r>
      <w:r w:rsidRPr="000F3748">
        <w:rPr>
          <w:rFonts w:ascii="Arial" w:hAnsi="Arial" w:cs="Arial"/>
          <w:sz w:val="20"/>
          <w:szCs w:val="20"/>
        </w:rPr>
        <w:t xml:space="preserve"> </w:t>
      </w:r>
      <w:r>
        <w:rPr>
          <w:rFonts w:ascii="Arial" w:hAnsi="Arial" w:cs="Arial"/>
          <w:sz w:val="20"/>
          <w:szCs w:val="20"/>
        </w:rPr>
        <w:t xml:space="preserve">Fitzmaurice </w:t>
      </w:r>
      <w:r w:rsidRPr="001D1666">
        <w:rPr>
          <w:rFonts w:ascii="Arial" w:hAnsi="Arial" w:cs="Arial"/>
          <w:sz w:val="20"/>
          <w:szCs w:val="20"/>
        </w:rPr>
        <w:t>(n 11)</w:t>
      </w:r>
      <w:r w:rsidRPr="000F3748">
        <w:rPr>
          <w:rFonts w:ascii="Arial" w:hAnsi="Arial" w:cs="Arial"/>
          <w:color w:val="FF0000"/>
          <w:sz w:val="20"/>
          <w:szCs w:val="20"/>
        </w:rPr>
        <w:t xml:space="preserve"> </w:t>
      </w:r>
      <w:r>
        <w:rPr>
          <w:rFonts w:ascii="Arial" w:hAnsi="Arial" w:cs="Arial"/>
          <w:sz w:val="20"/>
          <w:szCs w:val="20"/>
        </w:rPr>
        <w:t xml:space="preserve">and </w:t>
      </w:r>
      <w:r>
        <w:rPr>
          <w:rFonts w:ascii="Arial" w:hAnsi="Arial"/>
          <w:sz w:val="20"/>
          <w:szCs w:val="20"/>
        </w:rPr>
        <w:t>H. Lauterpacht, ‘Some Possible Solutions of the Problem of Reservations to Treaties’ (1953) 39 GST 97</w:t>
      </w:r>
      <w:r>
        <w:rPr>
          <w:rFonts w:ascii="Arial" w:hAnsi="Arial" w:cs="Arial"/>
          <w:sz w:val="20"/>
          <w:szCs w:val="20"/>
        </w:rPr>
        <w:t>.</w:t>
      </w:r>
    </w:p>
  </w:footnote>
  <w:footnote w:id="90">
    <w:p w14:paraId="322AA3EC" w14:textId="470A4373" w:rsidR="001A5BF9" w:rsidRPr="00EC0476" w:rsidRDefault="001A5BF9">
      <w:pPr>
        <w:pStyle w:val="FootnoteText"/>
        <w:rPr>
          <w:rFonts w:ascii="Arial" w:hAnsi="Arial" w:cs="Arial"/>
          <w:sz w:val="20"/>
          <w:szCs w:val="20"/>
          <w:lang w:val="en-US"/>
        </w:rPr>
      </w:pPr>
      <w:r w:rsidRPr="009E7A43">
        <w:rPr>
          <w:rStyle w:val="FootnoteReference"/>
          <w:rFonts w:ascii="Arial" w:hAnsi="Arial" w:cs="Arial"/>
          <w:sz w:val="20"/>
          <w:szCs w:val="20"/>
        </w:rPr>
        <w:footnoteRef/>
      </w:r>
      <w:r>
        <w:rPr>
          <w:rFonts w:ascii="Arial" w:hAnsi="Arial" w:cs="Arial"/>
          <w:sz w:val="20"/>
          <w:szCs w:val="20"/>
        </w:rPr>
        <w:t xml:space="preserve"> </w:t>
      </w:r>
      <w:r>
        <w:rPr>
          <w:rFonts w:ascii="Arial" w:hAnsi="Arial" w:cs="Arial"/>
          <w:i/>
          <w:sz w:val="20"/>
          <w:szCs w:val="20"/>
        </w:rPr>
        <w:t xml:space="preserve">Yearbook of the International Law Commission </w:t>
      </w:r>
      <w:r>
        <w:rPr>
          <w:rFonts w:ascii="Arial" w:hAnsi="Arial" w:cs="Arial"/>
          <w:sz w:val="20"/>
          <w:szCs w:val="20"/>
        </w:rPr>
        <w:t>(1962-II), at 62-5.</w:t>
      </w:r>
    </w:p>
  </w:footnote>
  <w:footnote w:id="91">
    <w:p w14:paraId="5BF81BAC" w14:textId="7C6C1DB1" w:rsidR="001A5BF9" w:rsidRPr="00E23A4D" w:rsidRDefault="001A5BF9">
      <w:pPr>
        <w:pStyle w:val="FootnoteText"/>
        <w:rPr>
          <w:rFonts w:ascii="Arial" w:hAnsi="Arial" w:cs="Arial"/>
          <w:sz w:val="20"/>
          <w:szCs w:val="20"/>
          <w:lang w:val="en-US"/>
        </w:rPr>
      </w:pPr>
      <w:r w:rsidRPr="00E23A4D">
        <w:rPr>
          <w:rStyle w:val="FootnoteReference"/>
          <w:rFonts w:ascii="Arial" w:hAnsi="Arial" w:cs="Arial"/>
          <w:sz w:val="20"/>
          <w:szCs w:val="20"/>
        </w:rPr>
        <w:footnoteRef/>
      </w:r>
      <w:r w:rsidRPr="00E23A4D">
        <w:rPr>
          <w:rFonts w:ascii="Arial" w:hAnsi="Arial" w:cs="Arial"/>
          <w:sz w:val="20"/>
          <w:szCs w:val="20"/>
        </w:rPr>
        <w:t xml:space="preserve"> Ibid, at 178-9.</w:t>
      </w:r>
      <w:r>
        <w:rPr>
          <w:rFonts w:ascii="Arial" w:hAnsi="Arial" w:cs="Arial"/>
          <w:sz w:val="20"/>
          <w:szCs w:val="20"/>
        </w:rPr>
        <w:t xml:space="preserve"> The ILC decided that greater flexibility in the reservations system would allow each state to individually determine if it had to accept reservations and to view the reserving state as being party to the treaty. This was contrasted with the arguments that the reserving state would only be allowed to accept a reservation provided that it were approved by a majority of the other state parties. This is the system that has subsequently become part of the Convention.</w:t>
      </w:r>
    </w:p>
  </w:footnote>
  <w:footnote w:id="92">
    <w:p w14:paraId="30C99B27" w14:textId="3C9BDFB7" w:rsidR="001A5BF9" w:rsidRPr="00591612" w:rsidRDefault="001A5BF9">
      <w:pPr>
        <w:pStyle w:val="FootnoteText"/>
        <w:rPr>
          <w:rFonts w:ascii="Arial" w:hAnsi="Arial"/>
          <w:sz w:val="20"/>
          <w:szCs w:val="20"/>
          <w:lang w:val="en-US"/>
        </w:rPr>
      </w:pPr>
      <w:r w:rsidRPr="00591612">
        <w:rPr>
          <w:rStyle w:val="FootnoteReference"/>
          <w:rFonts w:ascii="Arial" w:hAnsi="Arial"/>
          <w:sz w:val="20"/>
          <w:szCs w:val="20"/>
        </w:rPr>
        <w:footnoteRef/>
      </w:r>
      <w:r w:rsidRPr="00591612">
        <w:rPr>
          <w:rFonts w:ascii="Arial" w:hAnsi="Arial"/>
          <w:sz w:val="20"/>
          <w:szCs w:val="20"/>
        </w:rPr>
        <w:t xml:space="preserve"> </w:t>
      </w:r>
      <w:r>
        <w:rPr>
          <w:rFonts w:ascii="Arial" w:hAnsi="Arial"/>
          <w:sz w:val="20"/>
          <w:szCs w:val="20"/>
        </w:rPr>
        <w:t xml:space="preserve">‘Consolidated text of all draft guidelines adopted by the Commission or proposed by the Special Rapporteur’, UN doc. A/CN.4/526/Add. 1 of 16 May 2002, point 1.1.3. But, the Special Rapporteur </w:t>
      </w:r>
      <w:r>
        <w:rPr>
          <w:rFonts w:ascii="Arial" w:hAnsi="Arial" w:cs="Arial"/>
          <w:color w:val="000000"/>
          <w:sz w:val="20"/>
          <w:szCs w:val="20"/>
        </w:rPr>
        <w:t xml:space="preserve">Alain Pellet later concluded that, </w:t>
      </w:r>
      <w:r>
        <w:rPr>
          <w:rFonts w:ascii="Arial" w:hAnsi="Arial"/>
          <w:sz w:val="20"/>
          <w:szCs w:val="20"/>
        </w:rPr>
        <w:t xml:space="preserve">in the context of the </w:t>
      </w:r>
      <w:r>
        <w:rPr>
          <w:rFonts w:ascii="Arial" w:hAnsi="Arial"/>
          <w:i/>
          <w:sz w:val="20"/>
          <w:szCs w:val="20"/>
        </w:rPr>
        <w:t>Ila</w:t>
      </w:r>
      <w:r w:rsidRPr="00591612">
        <w:rPr>
          <w:rFonts w:ascii="Arial" w:hAnsi="Arial" w:cs="Arial"/>
          <w:i/>
          <w:color w:val="000000"/>
          <w:sz w:val="20"/>
          <w:szCs w:val="20"/>
        </w:rPr>
        <w:t>şcu</w:t>
      </w:r>
      <w:r>
        <w:rPr>
          <w:rFonts w:ascii="Arial" w:hAnsi="Arial" w:cs="Arial"/>
          <w:i/>
          <w:color w:val="000000"/>
          <w:sz w:val="20"/>
          <w:szCs w:val="20"/>
        </w:rPr>
        <w:t xml:space="preserve"> </w:t>
      </w:r>
      <w:r>
        <w:rPr>
          <w:rFonts w:ascii="Arial" w:hAnsi="Arial" w:cs="Arial"/>
          <w:color w:val="000000"/>
          <w:sz w:val="20"/>
          <w:szCs w:val="20"/>
        </w:rPr>
        <w:t xml:space="preserve">decision, ‘insofar as the Court refers exclusively to the specific provisions of Article 57 of the European Convention, it might be excessive to draw overly categorical conclusions’. See A. Pellet, ‘Eighth Report on Reservations’, UN Doc. A/CN.4/535, at 25. </w:t>
      </w:r>
    </w:p>
  </w:footnote>
  <w:footnote w:id="93">
    <w:p w14:paraId="3B8D6DEB" w14:textId="7DAA3631" w:rsidR="001A5BF9" w:rsidRPr="00176E70" w:rsidRDefault="001A5BF9">
      <w:pPr>
        <w:pStyle w:val="FootnoteText"/>
        <w:rPr>
          <w:rFonts w:ascii="Arial" w:hAnsi="Arial" w:cs="Arial"/>
          <w:sz w:val="20"/>
          <w:szCs w:val="20"/>
          <w:lang w:val="en-US"/>
        </w:rPr>
      </w:pPr>
      <w:r w:rsidRPr="00176E70">
        <w:rPr>
          <w:rStyle w:val="FootnoteReference"/>
          <w:rFonts w:ascii="Arial" w:hAnsi="Arial" w:cs="Arial"/>
          <w:sz w:val="20"/>
          <w:szCs w:val="20"/>
        </w:rPr>
        <w:footnoteRef/>
      </w:r>
      <w:r w:rsidRPr="00176E70">
        <w:rPr>
          <w:rFonts w:ascii="Arial" w:hAnsi="Arial" w:cs="Arial"/>
          <w:sz w:val="20"/>
          <w:szCs w:val="20"/>
        </w:rPr>
        <w:t xml:space="preserve"> </w:t>
      </w:r>
      <w:r w:rsidRPr="009A7F2E">
        <w:rPr>
          <w:rFonts w:ascii="Arial" w:hAnsi="Arial" w:cs="Arial"/>
          <w:iCs/>
          <w:sz w:val="20"/>
          <w:szCs w:val="20"/>
          <w:lang w:val="en-US"/>
        </w:rPr>
        <w:t>ILC Report.</w:t>
      </w:r>
    </w:p>
  </w:footnote>
  <w:footnote w:id="94">
    <w:p w14:paraId="5AC48153" w14:textId="10FAEF62" w:rsidR="001A5BF9" w:rsidRPr="00B05411" w:rsidRDefault="001A5BF9">
      <w:pPr>
        <w:pStyle w:val="FootnoteText"/>
        <w:rPr>
          <w:rFonts w:ascii="Arial" w:hAnsi="Arial" w:cs="Arial"/>
          <w:sz w:val="20"/>
          <w:szCs w:val="20"/>
          <w:lang w:val="en-US"/>
        </w:rPr>
      </w:pPr>
      <w:r w:rsidRPr="00B05411">
        <w:rPr>
          <w:rStyle w:val="FootnoteReference"/>
          <w:rFonts w:ascii="Arial" w:hAnsi="Arial" w:cs="Arial"/>
          <w:sz w:val="20"/>
          <w:szCs w:val="20"/>
        </w:rPr>
        <w:footnoteRef/>
      </w:r>
      <w:r w:rsidRPr="00B05411">
        <w:rPr>
          <w:rFonts w:ascii="Arial" w:hAnsi="Arial" w:cs="Arial"/>
          <w:sz w:val="20"/>
          <w:szCs w:val="20"/>
        </w:rPr>
        <w:t xml:space="preserve"> </w:t>
      </w:r>
      <w:r w:rsidRPr="006C09BD">
        <w:rPr>
          <w:rFonts w:ascii="Arial" w:hAnsi="Arial" w:cs="Arial"/>
          <w:i/>
          <w:sz w:val="20"/>
          <w:szCs w:val="20"/>
        </w:rPr>
        <w:t xml:space="preserve">General Comment No. </w:t>
      </w:r>
      <w:r w:rsidRPr="005B010B">
        <w:rPr>
          <w:rFonts w:ascii="Arial" w:hAnsi="Arial" w:cs="Arial"/>
          <w:i/>
          <w:sz w:val="20"/>
          <w:szCs w:val="20"/>
        </w:rPr>
        <w:t>24</w:t>
      </w:r>
      <w:r w:rsidRPr="005B010B">
        <w:rPr>
          <w:rFonts w:ascii="Arial" w:hAnsi="Arial" w:cs="Arial"/>
          <w:sz w:val="20"/>
          <w:szCs w:val="20"/>
        </w:rPr>
        <w:t xml:space="preserve"> (n 67).</w:t>
      </w:r>
    </w:p>
  </w:footnote>
  <w:footnote w:id="95">
    <w:p w14:paraId="2C028A9D" w14:textId="1B16BD80" w:rsidR="001A5BF9" w:rsidRPr="00344EA0" w:rsidRDefault="001A5BF9" w:rsidP="00990B46">
      <w:pPr>
        <w:pStyle w:val="FootnoteText"/>
        <w:rPr>
          <w:rFonts w:ascii="Arial" w:hAnsi="Arial" w:cs="Arial"/>
          <w:sz w:val="20"/>
          <w:szCs w:val="20"/>
          <w:lang w:val="en-US"/>
        </w:rPr>
      </w:pPr>
      <w:r w:rsidRPr="00344EA0">
        <w:rPr>
          <w:rStyle w:val="FootnoteReference"/>
          <w:rFonts w:ascii="Arial" w:hAnsi="Arial" w:cs="Arial"/>
          <w:sz w:val="20"/>
          <w:szCs w:val="20"/>
        </w:rPr>
        <w:footnoteRef/>
      </w:r>
      <w:r w:rsidRPr="00344EA0">
        <w:rPr>
          <w:rFonts w:ascii="Arial" w:hAnsi="Arial" w:cs="Arial"/>
          <w:sz w:val="20"/>
          <w:szCs w:val="20"/>
        </w:rPr>
        <w:t xml:space="preserve"> </w:t>
      </w:r>
      <w:r>
        <w:rPr>
          <w:rFonts w:ascii="Arial" w:hAnsi="Arial" w:cs="Arial"/>
          <w:sz w:val="20"/>
          <w:szCs w:val="20"/>
        </w:rPr>
        <w:t xml:space="preserve">ILC Report, </w:t>
      </w:r>
      <w:r w:rsidRPr="00344EA0">
        <w:rPr>
          <w:rFonts w:ascii="Arial" w:hAnsi="Arial" w:cs="Arial"/>
          <w:sz w:val="20"/>
          <w:szCs w:val="20"/>
          <w:lang w:val="en-US"/>
        </w:rPr>
        <w:t xml:space="preserve">at </w:t>
      </w:r>
      <w:r>
        <w:rPr>
          <w:rFonts w:ascii="Arial" w:hAnsi="Arial" w:cs="Arial"/>
          <w:sz w:val="20"/>
          <w:szCs w:val="20"/>
          <w:lang w:val="en-US"/>
        </w:rPr>
        <w:t>95</w:t>
      </w:r>
      <w:r w:rsidRPr="00344EA0">
        <w:rPr>
          <w:rFonts w:ascii="Arial" w:hAnsi="Arial" w:cs="Arial"/>
          <w:sz w:val="20"/>
          <w:szCs w:val="20"/>
          <w:lang w:val="en-US"/>
        </w:rPr>
        <w:t xml:space="preserve">, </w:t>
      </w:r>
      <w:r>
        <w:rPr>
          <w:rFonts w:ascii="Arial" w:hAnsi="Arial" w:cs="Arial"/>
          <w:sz w:val="20"/>
          <w:szCs w:val="20"/>
          <w:lang w:val="en-US"/>
        </w:rPr>
        <w:t>50.</w:t>
      </w:r>
    </w:p>
  </w:footnote>
  <w:footnote w:id="96">
    <w:p w14:paraId="658FDC10" w14:textId="7229D783" w:rsidR="001A5BF9" w:rsidRPr="002E7E04" w:rsidRDefault="001A5BF9">
      <w:pPr>
        <w:pStyle w:val="FootnoteText"/>
        <w:rPr>
          <w:rFonts w:ascii="Arial" w:hAnsi="Arial" w:cs="Arial"/>
          <w:sz w:val="20"/>
          <w:szCs w:val="20"/>
          <w:lang w:val="en-US"/>
        </w:rPr>
      </w:pPr>
      <w:r w:rsidRPr="002E7E04">
        <w:rPr>
          <w:rStyle w:val="FootnoteReference"/>
          <w:rFonts w:ascii="Arial" w:hAnsi="Arial" w:cs="Arial"/>
          <w:sz w:val="20"/>
          <w:szCs w:val="20"/>
        </w:rPr>
        <w:footnoteRef/>
      </w:r>
      <w:r w:rsidRPr="002E7E04">
        <w:rPr>
          <w:rFonts w:ascii="Arial" w:hAnsi="Arial" w:cs="Arial"/>
          <w:sz w:val="20"/>
          <w:szCs w:val="20"/>
        </w:rPr>
        <w:t xml:space="preserve"> </w:t>
      </w:r>
      <w:r>
        <w:rPr>
          <w:rFonts w:ascii="Arial" w:hAnsi="Arial" w:cs="Arial"/>
          <w:sz w:val="20"/>
          <w:szCs w:val="20"/>
        </w:rPr>
        <w:t xml:space="preserve">In fact, Pellet produced so much work concerning reservations for the ILC that he even became the subject of gentle parody. </w:t>
      </w:r>
      <w:r w:rsidRPr="002E7E04">
        <w:rPr>
          <w:rFonts w:ascii="Arial" w:hAnsi="Arial" w:cs="Arial"/>
          <w:sz w:val="20"/>
          <w:szCs w:val="20"/>
          <w:lang w:val="en-US"/>
        </w:rPr>
        <w:t xml:space="preserve">See </w:t>
      </w:r>
      <w:r>
        <w:rPr>
          <w:rFonts w:ascii="Arial" w:hAnsi="Arial" w:cs="Arial"/>
          <w:sz w:val="20"/>
          <w:szCs w:val="20"/>
          <w:lang w:val="en-US"/>
        </w:rPr>
        <w:t xml:space="preserve">R. </w:t>
      </w:r>
      <w:r w:rsidRPr="002E7E04">
        <w:rPr>
          <w:rFonts w:ascii="Arial" w:hAnsi="Arial" w:cs="Arial"/>
          <w:sz w:val="20"/>
          <w:szCs w:val="20"/>
          <w:lang w:val="en-US"/>
        </w:rPr>
        <w:t>O’Keefe, ‘Once U</w:t>
      </w:r>
      <w:r>
        <w:rPr>
          <w:rFonts w:ascii="Arial" w:hAnsi="Arial" w:cs="Arial"/>
          <w:sz w:val="20"/>
          <w:szCs w:val="20"/>
          <w:lang w:val="en-US"/>
        </w:rPr>
        <w:t>pon a Time There was a Gap…</w:t>
      </w:r>
      <w:r w:rsidRPr="002E7E04">
        <w:rPr>
          <w:rFonts w:ascii="Arial" w:hAnsi="Arial" w:cs="Arial"/>
          <w:sz w:val="20"/>
          <w:szCs w:val="20"/>
          <w:lang w:val="en-US"/>
        </w:rPr>
        <w:t xml:space="preserve">’, </w:t>
      </w:r>
      <w:r w:rsidRPr="002E7E04">
        <w:rPr>
          <w:rFonts w:ascii="Arial" w:hAnsi="Arial" w:cs="Arial"/>
          <w:i/>
          <w:iCs/>
          <w:sz w:val="20"/>
          <w:szCs w:val="20"/>
          <w:lang w:val="en-US"/>
        </w:rPr>
        <w:t>EJIL: Talk!</w:t>
      </w:r>
      <w:r>
        <w:rPr>
          <w:rFonts w:ascii="Arial" w:hAnsi="Arial" w:cs="Arial"/>
          <w:sz w:val="20"/>
          <w:szCs w:val="20"/>
          <w:lang w:val="en-US"/>
        </w:rPr>
        <w:t xml:space="preserve"> (</w:t>
      </w:r>
      <w:r w:rsidRPr="002E7E04">
        <w:rPr>
          <w:rFonts w:ascii="Arial" w:hAnsi="Arial" w:cs="Arial"/>
          <w:sz w:val="20"/>
          <w:szCs w:val="20"/>
          <w:lang w:val="en-US"/>
        </w:rPr>
        <w:t>8</w:t>
      </w:r>
      <w:r>
        <w:rPr>
          <w:rFonts w:ascii="Arial" w:hAnsi="Arial" w:cs="Arial"/>
          <w:sz w:val="20"/>
          <w:szCs w:val="20"/>
          <w:lang w:val="en-US"/>
        </w:rPr>
        <w:t>/12/</w:t>
      </w:r>
      <w:r w:rsidRPr="002E7E04">
        <w:rPr>
          <w:rFonts w:ascii="Arial" w:hAnsi="Arial" w:cs="Arial"/>
          <w:sz w:val="20"/>
          <w:szCs w:val="20"/>
          <w:lang w:val="en-US"/>
        </w:rPr>
        <w:t>2010</w:t>
      </w:r>
      <w:r>
        <w:rPr>
          <w:rFonts w:ascii="Arial" w:hAnsi="Arial" w:cs="Arial"/>
          <w:sz w:val="20"/>
          <w:szCs w:val="20"/>
          <w:lang w:val="en-US"/>
        </w:rPr>
        <w:t>).</w:t>
      </w:r>
      <w:r w:rsidRPr="002E7E04">
        <w:rPr>
          <w:rFonts w:ascii="Arial" w:hAnsi="Arial" w:cs="Arial"/>
          <w:sz w:val="20"/>
          <w:szCs w:val="20"/>
          <w:lang w:val="en-US"/>
        </w:rPr>
        <w:t xml:space="preserve"> </w:t>
      </w:r>
      <w:r>
        <w:rPr>
          <w:rFonts w:ascii="Arial" w:hAnsi="Arial" w:cs="Arial"/>
          <w:sz w:val="20"/>
          <w:szCs w:val="20"/>
          <w:lang w:val="en-US"/>
        </w:rPr>
        <w:t>A</w:t>
      </w:r>
      <w:r w:rsidRPr="002E7E04">
        <w:rPr>
          <w:rFonts w:ascii="Arial" w:hAnsi="Arial" w:cs="Arial"/>
          <w:sz w:val="20"/>
          <w:szCs w:val="20"/>
          <w:lang w:val="en-US"/>
        </w:rPr>
        <w:t xml:space="preserve">vailable at: </w:t>
      </w:r>
      <w:r>
        <w:rPr>
          <w:rFonts w:ascii="Arial" w:hAnsi="Arial" w:cs="Arial"/>
          <w:sz w:val="20"/>
          <w:szCs w:val="20"/>
          <w:lang w:val="en-US"/>
        </w:rPr>
        <w:t>&lt;</w:t>
      </w:r>
      <w:r w:rsidRPr="002E7E04">
        <w:rPr>
          <w:rFonts w:ascii="Arial" w:hAnsi="Arial" w:cs="Arial"/>
          <w:sz w:val="20"/>
          <w:szCs w:val="20"/>
          <w:lang w:val="en-US"/>
        </w:rPr>
        <w:t>www.ejiltalk. org/once-upon-a-time-there-was-a-gap-%E2%80%A6/</w:t>
      </w:r>
      <w:r>
        <w:rPr>
          <w:rFonts w:ascii="Arial" w:hAnsi="Arial" w:cs="Arial"/>
          <w:sz w:val="20"/>
          <w:szCs w:val="20"/>
          <w:lang w:val="en-US"/>
        </w:rPr>
        <w:t>&gt;</w:t>
      </w:r>
      <w:r w:rsidRPr="002E7E04">
        <w:rPr>
          <w:rFonts w:ascii="Arial" w:hAnsi="Arial" w:cs="Arial"/>
          <w:sz w:val="20"/>
          <w:szCs w:val="20"/>
          <w:lang w:val="en-US"/>
        </w:rPr>
        <w:t xml:space="preserve"> </w:t>
      </w:r>
      <w:r>
        <w:rPr>
          <w:rFonts w:ascii="Arial" w:hAnsi="Arial" w:cs="Arial"/>
          <w:sz w:val="20"/>
          <w:szCs w:val="20"/>
          <w:lang w:val="en-US"/>
        </w:rPr>
        <w:t>Date accessed: 17</w:t>
      </w:r>
      <w:r>
        <w:rPr>
          <w:rFonts w:ascii="Arial" w:hAnsi="Arial" w:cs="Arial"/>
          <w:sz w:val="20"/>
          <w:szCs w:val="20"/>
          <w:vertAlign w:val="superscript"/>
          <w:lang w:val="en-US"/>
        </w:rPr>
        <w:t xml:space="preserve"> </w:t>
      </w:r>
      <w:r>
        <w:rPr>
          <w:rFonts w:ascii="Arial" w:hAnsi="Arial" w:cs="Arial"/>
          <w:sz w:val="20"/>
          <w:szCs w:val="20"/>
          <w:lang w:val="en-US"/>
        </w:rPr>
        <w:t>July 2017.</w:t>
      </w:r>
    </w:p>
  </w:footnote>
  <w:footnote w:id="97">
    <w:p w14:paraId="34BB665E" w14:textId="12A5CF5A" w:rsidR="001A5BF9" w:rsidRPr="00091CA6" w:rsidRDefault="001A5BF9">
      <w:pPr>
        <w:pStyle w:val="FootnoteText"/>
        <w:rPr>
          <w:rFonts w:ascii="Arial" w:hAnsi="Arial" w:cs="Arial"/>
          <w:sz w:val="20"/>
          <w:szCs w:val="20"/>
          <w:lang w:val="en-US"/>
        </w:rPr>
      </w:pPr>
      <w:r w:rsidRPr="00091CA6">
        <w:rPr>
          <w:rStyle w:val="FootnoteReference"/>
          <w:rFonts w:ascii="Arial" w:hAnsi="Arial" w:cs="Arial"/>
          <w:sz w:val="20"/>
          <w:szCs w:val="20"/>
        </w:rPr>
        <w:footnoteRef/>
      </w:r>
      <w:r w:rsidRPr="00091CA6">
        <w:rPr>
          <w:rFonts w:ascii="Arial" w:hAnsi="Arial" w:cs="Arial"/>
          <w:sz w:val="20"/>
          <w:szCs w:val="20"/>
        </w:rPr>
        <w:t xml:space="preserve"> </w:t>
      </w:r>
      <w:r w:rsidRPr="004D1594">
        <w:rPr>
          <w:rFonts w:ascii="Arial" w:hAnsi="Arial" w:cs="Arial"/>
          <w:sz w:val="20"/>
          <w:szCs w:val="20"/>
          <w:lang w:val="en-US"/>
        </w:rPr>
        <w:t>E</w:t>
      </w:r>
      <w:r>
        <w:rPr>
          <w:rFonts w:ascii="Arial" w:hAnsi="Arial" w:cs="Arial"/>
          <w:sz w:val="20"/>
          <w:szCs w:val="20"/>
          <w:lang w:val="en-US"/>
        </w:rPr>
        <w:t>.</w:t>
      </w:r>
      <w:r w:rsidRPr="004D1594">
        <w:rPr>
          <w:rFonts w:ascii="Arial" w:hAnsi="Arial" w:cs="Arial"/>
          <w:sz w:val="20"/>
          <w:szCs w:val="20"/>
          <w:lang w:val="en-US"/>
        </w:rPr>
        <w:t xml:space="preserve"> A. Baylis</w:t>
      </w:r>
      <w:r>
        <w:rPr>
          <w:rFonts w:ascii="Arial" w:hAnsi="Arial" w:cs="Arial"/>
          <w:sz w:val="20"/>
          <w:szCs w:val="20"/>
          <w:lang w:val="en-US"/>
        </w:rPr>
        <w:t xml:space="preserve">, </w:t>
      </w:r>
      <w:r w:rsidRPr="00EE2C20">
        <w:rPr>
          <w:rFonts w:ascii="Arial" w:hAnsi="Arial" w:cs="Arial"/>
          <w:sz w:val="20"/>
          <w:szCs w:val="20"/>
          <w:lang w:val="en-US"/>
        </w:rPr>
        <w:t>‘General Comment 24: Confronting the Problem of Reservations to Human Rights Treaties’,</w:t>
      </w:r>
      <w:r>
        <w:rPr>
          <w:rFonts w:ascii="Arial" w:hAnsi="Arial" w:cs="Arial"/>
          <w:sz w:val="20"/>
          <w:szCs w:val="20"/>
          <w:lang w:val="en-US"/>
        </w:rPr>
        <w:t xml:space="preserve"> </w:t>
      </w:r>
      <w:r w:rsidRPr="004D1594">
        <w:rPr>
          <w:rFonts w:ascii="Arial" w:hAnsi="Arial" w:cs="Arial"/>
          <w:sz w:val="20"/>
          <w:szCs w:val="20"/>
          <w:lang w:val="en-US"/>
        </w:rPr>
        <w:t xml:space="preserve">17 </w:t>
      </w:r>
      <w:r w:rsidRPr="00EE2C20">
        <w:rPr>
          <w:rFonts w:ascii="Arial" w:hAnsi="Arial" w:cs="Arial"/>
          <w:i/>
          <w:sz w:val="20"/>
          <w:szCs w:val="20"/>
          <w:lang w:val="en-US"/>
        </w:rPr>
        <w:t>BJIL</w:t>
      </w:r>
      <w:r w:rsidRPr="004D1594">
        <w:rPr>
          <w:rFonts w:ascii="Arial" w:hAnsi="Arial" w:cs="Arial"/>
          <w:sz w:val="20"/>
          <w:szCs w:val="20"/>
          <w:lang w:val="en-US"/>
        </w:rPr>
        <w:t xml:space="preserve"> </w:t>
      </w:r>
      <w:r>
        <w:rPr>
          <w:rFonts w:ascii="Arial" w:hAnsi="Arial" w:cs="Arial"/>
          <w:sz w:val="20"/>
          <w:szCs w:val="20"/>
          <w:lang w:val="en-US"/>
        </w:rPr>
        <w:t>277 (1999)</w:t>
      </w:r>
      <w:r>
        <w:rPr>
          <w:rFonts w:ascii="Arial" w:hAnsi="Arial" w:cs="Arial"/>
          <w:sz w:val="20"/>
          <w:szCs w:val="20"/>
        </w:rPr>
        <w:t>, p 322.</w:t>
      </w:r>
    </w:p>
  </w:footnote>
  <w:footnote w:id="98">
    <w:p w14:paraId="385D5B1E" w14:textId="68F60A00" w:rsidR="001A5BF9" w:rsidRPr="00091CA6" w:rsidRDefault="001A5BF9">
      <w:pPr>
        <w:pStyle w:val="FootnoteText"/>
        <w:rPr>
          <w:rFonts w:ascii="Arial" w:hAnsi="Arial" w:cs="Arial"/>
          <w:sz w:val="20"/>
          <w:szCs w:val="20"/>
          <w:lang w:val="en-US"/>
        </w:rPr>
      </w:pPr>
      <w:r w:rsidRPr="00091CA6">
        <w:rPr>
          <w:rStyle w:val="FootnoteReference"/>
          <w:rFonts w:ascii="Arial" w:hAnsi="Arial" w:cs="Arial"/>
          <w:sz w:val="20"/>
          <w:szCs w:val="20"/>
        </w:rPr>
        <w:footnoteRef/>
      </w:r>
      <w:r w:rsidRPr="00091CA6">
        <w:rPr>
          <w:rFonts w:ascii="Arial" w:hAnsi="Arial" w:cs="Arial"/>
          <w:sz w:val="20"/>
          <w:szCs w:val="20"/>
        </w:rPr>
        <w:t xml:space="preserve"> </w:t>
      </w:r>
      <w:r>
        <w:rPr>
          <w:rFonts w:ascii="Arial" w:hAnsi="Arial" w:cs="Arial"/>
          <w:sz w:val="20"/>
          <w:szCs w:val="20"/>
        </w:rPr>
        <w:t>ILC Report, at 103-07, 75-87, 116-23, 124-46.</w:t>
      </w:r>
    </w:p>
  </w:footnote>
  <w:footnote w:id="99">
    <w:p w14:paraId="7B2861D4" w14:textId="77777777" w:rsidR="001A5BF9" w:rsidRPr="007B5066" w:rsidRDefault="001A5BF9" w:rsidP="00B70689">
      <w:pPr>
        <w:pStyle w:val="FootnoteText"/>
        <w:rPr>
          <w:rFonts w:ascii="Arial" w:hAnsi="Arial" w:cs="Arial"/>
          <w:sz w:val="20"/>
          <w:szCs w:val="20"/>
          <w:lang w:val="en-US"/>
        </w:rPr>
      </w:pPr>
      <w:r w:rsidRPr="007B5066">
        <w:rPr>
          <w:rStyle w:val="FootnoteReference"/>
          <w:rFonts w:ascii="Arial" w:hAnsi="Arial" w:cs="Arial"/>
          <w:sz w:val="20"/>
          <w:szCs w:val="20"/>
        </w:rPr>
        <w:footnoteRef/>
      </w:r>
      <w:r w:rsidRPr="007B5066">
        <w:rPr>
          <w:rFonts w:ascii="Arial" w:hAnsi="Arial" w:cs="Arial"/>
          <w:sz w:val="20"/>
          <w:szCs w:val="20"/>
        </w:rPr>
        <w:t xml:space="preserve"> </w:t>
      </w:r>
      <w:r w:rsidRPr="007B5066">
        <w:rPr>
          <w:rFonts w:ascii="Arial" w:hAnsi="Arial" w:cs="Arial"/>
          <w:sz w:val="20"/>
          <w:szCs w:val="20"/>
          <w:lang w:val="en-US"/>
        </w:rPr>
        <w:t xml:space="preserve">UN Doc A/CN.4/L.540 (1997). </w:t>
      </w:r>
    </w:p>
  </w:footnote>
  <w:footnote w:id="100">
    <w:p w14:paraId="5518FAF0" w14:textId="114EC0C0" w:rsidR="001A5BF9" w:rsidRPr="00E03F7F" w:rsidRDefault="001A5BF9">
      <w:pPr>
        <w:pStyle w:val="FootnoteText"/>
        <w:rPr>
          <w:rFonts w:ascii="Arial" w:hAnsi="Arial" w:cs="Arial"/>
          <w:sz w:val="20"/>
          <w:szCs w:val="20"/>
          <w:lang w:val="en-US"/>
        </w:rPr>
      </w:pPr>
      <w:r w:rsidRPr="00E03F7F">
        <w:rPr>
          <w:rStyle w:val="FootnoteReference"/>
          <w:rFonts w:ascii="Arial" w:hAnsi="Arial" w:cs="Arial"/>
          <w:sz w:val="20"/>
          <w:szCs w:val="20"/>
        </w:rPr>
        <w:footnoteRef/>
      </w:r>
      <w:r w:rsidRPr="00E03F7F">
        <w:rPr>
          <w:rFonts w:ascii="Arial" w:hAnsi="Arial" w:cs="Arial"/>
          <w:sz w:val="20"/>
          <w:szCs w:val="20"/>
        </w:rPr>
        <w:t xml:space="preserve"> </w:t>
      </w:r>
      <w:r>
        <w:rPr>
          <w:rFonts w:ascii="Arial" w:hAnsi="Arial" w:cs="Arial"/>
          <w:sz w:val="20"/>
          <w:szCs w:val="20"/>
        </w:rPr>
        <w:t xml:space="preserve">ILC Report, </w:t>
      </w:r>
      <w:r w:rsidRPr="00344EA0">
        <w:rPr>
          <w:rFonts w:ascii="Arial" w:hAnsi="Arial" w:cs="Arial"/>
          <w:sz w:val="20"/>
          <w:szCs w:val="20"/>
          <w:lang w:val="en-US"/>
        </w:rPr>
        <w:t xml:space="preserve">at </w:t>
      </w:r>
      <w:r>
        <w:rPr>
          <w:rFonts w:ascii="Arial" w:hAnsi="Arial" w:cs="Arial"/>
          <w:sz w:val="20"/>
          <w:szCs w:val="20"/>
          <w:lang w:val="en-US"/>
        </w:rPr>
        <w:t xml:space="preserve">126-127. </w:t>
      </w:r>
      <w:r w:rsidRPr="00BF47CF">
        <w:rPr>
          <w:rFonts w:ascii="Arial" w:hAnsi="Arial" w:cs="Arial"/>
          <w:sz w:val="20"/>
          <w:szCs w:val="20"/>
          <w:lang w:val="en-US"/>
        </w:rPr>
        <w:t xml:space="preserve">The ILC </w:t>
      </w:r>
      <w:r>
        <w:rPr>
          <w:rFonts w:ascii="Arial" w:hAnsi="Arial" w:cs="Arial"/>
          <w:sz w:val="20"/>
          <w:szCs w:val="20"/>
          <w:lang w:val="en-US"/>
        </w:rPr>
        <w:t>supported</w:t>
      </w:r>
      <w:r w:rsidRPr="00BF47CF">
        <w:rPr>
          <w:rFonts w:ascii="Arial" w:hAnsi="Arial" w:cs="Arial"/>
          <w:sz w:val="20"/>
          <w:szCs w:val="20"/>
          <w:lang w:val="en-US"/>
        </w:rPr>
        <w:t xml:space="preserve"> the Committee</w:t>
      </w:r>
      <w:r>
        <w:rPr>
          <w:rFonts w:ascii="Arial" w:hAnsi="Arial" w:cs="Arial"/>
          <w:sz w:val="20"/>
          <w:szCs w:val="20"/>
          <w:lang w:val="en-US"/>
        </w:rPr>
        <w:t>’</w:t>
      </w:r>
      <w:r w:rsidRPr="00BF47CF">
        <w:rPr>
          <w:rFonts w:ascii="Arial" w:hAnsi="Arial" w:cs="Arial"/>
          <w:sz w:val="20"/>
          <w:szCs w:val="20"/>
          <w:lang w:val="en-US"/>
        </w:rPr>
        <w:t xml:space="preserve">s </w:t>
      </w:r>
      <w:r>
        <w:rPr>
          <w:rFonts w:ascii="Arial" w:hAnsi="Arial" w:cs="Arial"/>
          <w:sz w:val="20"/>
          <w:szCs w:val="20"/>
          <w:lang w:val="en-US"/>
        </w:rPr>
        <w:t>claimed authority</w:t>
      </w:r>
      <w:r w:rsidRPr="00BF47CF">
        <w:rPr>
          <w:rFonts w:ascii="Arial" w:hAnsi="Arial" w:cs="Arial"/>
          <w:sz w:val="20"/>
          <w:szCs w:val="20"/>
          <w:lang w:val="en-US"/>
        </w:rPr>
        <w:t xml:space="preserve"> to </w:t>
      </w:r>
      <w:r>
        <w:rPr>
          <w:rFonts w:ascii="Arial" w:hAnsi="Arial" w:cs="Arial"/>
          <w:sz w:val="20"/>
          <w:szCs w:val="20"/>
          <w:lang w:val="en-US"/>
        </w:rPr>
        <w:t xml:space="preserve">assess </w:t>
      </w:r>
      <w:r w:rsidRPr="00BF47CF">
        <w:rPr>
          <w:rFonts w:ascii="Arial" w:hAnsi="Arial" w:cs="Arial"/>
          <w:sz w:val="20"/>
          <w:szCs w:val="20"/>
          <w:lang w:val="en-US"/>
        </w:rPr>
        <w:t xml:space="preserve">reservations </w:t>
      </w:r>
      <w:r>
        <w:rPr>
          <w:rFonts w:ascii="Arial" w:hAnsi="Arial" w:cs="Arial"/>
          <w:sz w:val="20"/>
          <w:szCs w:val="20"/>
          <w:lang w:val="en-US"/>
        </w:rPr>
        <w:t>in its capacity</w:t>
      </w:r>
      <w:r w:rsidRPr="00BF47CF">
        <w:rPr>
          <w:rFonts w:ascii="Arial" w:hAnsi="Arial" w:cs="Arial"/>
          <w:sz w:val="20"/>
          <w:szCs w:val="20"/>
          <w:lang w:val="en-US"/>
        </w:rPr>
        <w:t xml:space="preserve"> as a </w:t>
      </w:r>
      <w:r>
        <w:rPr>
          <w:rFonts w:ascii="Arial" w:hAnsi="Arial" w:cs="Arial"/>
          <w:sz w:val="20"/>
          <w:szCs w:val="20"/>
          <w:lang w:val="en-US"/>
        </w:rPr>
        <w:t xml:space="preserve">monitoring body for the Covenant, which accorded it the status it deserved for </w:t>
      </w:r>
      <w:r w:rsidRPr="00BF47CF">
        <w:rPr>
          <w:rFonts w:ascii="Arial" w:hAnsi="Arial" w:cs="Arial"/>
          <w:sz w:val="20"/>
          <w:szCs w:val="20"/>
          <w:lang w:val="en-US"/>
        </w:rPr>
        <w:t xml:space="preserve">states </w:t>
      </w:r>
      <w:r>
        <w:rPr>
          <w:rFonts w:ascii="Arial" w:hAnsi="Arial" w:cs="Arial"/>
          <w:sz w:val="20"/>
          <w:szCs w:val="20"/>
          <w:lang w:val="en-US"/>
        </w:rPr>
        <w:t xml:space="preserve">party to treaties </w:t>
      </w:r>
      <w:r w:rsidRPr="00BF47CF">
        <w:rPr>
          <w:rFonts w:ascii="Arial" w:hAnsi="Arial" w:cs="Arial"/>
          <w:sz w:val="20"/>
          <w:szCs w:val="20"/>
          <w:lang w:val="en-US"/>
        </w:rPr>
        <w:t xml:space="preserve">to </w:t>
      </w:r>
      <w:r>
        <w:rPr>
          <w:rFonts w:ascii="Arial" w:hAnsi="Arial" w:cs="Arial"/>
          <w:sz w:val="20"/>
          <w:szCs w:val="20"/>
          <w:lang w:val="en-US"/>
        </w:rPr>
        <w:t>“</w:t>
      </w:r>
      <w:r w:rsidRPr="00BF47CF">
        <w:rPr>
          <w:rFonts w:ascii="Arial" w:hAnsi="Arial" w:cs="Arial"/>
          <w:sz w:val="20"/>
          <w:szCs w:val="20"/>
          <w:lang w:val="en-US"/>
        </w:rPr>
        <w:t>cooperate</w:t>
      </w:r>
      <w:r>
        <w:rPr>
          <w:rFonts w:ascii="Arial" w:hAnsi="Arial" w:cs="Arial"/>
          <w:sz w:val="20"/>
          <w:szCs w:val="20"/>
          <w:lang w:val="en-US"/>
        </w:rPr>
        <w:t>”</w:t>
      </w:r>
      <w:r w:rsidRPr="00BF47CF">
        <w:rPr>
          <w:rFonts w:ascii="Arial" w:hAnsi="Arial" w:cs="Arial"/>
          <w:sz w:val="20"/>
          <w:szCs w:val="20"/>
          <w:lang w:val="en-US"/>
        </w:rPr>
        <w:t xml:space="preserve"> with</w:t>
      </w:r>
      <w:r>
        <w:rPr>
          <w:rFonts w:ascii="Arial" w:hAnsi="Arial" w:cs="Arial"/>
          <w:sz w:val="20"/>
          <w:szCs w:val="20"/>
          <w:lang w:val="en-US"/>
        </w:rPr>
        <w:t xml:space="preserve"> the HRC and other</w:t>
      </w:r>
      <w:r w:rsidRPr="00BF47CF">
        <w:rPr>
          <w:rFonts w:ascii="Arial" w:hAnsi="Arial" w:cs="Arial"/>
          <w:sz w:val="20"/>
          <w:szCs w:val="20"/>
          <w:lang w:val="en-US"/>
        </w:rPr>
        <w:t xml:space="preserve"> monitoring bodies in their </w:t>
      </w:r>
      <w:r>
        <w:rPr>
          <w:rFonts w:ascii="Arial" w:hAnsi="Arial" w:cs="Arial"/>
          <w:sz w:val="20"/>
          <w:szCs w:val="20"/>
          <w:lang w:val="en-US"/>
        </w:rPr>
        <w:t>assessment</w:t>
      </w:r>
      <w:r w:rsidRPr="00BF47CF">
        <w:rPr>
          <w:rFonts w:ascii="Arial" w:hAnsi="Arial" w:cs="Arial"/>
          <w:sz w:val="20"/>
          <w:szCs w:val="20"/>
          <w:lang w:val="en-US"/>
        </w:rPr>
        <w:t xml:space="preserve"> of reservations. </w:t>
      </w:r>
    </w:p>
  </w:footnote>
  <w:footnote w:id="101">
    <w:p w14:paraId="0A27E61A" w14:textId="21E54BBB" w:rsidR="001A5BF9" w:rsidRPr="006822DA" w:rsidRDefault="001A5BF9" w:rsidP="00890427">
      <w:pPr>
        <w:pStyle w:val="FootnoteText"/>
        <w:rPr>
          <w:rFonts w:ascii="Arial" w:hAnsi="Arial" w:cs="Arial"/>
          <w:sz w:val="20"/>
          <w:szCs w:val="20"/>
          <w:lang w:val="en-US"/>
        </w:rPr>
      </w:pPr>
      <w:r w:rsidRPr="006822DA">
        <w:rPr>
          <w:rStyle w:val="FootnoteReference"/>
          <w:rFonts w:ascii="Arial" w:hAnsi="Arial" w:cs="Arial"/>
          <w:sz w:val="20"/>
          <w:szCs w:val="20"/>
        </w:rPr>
        <w:footnoteRef/>
      </w:r>
      <w:r w:rsidRPr="006822DA">
        <w:rPr>
          <w:rFonts w:ascii="Arial" w:hAnsi="Arial" w:cs="Arial"/>
          <w:sz w:val="20"/>
          <w:szCs w:val="20"/>
        </w:rPr>
        <w:t xml:space="preserve"> </w:t>
      </w:r>
      <w:r w:rsidRPr="000B7570">
        <w:rPr>
          <w:rFonts w:ascii="Arial" w:hAnsi="Arial" w:cs="Arial"/>
          <w:sz w:val="20"/>
          <w:szCs w:val="20"/>
        </w:rPr>
        <w:t>Rodley (n 82)</w:t>
      </w:r>
      <w:r w:rsidRPr="000B7570">
        <w:rPr>
          <w:rFonts w:ascii="Arial" w:hAnsi="Arial" w:cs="Arial"/>
          <w:sz w:val="20"/>
          <w:szCs w:val="20"/>
          <w:lang w:val="en-US"/>
        </w:rPr>
        <w:t>,</w:t>
      </w:r>
      <w:r>
        <w:rPr>
          <w:rFonts w:ascii="Arial" w:hAnsi="Arial" w:cs="Arial"/>
          <w:sz w:val="20"/>
          <w:szCs w:val="20"/>
          <w:lang w:val="en-US"/>
        </w:rPr>
        <w:t xml:space="preserve"> p 93.</w:t>
      </w:r>
    </w:p>
  </w:footnote>
  <w:footnote w:id="102">
    <w:p w14:paraId="7EA38F57" w14:textId="645B9F7F" w:rsidR="001A5BF9" w:rsidRPr="00CD4DA6" w:rsidRDefault="001A5BF9" w:rsidP="00B3135A">
      <w:pPr>
        <w:pStyle w:val="FootnoteText"/>
        <w:rPr>
          <w:rFonts w:ascii="Arial" w:hAnsi="Arial" w:cs="Arial"/>
          <w:sz w:val="20"/>
          <w:szCs w:val="20"/>
          <w:lang w:val="en-US"/>
        </w:rPr>
      </w:pPr>
      <w:r w:rsidRPr="00CD4DA6">
        <w:rPr>
          <w:rStyle w:val="FootnoteReference"/>
          <w:rFonts w:ascii="Arial" w:hAnsi="Arial" w:cs="Arial"/>
          <w:sz w:val="20"/>
          <w:szCs w:val="20"/>
        </w:rPr>
        <w:footnoteRef/>
      </w:r>
      <w:r w:rsidRPr="00CD4DA6">
        <w:rPr>
          <w:rFonts w:ascii="Arial" w:hAnsi="Arial" w:cs="Arial"/>
          <w:sz w:val="20"/>
          <w:szCs w:val="20"/>
        </w:rPr>
        <w:t xml:space="preserve"> </w:t>
      </w:r>
      <w:r>
        <w:rPr>
          <w:rFonts w:ascii="Arial" w:hAnsi="Arial" w:cs="Arial"/>
          <w:sz w:val="20"/>
          <w:szCs w:val="20"/>
          <w:lang w:val="en-US"/>
        </w:rPr>
        <w:t xml:space="preserve">ILC Report, </w:t>
      </w:r>
      <w:r w:rsidRPr="00373B0C">
        <w:rPr>
          <w:rFonts w:ascii="Arial" w:hAnsi="Arial" w:cs="Arial"/>
          <w:sz w:val="20"/>
          <w:szCs w:val="20"/>
          <w:lang w:val="en-US"/>
        </w:rPr>
        <w:t xml:space="preserve">at </w:t>
      </w:r>
      <w:r w:rsidRPr="00134755">
        <w:rPr>
          <w:rFonts w:ascii="Arial" w:hAnsi="Arial" w:cs="Arial"/>
          <w:sz w:val="20"/>
          <w:szCs w:val="20"/>
          <w:lang w:val="en-US"/>
        </w:rPr>
        <w:t>82–7.  </w:t>
      </w:r>
    </w:p>
  </w:footnote>
  <w:footnote w:id="103">
    <w:p w14:paraId="7086EAC8" w14:textId="4D3E2557" w:rsidR="001A5BF9" w:rsidRPr="00985A0B" w:rsidRDefault="001A5BF9" w:rsidP="00890427">
      <w:pPr>
        <w:pStyle w:val="FootnoteText"/>
        <w:rPr>
          <w:rFonts w:ascii="Arial" w:hAnsi="Arial" w:cs="Arial"/>
          <w:sz w:val="20"/>
          <w:szCs w:val="20"/>
          <w:lang w:val="en-US"/>
        </w:rPr>
      </w:pPr>
      <w:r w:rsidRPr="00985A0B">
        <w:rPr>
          <w:rStyle w:val="FootnoteReference"/>
          <w:rFonts w:ascii="Arial" w:hAnsi="Arial" w:cs="Arial"/>
          <w:sz w:val="20"/>
          <w:szCs w:val="20"/>
        </w:rPr>
        <w:footnoteRef/>
      </w:r>
      <w:r w:rsidRPr="00985A0B">
        <w:rPr>
          <w:rFonts w:ascii="Arial" w:hAnsi="Arial" w:cs="Arial"/>
          <w:sz w:val="20"/>
          <w:szCs w:val="20"/>
        </w:rPr>
        <w:t xml:space="preserve"> </w:t>
      </w:r>
      <w:r>
        <w:rPr>
          <w:rFonts w:ascii="Arial" w:hAnsi="Arial" w:cs="Arial"/>
          <w:sz w:val="20"/>
          <w:szCs w:val="20"/>
        </w:rPr>
        <w:t>Ibid, at 87.</w:t>
      </w:r>
    </w:p>
  </w:footnote>
  <w:footnote w:id="104">
    <w:p w14:paraId="057FECBC" w14:textId="77777777" w:rsidR="001A5BF9" w:rsidRPr="00447385" w:rsidRDefault="001A5BF9" w:rsidP="00D922DF">
      <w:pPr>
        <w:pStyle w:val="FootnoteText"/>
        <w:rPr>
          <w:rFonts w:ascii="Arial" w:hAnsi="Arial" w:cs="Arial"/>
          <w:sz w:val="20"/>
          <w:szCs w:val="20"/>
          <w:lang w:val="en-US"/>
        </w:rPr>
      </w:pPr>
      <w:r w:rsidRPr="00447385">
        <w:rPr>
          <w:rStyle w:val="FootnoteReference"/>
          <w:rFonts w:ascii="Arial" w:hAnsi="Arial" w:cs="Arial"/>
          <w:sz w:val="20"/>
          <w:szCs w:val="20"/>
        </w:rPr>
        <w:footnoteRef/>
      </w:r>
      <w:r w:rsidRPr="00447385">
        <w:rPr>
          <w:rFonts w:ascii="Arial" w:hAnsi="Arial" w:cs="Arial"/>
          <w:sz w:val="20"/>
          <w:szCs w:val="20"/>
        </w:rPr>
        <w:t xml:space="preserve"> See </w:t>
      </w:r>
      <w:r w:rsidRPr="00447385">
        <w:rPr>
          <w:rFonts w:ascii="Arial" w:hAnsi="Arial" w:cs="Arial"/>
          <w:i/>
          <w:sz w:val="20"/>
          <w:szCs w:val="20"/>
        </w:rPr>
        <w:t xml:space="preserve">YBILC </w:t>
      </w:r>
      <w:r w:rsidRPr="00447385">
        <w:rPr>
          <w:rFonts w:ascii="Arial" w:hAnsi="Arial" w:cs="Arial"/>
          <w:sz w:val="20"/>
          <w:szCs w:val="20"/>
        </w:rPr>
        <w:t>(1997), vol. II, pp. 53-4, 57.</w:t>
      </w:r>
    </w:p>
  </w:footnote>
  <w:footnote w:id="105">
    <w:p w14:paraId="17A99871" w14:textId="77777777" w:rsidR="001A5BF9" w:rsidRPr="00447385" w:rsidRDefault="001A5BF9" w:rsidP="00D922DF">
      <w:pPr>
        <w:pStyle w:val="FootnoteText"/>
        <w:rPr>
          <w:rFonts w:ascii="Arial" w:hAnsi="Arial" w:cs="Arial"/>
          <w:sz w:val="20"/>
          <w:szCs w:val="20"/>
          <w:lang w:val="en-US"/>
        </w:rPr>
      </w:pPr>
      <w:r w:rsidRPr="00447385">
        <w:rPr>
          <w:rStyle w:val="FootnoteReference"/>
          <w:rFonts w:ascii="Arial" w:hAnsi="Arial" w:cs="Arial"/>
          <w:sz w:val="20"/>
          <w:szCs w:val="20"/>
        </w:rPr>
        <w:footnoteRef/>
      </w:r>
      <w:r w:rsidRPr="00447385">
        <w:rPr>
          <w:rFonts w:ascii="Arial" w:hAnsi="Arial" w:cs="Arial"/>
          <w:sz w:val="20"/>
          <w:szCs w:val="20"/>
        </w:rPr>
        <w:t xml:space="preserve"> A. Pellet,</w:t>
      </w:r>
      <w:r>
        <w:rPr>
          <w:rFonts w:ascii="Arial" w:hAnsi="Arial" w:cs="Arial"/>
          <w:sz w:val="20"/>
          <w:szCs w:val="20"/>
        </w:rPr>
        <w:t xml:space="preserve"> </w:t>
      </w:r>
      <w:r>
        <w:rPr>
          <w:rFonts w:ascii="Arial" w:hAnsi="Arial" w:cs="Arial"/>
          <w:i/>
          <w:sz w:val="20"/>
          <w:szCs w:val="20"/>
        </w:rPr>
        <w:t>Eighth Report on Reservations to Treaties</w:t>
      </w:r>
      <w:r>
        <w:rPr>
          <w:rFonts w:ascii="Arial" w:hAnsi="Arial" w:cs="Arial"/>
          <w:sz w:val="20"/>
          <w:szCs w:val="20"/>
        </w:rPr>
        <w:t>, ILC, Fifty-Fifth Session (2003), A/CN.4/535, paras 17-27.</w:t>
      </w:r>
    </w:p>
  </w:footnote>
  <w:footnote w:id="106">
    <w:p w14:paraId="11A11007" w14:textId="18CC5269" w:rsidR="001A5BF9" w:rsidRPr="004D1594" w:rsidRDefault="001A5BF9" w:rsidP="004D1594">
      <w:pPr>
        <w:pStyle w:val="FootnoteText"/>
        <w:rPr>
          <w:rFonts w:ascii="Arial" w:hAnsi="Arial" w:cs="Arial"/>
          <w:sz w:val="20"/>
          <w:szCs w:val="20"/>
          <w:lang w:val="en-US"/>
        </w:rPr>
      </w:pPr>
      <w:r w:rsidRPr="004D1594">
        <w:rPr>
          <w:rStyle w:val="FootnoteReference"/>
          <w:rFonts w:ascii="Arial" w:hAnsi="Arial" w:cs="Arial"/>
          <w:sz w:val="20"/>
          <w:szCs w:val="20"/>
        </w:rPr>
        <w:footnoteRef/>
      </w:r>
      <w:r w:rsidRPr="004D1594">
        <w:rPr>
          <w:rFonts w:ascii="Arial" w:hAnsi="Arial" w:cs="Arial"/>
          <w:sz w:val="20"/>
          <w:szCs w:val="20"/>
        </w:rPr>
        <w:t xml:space="preserve"> </w:t>
      </w:r>
      <w:r w:rsidRPr="00830613">
        <w:rPr>
          <w:rFonts w:ascii="Arial" w:hAnsi="Arial" w:cs="Arial"/>
          <w:sz w:val="20"/>
          <w:szCs w:val="20"/>
          <w:lang w:val="en-US"/>
        </w:rPr>
        <w:t>Baylis (n 97),</w:t>
      </w:r>
      <w:r>
        <w:rPr>
          <w:rFonts w:ascii="Arial" w:hAnsi="Arial" w:cs="Arial"/>
          <w:sz w:val="20"/>
          <w:szCs w:val="20"/>
          <w:lang w:val="en-US"/>
        </w:rPr>
        <w:t xml:space="preserve"> </w:t>
      </w:r>
      <w:r>
        <w:rPr>
          <w:rFonts w:ascii="Arial" w:hAnsi="Arial" w:cs="Arial"/>
          <w:sz w:val="20"/>
          <w:szCs w:val="20"/>
        </w:rPr>
        <w:t>p 322.</w:t>
      </w:r>
    </w:p>
  </w:footnote>
  <w:footnote w:id="107">
    <w:p w14:paraId="31651F77" w14:textId="51FD0899" w:rsidR="001A5BF9" w:rsidRPr="00483FF7" w:rsidRDefault="001A5BF9">
      <w:pPr>
        <w:pStyle w:val="FootnoteText"/>
        <w:rPr>
          <w:rFonts w:ascii="Arial" w:hAnsi="Arial" w:cs="Arial"/>
          <w:sz w:val="20"/>
          <w:szCs w:val="20"/>
          <w:lang w:val="en-US"/>
        </w:rPr>
      </w:pPr>
      <w:r w:rsidRPr="00483FF7">
        <w:rPr>
          <w:rStyle w:val="FootnoteReference"/>
          <w:rFonts w:ascii="Arial" w:hAnsi="Arial" w:cs="Arial"/>
          <w:sz w:val="20"/>
          <w:szCs w:val="20"/>
        </w:rPr>
        <w:footnoteRef/>
      </w:r>
      <w:r w:rsidRPr="00483FF7">
        <w:rPr>
          <w:rFonts w:ascii="Arial" w:hAnsi="Arial" w:cs="Arial"/>
          <w:sz w:val="20"/>
          <w:szCs w:val="20"/>
        </w:rPr>
        <w:t xml:space="preserve"> </w:t>
      </w:r>
      <w:r>
        <w:rPr>
          <w:rFonts w:ascii="Arial" w:hAnsi="Arial" w:cs="Arial"/>
          <w:sz w:val="20"/>
          <w:szCs w:val="20"/>
          <w:lang w:val="en-US"/>
        </w:rPr>
        <w:t>ILC Report,</w:t>
      </w:r>
      <w:r w:rsidRPr="00344EA0">
        <w:rPr>
          <w:rFonts w:ascii="Arial" w:hAnsi="Arial" w:cs="Arial"/>
          <w:sz w:val="20"/>
          <w:szCs w:val="20"/>
          <w:lang w:val="en-US"/>
        </w:rPr>
        <w:t xml:space="preserve"> at 10</w:t>
      </w:r>
      <w:r>
        <w:rPr>
          <w:rFonts w:ascii="Arial" w:hAnsi="Arial" w:cs="Arial"/>
          <w:sz w:val="20"/>
          <w:szCs w:val="20"/>
          <w:lang w:val="en-US"/>
        </w:rPr>
        <w:t>3-05</w:t>
      </w:r>
      <w:r w:rsidRPr="00344EA0">
        <w:rPr>
          <w:rFonts w:ascii="Arial" w:hAnsi="Arial" w:cs="Arial"/>
          <w:sz w:val="20"/>
          <w:szCs w:val="20"/>
          <w:lang w:val="en-US"/>
        </w:rPr>
        <w:t xml:space="preserve">, </w:t>
      </w:r>
      <w:r>
        <w:rPr>
          <w:rFonts w:ascii="Arial" w:hAnsi="Arial" w:cs="Arial"/>
          <w:sz w:val="20"/>
          <w:szCs w:val="20"/>
          <w:lang w:val="en-US"/>
        </w:rPr>
        <w:t>73-77</w:t>
      </w:r>
      <w:r w:rsidRPr="00344EA0">
        <w:rPr>
          <w:rFonts w:ascii="Arial" w:hAnsi="Arial" w:cs="Arial"/>
          <w:sz w:val="20"/>
          <w:szCs w:val="20"/>
          <w:lang w:val="en-US"/>
        </w:rPr>
        <w:t>.</w:t>
      </w:r>
      <w:r>
        <w:rPr>
          <w:rFonts w:ascii="Arial" w:hAnsi="Arial" w:cs="Arial"/>
          <w:sz w:val="20"/>
          <w:szCs w:val="20"/>
          <w:lang w:val="en-US"/>
        </w:rPr>
        <w:t xml:space="preserve"> Pellet decided that there was a direct connection between human rights treaties and “the point of departure” for both the VC and the ICJ’s opinion on </w:t>
      </w:r>
      <w:r>
        <w:rPr>
          <w:rFonts w:ascii="Arial" w:hAnsi="Arial" w:cs="Arial"/>
          <w:i/>
          <w:sz w:val="20"/>
          <w:szCs w:val="20"/>
          <w:lang w:val="en-US"/>
        </w:rPr>
        <w:t>Reservations to the Genocide Convention</w:t>
      </w:r>
      <w:r>
        <w:rPr>
          <w:rFonts w:ascii="Arial" w:hAnsi="Arial" w:cs="Arial"/>
          <w:sz w:val="20"/>
          <w:szCs w:val="20"/>
          <w:lang w:val="en-US"/>
        </w:rPr>
        <w:t>. Ibid, at 104, 76. Consequently, the Vienna Convention’s scope was intended to be broad enough to apply to more than just human rights treaties, despite having a deliberate focus on them during their drafting.</w:t>
      </w:r>
    </w:p>
  </w:footnote>
  <w:footnote w:id="108">
    <w:p w14:paraId="66578E13" w14:textId="302708FD" w:rsidR="001A5BF9" w:rsidRPr="00344EA0" w:rsidRDefault="001A5BF9">
      <w:pPr>
        <w:pStyle w:val="FootnoteText"/>
        <w:rPr>
          <w:rFonts w:ascii="Arial" w:hAnsi="Arial" w:cs="Arial"/>
          <w:sz w:val="20"/>
          <w:szCs w:val="20"/>
          <w:lang w:val="en-US"/>
        </w:rPr>
      </w:pPr>
      <w:r w:rsidRPr="00344EA0">
        <w:rPr>
          <w:rStyle w:val="FootnoteReference"/>
          <w:rFonts w:ascii="Arial" w:hAnsi="Arial" w:cs="Arial"/>
          <w:sz w:val="20"/>
          <w:szCs w:val="20"/>
        </w:rPr>
        <w:footnoteRef/>
      </w:r>
      <w:r w:rsidRPr="00344EA0">
        <w:rPr>
          <w:rFonts w:ascii="Arial" w:hAnsi="Arial" w:cs="Arial"/>
          <w:sz w:val="20"/>
          <w:szCs w:val="20"/>
        </w:rPr>
        <w:t xml:space="preserve"> </w:t>
      </w:r>
      <w:r>
        <w:rPr>
          <w:rFonts w:ascii="Arial" w:hAnsi="Arial" w:cs="Arial"/>
          <w:sz w:val="20"/>
          <w:szCs w:val="20"/>
        </w:rPr>
        <w:t xml:space="preserve">Ibid, </w:t>
      </w:r>
      <w:r w:rsidRPr="00344EA0">
        <w:rPr>
          <w:rFonts w:ascii="Arial" w:hAnsi="Arial" w:cs="Arial"/>
          <w:sz w:val="20"/>
          <w:szCs w:val="20"/>
          <w:lang w:val="en-US"/>
        </w:rPr>
        <w:t>at 10</w:t>
      </w:r>
      <w:r>
        <w:rPr>
          <w:rFonts w:ascii="Arial" w:hAnsi="Arial" w:cs="Arial"/>
          <w:sz w:val="20"/>
          <w:szCs w:val="20"/>
          <w:lang w:val="en-US"/>
        </w:rPr>
        <w:t>6</w:t>
      </w:r>
      <w:r w:rsidRPr="00344EA0">
        <w:rPr>
          <w:rFonts w:ascii="Arial" w:hAnsi="Arial" w:cs="Arial"/>
          <w:sz w:val="20"/>
          <w:szCs w:val="20"/>
          <w:lang w:val="en-US"/>
        </w:rPr>
        <w:t xml:space="preserve">, </w:t>
      </w:r>
      <w:r>
        <w:rPr>
          <w:rFonts w:ascii="Arial" w:hAnsi="Arial" w:cs="Arial"/>
          <w:sz w:val="20"/>
          <w:szCs w:val="20"/>
          <w:lang w:val="en-US"/>
        </w:rPr>
        <w:t>82.</w:t>
      </w:r>
    </w:p>
  </w:footnote>
  <w:footnote w:id="109">
    <w:p w14:paraId="12F3BC0A" w14:textId="032084A5" w:rsidR="001A5BF9" w:rsidRPr="007709FA" w:rsidRDefault="001A5BF9">
      <w:pPr>
        <w:pStyle w:val="FootnoteText"/>
        <w:rPr>
          <w:rFonts w:ascii="Arial" w:hAnsi="Arial" w:cs="Arial"/>
          <w:sz w:val="20"/>
          <w:szCs w:val="20"/>
          <w:lang w:val="en-US"/>
        </w:rPr>
      </w:pPr>
      <w:r w:rsidRPr="007709FA">
        <w:rPr>
          <w:rStyle w:val="FootnoteReference"/>
          <w:rFonts w:ascii="Arial" w:hAnsi="Arial" w:cs="Arial"/>
          <w:sz w:val="20"/>
          <w:szCs w:val="20"/>
        </w:rPr>
        <w:footnoteRef/>
      </w:r>
      <w:r w:rsidRPr="007709FA">
        <w:rPr>
          <w:rFonts w:ascii="Arial" w:hAnsi="Arial" w:cs="Arial"/>
          <w:sz w:val="20"/>
          <w:szCs w:val="20"/>
        </w:rPr>
        <w:t xml:space="preserve"> </w:t>
      </w:r>
      <w:r>
        <w:rPr>
          <w:rFonts w:ascii="Arial" w:hAnsi="Arial" w:cs="Arial"/>
          <w:sz w:val="20"/>
          <w:szCs w:val="20"/>
        </w:rPr>
        <w:t xml:space="preserve">HRC </w:t>
      </w:r>
      <w:r>
        <w:rPr>
          <w:rFonts w:ascii="Arial" w:hAnsi="Arial" w:cs="Arial"/>
          <w:i/>
          <w:sz w:val="20"/>
          <w:szCs w:val="20"/>
        </w:rPr>
        <w:t xml:space="preserve">General Comment No. </w:t>
      </w:r>
      <w:r w:rsidRPr="004366B7">
        <w:rPr>
          <w:rFonts w:ascii="Arial" w:hAnsi="Arial" w:cs="Arial"/>
          <w:i/>
          <w:sz w:val="20"/>
          <w:szCs w:val="20"/>
        </w:rPr>
        <w:t xml:space="preserve">24 </w:t>
      </w:r>
      <w:r w:rsidRPr="004366B7">
        <w:rPr>
          <w:rFonts w:ascii="Arial" w:hAnsi="Arial" w:cs="Arial"/>
          <w:sz w:val="20"/>
          <w:szCs w:val="20"/>
        </w:rPr>
        <w:t>(n 67).</w:t>
      </w:r>
    </w:p>
  </w:footnote>
  <w:footnote w:id="110">
    <w:p w14:paraId="5185D7A9" w14:textId="4B86D968" w:rsidR="001A5BF9" w:rsidRPr="00837742" w:rsidRDefault="001A5BF9">
      <w:pPr>
        <w:pStyle w:val="FootnoteText"/>
        <w:rPr>
          <w:rFonts w:ascii="Arial" w:hAnsi="Arial" w:cs="Arial"/>
          <w:sz w:val="20"/>
          <w:szCs w:val="20"/>
          <w:lang w:val="en-US"/>
        </w:rPr>
      </w:pPr>
      <w:r w:rsidRPr="00837742">
        <w:rPr>
          <w:rStyle w:val="FootnoteReference"/>
          <w:rFonts w:ascii="Arial" w:hAnsi="Arial" w:cs="Arial"/>
          <w:sz w:val="20"/>
          <w:szCs w:val="20"/>
        </w:rPr>
        <w:footnoteRef/>
      </w:r>
      <w:r w:rsidRPr="00837742">
        <w:rPr>
          <w:rFonts w:ascii="Arial" w:hAnsi="Arial" w:cs="Arial"/>
          <w:sz w:val="20"/>
          <w:szCs w:val="20"/>
        </w:rPr>
        <w:t xml:space="preserve"> </w:t>
      </w:r>
      <w:r>
        <w:rPr>
          <w:rFonts w:ascii="Arial" w:hAnsi="Arial" w:cs="Arial"/>
          <w:sz w:val="20"/>
          <w:szCs w:val="20"/>
        </w:rPr>
        <w:t xml:space="preserve">Ibid, </w:t>
      </w:r>
      <w:r w:rsidRPr="00344EA0">
        <w:rPr>
          <w:rFonts w:ascii="Arial" w:hAnsi="Arial" w:cs="Arial"/>
          <w:sz w:val="20"/>
          <w:szCs w:val="20"/>
          <w:lang w:val="en-US"/>
        </w:rPr>
        <w:t>at 10</w:t>
      </w:r>
      <w:r>
        <w:rPr>
          <w:rFonts w:ascii="Arial" w:hAnsi="Arial" w:cs="Arial"/>
          <w:sz w:val="20"/>
          <w:szCs w:val="20"/>
          <w:lang w:val="en-US"/>
        </w:rPr>
        <w:t>6</w:t>
      </w:r>
      <w:r w:rsidRPr="00344EA0">
        <w:rPr>
          <w:rFonts w:ascii="Arial" w:hAnsi="Arial" w:cs="Arial"/>
          <w:sz w:val="20"/>
          <w:szCs w:val="20"/>
          <w:lang w:val="en-US"/>
        </w:rPr>
        <w:t xml:space="preserve">, </w:t>
      </w:r>
      <w:r>
        <w:rPr>
          <w:rFonts w:ascii="Arial" w:hAnsi="Arial" w:cs="Arial"/>
          <w:sz w:val="20"/>
          <w:szCs w:val="20"/>
          <w:lang w:val="en-US"/>
        </w:rPr>
        <w:t>83.</w:t>
      </w:r>
    </w:p>
  </w:footnote>
  <w:footnote w:id="111">
    <w:p w14:paraId="048BCD81" w14:textId="5B3C1F5B" w:rsidR="001A5BF9" w:rsidRPr="00493EED" w:rsidRDefault="001A5BF9">
      <w:pPr>
        <w:pStyle w:val="FootnoteText"/>
        <w:rPr>
          <w:rFonts w:ascii="Arial" w:hAnsi="Arial" w:cs="Arial"/>
          <w:sz w:val="20"/>
          <w:szCs w:val="20"/>
          <w:lang w:val="en-US"/>
        </w:rPr>
      </w:pPr>
      <w:r w:rsidRPr="00E6162D">
        <w:rPr>
          <w:rStyle w:val="FootnoteReference"/>
          <w:rFonts w:ascii="Arial" w:hAnsi="Arial" w:cs="Arial"/>
          <w:sz w:val="20"/>
          <w:szCs w:val="20"/>
        </w:rPr>
        <w:footnoteRef/>
      </w:r>
      <w:r w:rsidRPr="00E6162D">
        <w:rPr>
          <w:rFonts w:ascii="Arial" w:hAnsi="Arial" w:cs="Arial"/>
          <w:sz w:val="20"/>
          <w:szCs w:val="20"/>
        </w:rPr>
        <w:t xml:space="preserve"> </w:t>
      </w:r>
      <w:r>
        <w:rPr>
          <w:rFonts w:ascii="Arial" w:hAnsi="Arial" w:cs="Arial"/>
          <w:sz w:val="20"/>
          <w:szCs w:val="20"/>
        </w:rPr>
        <w:t xml:space="preserve">Ibid, at 107, 87. </w:t>
      </w:r>
      <w:r>
        <w:rPr>
          <w:rFonts w:ascii="Arial" w:hAnsi="Arial" w:cs="Arial"/>
          <w:sz w:val="20"/>
          <w:szCs w:val="20"/>
          <w:lang w:val="en-US"/>
        </w:rPr>
        <w:t>Pellet believed</w:t>
      </w:r>
      <w:r w:rsidRPr="00E6162D">
        <w:rPr>
          <w:rFonts w:ascii="Arial" w:hAnsi="Arial" w:cs="Arial"/>
          <w:sz w:val="20"/>
          <w:szCs w:val="20"/>
          <w:lang w:val="en-US"/>
        </w:rPr>
        <w:t xml:space="preserve"> that </w:t>
      </w:r>
      <w:r>
        <w:rPr>
          <w:rFonts w:ascii="Arial" w:hAnsi="Arial" w:cs="Arial"/>
          <w:sz w:val="20"/>
          <w:szCs w:val="20"/>
          <w:lang w:val="en-US"/>
        </w:rPr>
        <w:t xml:space="preserve">the states party to the treaty had as much of a claimed </w:t>
      </w:r>
      <w:r w:rsidRPr="00493EED">
        <w:rPr>
          <w:rFonts w:ascii="Arial" w:hAnsi="Arial" w:cs="Arial"/>
          <w:sz w:val="20"/>
          <w:szCs w:val="20"/>
          <w:lang w:val="en-US"/>
        </w:rPr>
        <w:t>authority to adjudicate reservations as the HRC did.</w:t>
      </w:r>
    </w:p>
  </w:footnote>
  <w:footnote w:id="112">
    <w:p w14:paraId="2CFE6ECB" w14:textId="40D2E4F5" w:rsidR="001A5BF9" w:rsidRPr="00493EED" w:rsidRDefault="001A5BF9" w:rsidP="00D160D5">
      <w:pPr>
        <w:pStyle w:val="FootnoteText"/>
        <w:rPr>
          <w:rFonts w:ascii="Arial" w:hAnsi="Arial" w:cs="Arial"/>
          <w:sz w:val="20"/>
          <w:szCs w:val="20"/>
          <w:lang w:val="en-US"/>
        </w:rPr>
      </w:pPr>
      <w:r w:rsidRPr="00493EED">
        <w:rPr>
          <w:rStyle w:val="FootnoteReference"/>
          <w:rFonts w:ascii="Arial" w:hAnsi="Arial" w:cs="Arial"/>
          <w:sz w:val="20"/>
          <w:szCs w:val="20"/>
        </w:rPr>
        <w:footnoteRef/>
      </w:r>
      <w:r w:rsidRPr="00493EED">
        <w:rPr>
          <w:rFonts w:ascii="Arial" w:hAnsi="Arial" w:cs="Arial"/>
          <w:sz w:val="20"/>
          <w:szCs w:val="20"/>
        </w:rPr>
        <w:t xml:space="preserve"> Ibid.</w:t>
      </w:r>
    </w:p>
  </w:footnote>
  <w:footnote w:id="113">
    <w:p w14:paraId="552B26DD" w14:textId="6ED79738" w:rsidR="001A5BF9" w:rsidRPr="00EE689F" w:rsidRDefault="001A5BF9">
      <w:pPr>
        <w:pStyle w:val="FootnoteText"/>
        <w:rPr>
          <w:rFonts w:ascii="Arial" w:hAnsi="Arial" w:cs="Arial"/>
          <w:sz w:val="20"/>
          <w:szCs w:val="20"/>
          <w:lang w:val="en-US"/>
        </w:rPr>
      </w:pPr>
      <w:r w:rsidRPr="00493EED">
        <w:rPr>
          <w:rStyle w:val="FootnoteReference"/>
          <w:rFonts w:ascii="Arial" w:hAnsi="Arial" w:cs="Arial"/>
          <w:sz w:val="20"/>
          <w:szCs w:val="20"/>
        </w:rPr>
        <w:footnoteRef/>
      </w:r>
      <w:r w:rsidRPr="00493EED">
        <w:rPr>
          <w:rFonts w:ascii="Arial" w:hAnsi="Arial" w:cs="Arial"/>
          <w:sz w:val="20"/>
          <w:szCs w:val="20"/>
        </w:rPr>
        <w:t xml:space="preserve"> </w:t>
      </w:r>
      <w:r w:rsidRPr="00EE689F">
        <w:rPr>
          <w:rFonts w:ascii="Arial" w:hAnsi="Arial" w:cs="Arial"/>
          <w:sz w:val="20"/>
          <w:szCs w:val="20"/>
        </w:rPr>
        <w:t>Baylis (n 97), p 324.</w:t>
      </w:r>
    </w:p>
  </w:footnote>
  <w:footnote w:id="114">
    <w:p w14:paraId="75FF67E8" w14:textId="77777777" w:rsidR="001A5BF9" w:rsidRPr="00EE689F" w:rsidRDefault="001A5BF9" w:rsidP="00761662">
      <w:pPr>
        <w:pStyle w:val="FootnoteText"/>
        <w:rPr>
          <w:rFonts w:ascii="Arial" w:hAnsi="Arial" w:cs="Arial"/>
          <w:sz w:val="20"/>
          <w:szCs w:val="20"/>
          <w:lang w:val="en-US"/>
        </w:rPr>
      </w:pPr>
      <w:r w:rsidRPr="00EE689F">
        <w:rPr>
          <w:rStyle w:val="FootnoteReference"/>
          <w:rFonts w:ascii="Arial" w:hAnsi="Arial" w:cs="Arial"/>
          <w:sz w:val="20"/>
          <w:szCs w:val="20"/>
        </w:rPr>
        <w:footnoteRef/>
      </w:r>
      <w:r w:rsidRPr="00EE689F">
        <w:rPr>
          <w:rFonts w:ascii="Arial" w:hAnsi="Arial" w:cs="Arial"/>
          <w:sz w:val="20"/>
          <w:szCs w:val="20"/>
        </w:rPr>
        <w:t xml:space="preserve"> ILC Report, at 107, 86.</w:t>
      </w:r>
    </w:p>
  </w:footnote>
  <w:footnote w:id="115">
    <w:p w14:paraId="7CE8354F" w14:textId="785A7CCB" w:rsidR="001A5BF9" w:rsidRPr="0001116E" w:rsidRDefault="001A5BF9">
      <w:pPr>
        <w:pStyle w:val="FootnoteText"/>
        <w:rPr>
          <w:rFonts w:ascii="Arial" w:hAnsi="Arial" w:cs="Arial"/>
          <w:sz w:val="20"/>
          <w:szCs w:val="20"/>
          <w:lang w:val="en-US"/>
        </w:rPr>
      </w:pPr>
      <w:r w:rsidRPr="00EE689F">
        <w:rPr>
          <w:rStyle w:val="FootnoteReference"/>
          <w:rFonts w:ascii="Arial" w:hAnsi="Arial" w:cs="Arial"/>
          <w:sz w:val="20"/>
          <w:szCs w:val="20"/>
        </w:rPr>
        <w:footnoteRef/>
      </w:r>
      <w:r w:rsidRPr="00EE689F">
        <w:rPr>
          <w:rFonts w:ascii="Arial" w:hAnsi="Arial" w:cs="Arial"/>
          <w:sz w:val="20"/>
          <w:szCs w:val="20"/>
        </w:rPr>
        <w:t xml:space="preserve"> Baylis (n 97),</w:t>
      </w:r>
      <w:r w:rsidRPr="0001116E">
        <w:rPr>
          <w:rFonts w:ascii="Arial" w:hAnsi="Arial" w:cs="Arial"/>
          <w:sz w:val="20"/>
          <w:szCs w:val="20"/>
        </w:rPr>
        <w:t xml:space="preserve"> p 324.</w:t>
      </w:r>
    </w:p>
  </w:footnote>
  <w:footnote w:id="116">
    <w:p w14:paraId="0CE1CE51" w14:textId="5A6D9FBE" w:rsidR="001A5BF9" w:rsidRPr="0001116E" w:rsidRDefault="001A5BF9">
      <w:pPr>
        <w:pStyle w:val="FootnoteText"/>
        <w:rPr>
          <w:rFonts w:ascii="Arial" w:hAnsi="Arial" w:cs="Arial"/>
          <w:sz w:val="20"/>
          <w:szCs w:val="20"/>
          <w:lang w:val="en-US"/>
        </w:rPr>
      </w:pPr>
      <w:r w:rsidRPr="0001116E">
        <w:rPr>
          <w:rStyle w:val="FootnoteReference"/>
          <w:rFonts w:ascii="Arial" w:hAnsi="Arial" w:cs="Arial"/>
          <w:sz w:val="20"/>
          <w:szCs w:val="20"/>
        </w:rPr>
        <w:footnoteRef/>
      </w:r>
      <w:r w:rsidRPr="0001116E">
        <w:rPr>
          <w:rFonts w:ascii="Arial" w:hAnsi="Arial" w:cs="Arial"/>
          <w:sz w:val="20"/>
          <w:szCs w:val="20"/>
        </w:rPr>
        <w:t xml:space="preserve"> A. Pellet, </w:t>
      </w:r>
      <w:r w:rsidRPr="0001116E">
        <w:rPr>
          <w:rFonts w:ascii="Arial" w:hAnsi="Arial" w:cs="Arial"/>
          <w:i/>
          <w:sz w:val="20"/>
          <w:szCs w:val="20"/>
        </w:rPr>
        <w:t>Seventeenth Report of Reservations to Treaties</w:t>
      </w:r>
      <w:r w:rsidRPr="0001116E">
        <w:rPr>
          <w:rFonts w:ascii="Arial" w:hAnsi="Arial" w:cs="Arial"/>
          <w:sz w:val="20"/>
          <w:szCs w:val="20"/>
        </w:rPr>
        <w:t>, ILC Sixty-Third Session (2011), A/CN.4/647.</w:t>
      </w:r>
    </w:p>
  </w:footnote>
  <w:footnote w:id="117">
    <w:p w14:paraId="403A3625" w14:textId="75E83BE4" w:rsidR="001A5BF9" w:rsidRPr="00F44FBD" w:rsidRDefault="001A5BF9">
      <w:pPr>
        <w:pStyle w:val="FootnoteText"/>
        <w:rPr>
          <w:rFonts w:ascii="Arial" w:hAnsi="Arial" w:cs="Arial"/>
          <w:sz w:val="20"/>
          <w:szCs w:val="20"/>
          <w:lang w:val="en-US"/>
        </w:rPr>
      </w:pPr>
      <w:r w:rsidRPr="00F44FBD">
        <w:rPr>
          <w:rStyle w:val="FootnoteReference"/>
          <w:rFonts w:ascii="Arial" w:hAnsi="Arial" w:cs="Arial"/>
          <w:sz w:val="20"/>
          <w:szCs w:val="20"/>
        </w:rPr>
        <w:footnoteRef/>
      </w:r>
      <w:r w:rsidRPr="00F44FBD">
        <w:rPr>
          <w:rFonts w:ascii="Arial" w:hAnsi="Arial" w:cs="Arial"/>
          <w:sz w:val="20"/>
          <w:szCs w:val="20"/>
        </w:rPr>
        <w:t xml:space="preserve"> </w:t>
      </w:r>
      <w:r>
        <w:rPr>
          <w:rFonts w:ascii="Arial" w:hAnsi="Arial" w:cs="Arial"/>
          <w:sz w:val="20"/>
          <w:szCs w:val="20"/>
        </w:rPr>
        <w:t>Ibid, Add. 1, paras 85-101. The body should be a ‘reservations and objections to reservations assistance mechanism’.</w:t>
      </w:r>
    </w:p>
  </w:footnote>
  <w:footnote w:id="118">
    <w:p w14:paraId="44FEB2DA" w14:textId="0D8C71E4" w:rsidR="001A5BF9" w:rsidRPr="007027C8" w:rsidRDefault="001A5BF9" w:rsidP="000C3386">
      <w:pPr>
        <w:pStyle w:val="FootnoteText"/>
        <w:rPr>
          <w:rFonts w:ascii="Arial" w:hAnsi="Arial"/>
          <w:sz w:val="20"/>
          <w:szCs w:val="20"/>
          <w:lang w:val="en-US"/>
        </w:rPr>
      </w:pPr>
      <w:r w:rsidRPr="006F2FE4">
        <w:rPr>
          <w:rStyle w:val="FootnoteReference"/>
          <w:rFonts w:ascii="Arial" w:hAnsi="Arial"/>
          <w:sz w:val="20"/>
          <w:szCs w:val="20"/>
        </w:rPr>
        <w:footnoteRef/>
      </w:r>
      <w:r w:rsidRPr="006F2FE4">
        <w:rPr>
          <w:rFonts w:ascii="Arial" w:hAnsi="Arial"/>
          <w:sz w:val="20"/>
          <w:szCs w:val="20"/>
        </w:rPr>
        <w:t xml:space="preserve"> </w:t>
      </w:r>
      <w:r w:rsidRPr="007027C8">
        <w:rPr>
          <w:rFonts w:ascii="Arial" w:hAnsi="Arial"/>
          <w:sz w:val="20"/>
          <w:szCs w:val="20"/>
        </w:rPr>
        <w:t>Lowe (n 73), p 72.</w:t>
      </w:r>
    </w:p>
  </w:footnote>
  <w:footnote w:id="119">
    <w:p w14:paraId="134C97E8" w14:textId="03D0B9D2" w:rsidR="001A5BF9" w:rsidRDefault="001A5BF9" w:rsidP="000C3386">
      <w:pPr>
        <w:pStyle w:val="FootnoteText"/>
        <w:rPr>
          <w:rFonts w:ascii="Arial" w:hAnsi="Arial"/>
          <w:sz w:val="20"/>
          <w:szCs w:val="20"/>
        </w:rPr>
      </w:pPr>
      <w:r w:rsidRPr="007027C8">
        <w:rPr>
          <w:rStyle w:val="FootnoteReference"/>
          <w:rFonts w:ascii="Arial" w:hAnsi="Arial"/>
          <w:sz w:val="20"/>
          <w:szCs w:val="20"/>
        </w:rPr>
        <w:footnoteRef/>
      </w:r>
      <w:r w:rsidRPr="007027C8">
        <w:rPr>
          <w:rFonts w:ascii="Arial" w:hAnsi="Arial"/>
          <w:sz w:val="20"/>
          <w:szCs w:val="20"/>
        </w:rPr>
        <w:t xml:space="preserve"> Critics of the Convention on the Elimination of All Forms of Discrimination Against Women (CEDAW) [1979] 1249 UNTS 13 have argued that the treaty is ineffective given that countries such as Saudi Arabia, which implements gender-oppressing, Sharia law-embedded legislation, have made reservations to the Convention; namely Article 7 on political participation. See H. Jones and K. Wachala, “Watching Over the Rights of Women,” </w:t>
      </w:r>
      <w:r w:rsidRPr="007027C8">
        <w:rPr>
          <w:rFonts w:ascii="Arial" w:hAnsi="Arial"/>
          <w:i/>
          <w:iCs/>
          <w:sz w:val="20"/>
          <w:szCs w:val="20"/>
        </w:rPr>
        <w:t>Social Policy and Society</w:t>
      </w:r>
      <w:r w:rsidRPr="007027C8">
        <w:rPr>
          <w:rFonts w:ascii="Arial" w:hAnsi="Arial"/>
          <w:sz w:val="20"/>
          <w:szCs w:val="20"/>
        </w:rPr>
        <w:t>, 5:1 (</w:t>
      </w:r>
      <w:r w:rsidRPr="002A6630">
        <w:rPr>
          <w:rFonts w:ascii="Arial" w:hAnsi="Arial"/>
          <w:sz w:val="20"/>
          <w:szCs w:val="20"/>
        </w:rPr>
        <w:t xml:space="preserve">Cambridge: </w:t>
      </w:r>
      <w:r>
        <w:rPr>
          <w:rFonts w:ascii="Arial" w:hAnsi="Arial"/>
          <w:sz w:val="20"/>
          <w:szCs w:val="20"/>
        </w:rPr>
        <w:t>CUP</w:t>
      </w:r>
      <w:r w:rsidRPr="002A6630">
        <w:rPr>
          <w:rFonts w:ascii="Arial" w:hAnsi="Arial"/>
          <w:sz w:val="20"/>
          <w:szCs w:val="20"/>
        </w:rPr>
        <w:t xml:space="preserve"> </w:t>
      </w:r>
      <w:r w:rsidRPr="007027C8">
        <w:rPr>
          <w:rFonts w:ascii="Arial" w:hAnsi="Arial"/>
          <w:sz w:val="20"/>
          <w:szCs w:val="20"/>
        </w:rPr>
        <w:t xml:space="preserve">2006), pp. 129-130; and </w:t>
      </w:r>
    </w:p>
    <w:p w14:paraId="7A20352D" w14:textId="287E543C" w:rsidR="001A5BF9" w:rsidRPr="007027C8" w:rsidRDefault="001A5BF9" w:rsidP="000C3386">
      <w:pPr>
        <w:pStyle w:val="FootnoteText"/>
        <w:rPr>
          <w:rFonts w:ascii="Arial" w:hAnsi="Arial"/>
          <w:sz w:val="20"/>
          <w:szCs w:val="20"/>
        </w:rPr>
      </w:pPr>
      <w:r w:rsidRPr="007027C8">
        <w:rPr>
          <w:rFonts w:ascii="Arial" w:hAnsi="Arial"/>
          <w:sz w:val="20"/>
          <w:szCs w:val="20"/>
        </w:rPr>
        <w:t xml:space="preserve">Human Rights Watch, </w:t>
      </w:r>
      <w:r w:rsidRPr="007027C8">
        <w:rPr>
          <w:rFonts w:ascii="Arial" w:hAnsi="Arial"/>
          <w:i/>
          <w:iCs/>
          <w:sz w:val="20"/>
          <w:szCs w:val="20"/>
        </w:rPr>
        <w:t>Saudi Arabia: Women’ s Rights Promises Broken</w:t>
      </w:r>
      <w:r>
        <w:rPr>
          <w:rFonts w:ascii="Arial" w:hAnsi="Arial"/>
          <w:sz w:val="20"/>
          <w:szCs w:val="20"/>
        </w:rPr>
        <w:t xml:space="preserve"> (8/7/2009)</w:t>
      </w:r>
      <w:r w:rsidRPr="007027C8">
        <w:rPr>
          <w:rFonts w:ascii="Arial" w:hAnsi="Arial"/>
          <w:sz w:val="20"/>
          <w:szCs w:val="20"/>
        </w:rPr>
        <w:t>. Available at: &lt;http://www.hrw.org/en/news/2009/07/08/saudi-arabia-w</w:t>
      </w:r>
      <w:r>
        <w:rPr>
          <w:rFonts w:ascii="Arial" w:hAnsi="Arial"/>
          <w:sz w:val="20"/>
          <w:szCs w:val="20"/>
        </w:rPr>
        <w:t>omen-s-rights-promises-broken&gt; Date accessed: 17 July 2017.</w:t>
      </w:r>
    </w:p>
  </w:footnote>
  <w:footnote w:id="120">
    <w:p w14:paraId="40A4F356" w14:textId="13D2E958" w:rsidR="001A5BF9" w:rsidRPr="006F2FE4" w:rsidRDefault="001A5BF9" w:rsidP="000C3386">
      <w:pPr>
        <w:pStyle w:val="FootnoteText"/>
        <w:rPr>
          <w:rFonts w:ascii="Arial" w:hAnsi="Arial"/>
          <w:sz w:val="20"/>
          <w:szCs w:val="20"/>
          <w:lang w:val="en-US"/>
        </w:rPr>
      </w:pPr>
      <w:r w:rsidRPr="007027C8">
        <w:rPr>
          <w:rStyle w:val="FootnoteReference"/>
          <w:rFonts w:ascii="Arial" w:hAnsi="Arial"/>
          <w:sz w:val="20"/>
          <w:szCs w:val="20"/>
        </w:rPr>
        <w:footnoteRef/>
      </w:r>
      <w:r w:rsidRPr="007027C8">
        <w:rPr>
          <w:rFonts w:ascii="Arial" w:hAnsi="Arial"/>
          <w:sz w:val="20"/>
          <w:szCs w:val="20"/>
        </w:rPr>
        <w:t xml:space="preserve"> Lowe (n 73), p 72.</w:t>
      </w:r>
    </w:p>
  </w:footnote>
  <w:footnote w:id="121">
    <w:p w14:paraId="03249F12" w14:textId="77777777" w:rsidR="001A5BF9" w:rsidRPr="0043034C" w:rsidRDefault="001A5BF9" w:rsidP="00EA4F0C">
      <w:pPr>
        <w:pStyle w:val="FootnoteText"/>
        <w:rPr>
          <w:rFonts w:ascii="Arial" w:hAnsi="Arial" w:cs="Arial"/>
          <w:sz w:val="20"/>
          <w:szCs w:val="20"/>
        </w:rPr>
      </w:pPr>
      <w:r w:rsidRPr="0002125E">
        <w:rPr>
          <w:rStyle w:val="FootnoteReference"/>
          <w:rFonts w:ascii="Arial" w:hAnsi="Arial" w:cs="Arial"/>
          <w:sz w:val="20"/>
          <w:szCs w:val="20"/>
        </w:rPr>
        <w:footnoteRef/>
      </w:r>
      <w:r w:rsidRPr="0002125E">
        <w:rPr>
          <w:rFonts w:ascii="Arial" w:hAnsi="Arial" w:cs="Arial"/>
          <w:sz w:val="20"/>
          <w:szCs w:val="20"/>
        </w:rPr>
        <w:t xml:space="preserve"> </w:t>
      </w:r>
      <w:r w:rsidRPr="009A7F2E">
        <w:rPr>
          <w:rFonts w:ascii="Arial" w:hAnsi="Arial" w:cs="Arial"/>
          <w:i/>
          <w:sz w:val="20"/>
          <w:szCs w:val="20"/>
        </w:rPr>
        <w:t>UN Report of the International Law Commission (ILC) on the Work of its 63rd session</w:t>
      </w:r>
      <w:r>
        <w:rPr>
          <w:rFonts w:ascii="Arial" w:hAnsi="Arial" w:cs="Arial"/>
          <w:sz w:val="20"/>
          <w:szCs w:val="20"/>
        </w:rPr>
        <w:t>, GA, Offi</w:t>
      </w:r>
      <w:r w:rsidRPr="0043034C">
        <w:rPr>
          <w:rFonts w:ascii="Arial" w:hAnsi="Arial" w:cs="Arial"/>
          <w:sz w:val="20"/>
          <w:szCs w:val="20"/>
        </w:rPr>
        <w:t>cial Records, 66th Session, Supplement No. 10, Addendum 1,</w:t>
      </w:r>
      <w:r>
        <w:rPr>
          <w:rFonts w:ascii="Arial" w:hAnsi="Arial" w:cs="Arial"/>
          <w:sz w:val="20"/>
          <w:szCs w:val="20"/>
        </w:rPr>
        <w:t xml:space="preserve"> 2011, A/66/10/Add.1, Chapter IV – draft guidelines on reservations to treaties [hereinafter: ‘Guide to Practice’ or ‘ILC Guide 2011’].</w:t>
      </w:r>
    </w:p>
  </w:footnote>
  <w:footnote w:id="122">
    <w:p w14:paraId="2EF7172F" w14:textId="264229BC" w:rsidR="001A5BF9" w:rsidRPr="00F83302" w:rsidRDefault="001A5BF9" w:rsidP="00EA4F0C">
      <w:pPr>
        <w:pStyle w:val="FootnoteText"/>
        <w:rPr>
          <w:rFonts w:ascii="Arial" w:hAnsi="Arial" w:cs="Arial"/>
          <w:iCs/>
          <w:sz w:val="20"/>
          <w:szCs w:val="20"/>
          <w:lang w:val="en-US"/>
        </w:rPr>
      </w:pPr>
      <w:r w:rsidRPr="00F83302">
        <w:rPr>
          <w:rStyle w:val="FootnoteReference"/>
          <w:rFonts w:ascii="Arial" w:hAnsi="Arial" w:cs="Arial"/>
          <w:sz w:val="20"/>
          <w:szCs w:val="20"/>
        </w:rPr>
        <w:footnoteRef/>
      </w:r>
      <w:r w:rsidRPr="00F83302">
        <w:rPr>
          <w:rFonts w:ascii="Arial" w:hAnsi="Arial" w:cs="Arial"/>
          <w:sz w:val="20"/>
          <w:szCs w:val="20"/>
        </w:rPr>
        <w:t xml:space="preserve"> </w:t>
      </w:r>
      <w:r>
        <w:rPr>
          <w:rFonts w:ascii="Arial" w:hAnsi="Arial" w:cs="Arial"/>
          <w:sz w:val="20"/>
          <w:szCs w:val="20"/>
        </w:rPr>
        <w:t xml:space="preserve">Milanovic &amp; </w:t>
      </w:r>
      <w:r>
        <w:rPr>
          <w:rFonts w:ascii="Arial" w:hAnsi="Arial" w:cs="Arial"/>
          <w:sz w:val="20"/>
          <w:szCs w:val="20"/>
          <w:lang w:val="en-US"/>
        </w:rPr>
        <w:t xml:space="preserve">Sicilianos </w:t>
      </w:r>
      <w:r w:rsidRPr="00C33EA5">
        <w:rPr>
          <w:rFonts w:ascii="Arial" w:hAnsi="Arial" w:cs="Arial"/>
          <w:sz w:val="20"/>
          <w:szCs w:val="20"/>
          <w:lang w:val="en-US"/>
        </w:rPr>
        <w:t>(n 40),</w:t>
      </w:r>
      <w:r>
        <w:rPr>
          <w:rFonts w:ascii="Arial" w:hAnsi="Arial" w:cs="Arial"/>
          <w:sz w:val="20"/>
          <w:szCs w:val="20"/>
          <w:lang w:val="en-US"/>
        </w:rPr>
        <w:t xml:space="preserve"> </w:t>
      </w:r>
      <w:r>
        <w:rPr>
          <w:rFonts w:ascii="Arial" w:hAnsi="Arial" w:cs="Arial"/>
          <w:iCs/>
          <w:sz w:val="20"/>
          <w:szCs w:val="20"/>
          <w:lang w:val="en-US"/>
        </w:rPr>
        <w:t>1056.</w:t>
      </w:r>
    </w:p>
  </w:footnote>
  <w:footnote w:id="123">
    <w:p w14:paraId="58412EE8" w14:textId="77777777" w:rsidR="001A5BF9" w:rsidRPr="00F83302" w:rsidRDefault="001A5BF9" w:rsidP="00EA4F0C">
      <w:pPr>
        <w:pStyle w:val="FootnoteText"/>
        <w:rPr>
          <w:rFonts w:ascii="Arial" w:hAnsi="Arial" w:cs="Arial"/>
          <w:iCs/>
          <w:sz w:val="20"/>
          <w:szCs w:val="20"/>
          <w:lang w:val="en-US"/>
        </w:rPr>
      </w:pPr>
      <w:r w:rsidRPr="00F83302">
        <w:rPr>
          <w:rStyle w:val="FootnoteReference"/>
          <w:rFonts w:ascii="Arial" w:hAnsi="Arial" w:cs="Arial"/>
          <w:sz w:val="20"/>
          <w:szCs w:val="20"/>
        </w:rPr>
        <w:footnoteRef/>
      </w:r>
      <w:r w:rsidRPr="00F83302">
        <w:rPr>
          <w:rFonts w:ascii="Arial" w:hAnsi="Arial" w:cs="Arial"/>
          <w:sz w:val="20"/>
          <w:szCs w:val="20"/>
        </w:rPr>
        <w:t xml:space="preserve"> </w:t>
      </w:r>
      <w:r>
        <w:rPr>
          <w:rFonts w:ascii="Arial" w:hAnsi="Arial" w:cs="Arial"/>
          <w:sz w:val="20"/>
          <w:szCs w:val="20"/>
        </w:rPr>
        <w:t>Ibid.</w:t>
      </w:r>
    </w:p>
  </w:footnote>
  <w:footnote w:id="124">
    <w:p w14:paraId="57B15A0A" w14:textId="77777777" w:rsidR="001A5BF9" w:rsidRPr="00F83302" w:rsidRDefault="001A5BF9" w:rsidP="00EA4F0C">
      <w:pPr>
        <w:pStyle w:val="FootnoteText"/>
        <w:rPr>
          <w:rFonts w:ascii="Arial" w:hAnsi="Arial" w:cs="Arial"/>
          <w:iCs/>
          <w:sz w:val="20"/>
          <w:szCs w:val="20"/>
          <w:lang w:val="en-US"/>
        </w:rPr>
      </w:pPr>
      <w:r w:rsidRPr="00F83302">
        <w:rPr>
          <w:rStyle w:val="FootnoteReference"/>
          <w:rFonts w:ascii="Arial" w:hAnsi="Arial" w:cs="Arial"/>
          <w:sz w:val="20"/>
          <w:szCs w:val="20"/>
        </w:rPr>
        <w:footnoteRef/>
      </w:r>
      <w:r w:rsidRPr="00F83302">
        <w:rPr>
          <w:rFonts w:ascii="Arial" w:hAnsi="Arial" w:cs="Arial"/>
          <w:sz w:val="20"/>
          <w:szCs w:val="20"/>
        </w:rPr>
        <w:t xml:space="preserve"> </w:t>
      </w:r>
      <w:r>
        <w:rPr>
          <w:rFonts w:ascii="Arial" w:hAnsi="Arial" w:cs="Arial"/>
          <w:sz w:val="20"/>
          <w:szCs w:val="20"/>
        </w:rPr>
        <w:t>Ibid.</w:t>
      </w:r>
    </w:p>
  </w:footnote>
  <w:footnote w:id="125">
    <w:p w14:paraId="7B912111" w14:textId="33B2C2C0" w:rsidR="001A5BF9" w:rsidRPr="005B5427" w:rsidRDefault="001A5BF9">
      <w:pPr>
        <w:pStyle w:val="FootnoteText"/>
        <w:rPr>
          <w:rFonts w:ascii="Arial" w:hAnsi="Arial" w:cs="Arial"/>
          <w:sz w:val="20"/>
          <w:szCs w:val="20"/>
          <w:lang w:val="en-US"/>
        </w:rPr>
      </w:pPr>
      <w:r w:rsidRPr="005B5427">
        <w:rPr>
          <w:rStyle w:val="FootnoteReference"/>
          <w:rFonts w:ascii="Arial" w:hAnsi="Arial" w:cs="Arial"/>
          <w:sz w:val="20"/>
          <w:szCs w:val="20"/>
        </w:rPr>
        <w:footnoteRef/>
      </w:r>
      <w:r w:rsidRPr="005B5427">
        <w:rPr>
          <w:rFonts w:ascii="Arial" w:hAnsi="Arial" w:cs="Arial"/>
          <w:sz w:val="20"/>
          <w:szCs w:val="20"/>
        </w:rPr>
        <w:t xml:space="preserve"> </w:t>
      </w:r>
      <w:r>
        <w:rPr>
          <w:rFonts w:ascii="Arial" w:hAnsi="Arial" w:cs="Arial"/>
          <w:sz w:val="20"/>
          <w:szCs w:val="20"/>
        </w:rPr>
        <w:t>See ILC Guide 2011, Annex: Conclusions on the Reservations Dialogue.</w:t>
      </w:r>
    </w:p>
  </w:footnote>
  <w:footnote w:id="126">
    <w:p w14:paraId="4FCEDDB5" w14:textId="0A885078" w:rsidR="001A5BF9" w:rsidRPr="00F16370" w:rsidRDefault="001A5BF9">
      <w:pPr>
        <w:pStyle w:val="FootnoteText"/>
        <w:rPr>
          <w:rFonts w:ascii="Arial" w:hAnsi="Arial" w:cs="Arial"/>
          <w:sz w:val="20"/>
          <w:szCs w:val="20"/>
          <w:lang w:val="en-US"/>
        </w:rPr>
      </w:pPr>
      <w:r w:rsidRPr="00F16370">
        <w:rPr>
          <w:rStyle w:val="FootnoteReference"/>
          <w:rFonts w:ascii="Arial" w:hAnsi="Arial" w:cs="Arial"/>
          <w:sz w:val="20"/>
          <w:szCs w:val="20"/>
        </w:rPr>
        <w:footnoteRef/>
      </w:r>
      <w:r w:rsidRPr="00F16370">
        <w:rPr>
          <w:rFonts w:ascii="Arial" w:hAnsi="Arial" w:cs="Arial"/>
          <w:sz w:val="20"/>
          <w:szCs w:val="20"/>
        </w:rPr>
        <w:t xml:space="preserve"> </w:t>
      </w:r>
      <w:r>
        <w:rPr>
          <w:rFonts w:ascii="Arial" w:hAnsi="Arial" w:cs="Arial"/>
          <w:sz w:val="20"/>
          <w:szCs w:val="20"/>
        </w:rPr>
        <w:t>Ibid.</w:t>
      </w:r>
    </w:p>
  </w:footnote>
  <w:footnote w:id="127">
    <w:p w14:paraId="2B756337" w14:textId="1D186F08" w:rsidR="001A5BF9" w:rsidRPr="00797046" w:rsidRDefault="001A5BF9">
      <w:pPr>
        <w:pStyle w:val="FootnoteText"/>
        <w:rPr>
          <w:rFonts w:ascii="Arial" w:hAnsi="Arial" w:cs="Arial"/>
          <w:sz w:val="20"/>
          <w:szCs w:val="20"/>
          <w:lang w:val="en-US"/>
        </w:rPr>
      </w:pPr>
      <w:r w:rsidRPr="00797046">
        <w:rPr>
          <w:rStyle w:val="FootnoteReference"/>
          <w:rFonts w:ascii="Arial" w:hAnsi="Arial" w:cs="Arial"/>
          <w:sz w:val="20"/>
          <w:szCs w:val="20"/>
        </w:rPr>
        <w:footnoteRef/>
      </w:r>
      <w:r w:rsidRPr="00797046">
        <w:rPr>
          <w:rFonts w:ascii="Arial" w:hAnsi="Arial" w:cs="Arial"/>
          <w:sz w:val="20"/>
          <w:szCs w:val="20"/>
        </w:rPr>
        <w:t xml:space="preserve"> </w:t>
      </w:r>
      <w:r>
        <w:rPr>
          <w:rFonts w:ascii="Arial" w:hAnsi="Arial" w:cs="Arial"/>
          <w:sz w:val="20"/>
          <w:szCs w:val="20"/>
        </w:rPr>
        <w:t>M. Wood, ‘</w:t>
      </w:r>
      <w:r w:rsidRPr="00750A89">
        <w:rPr>
          <w:rFonts w:ascii="Arial" w:hAnsi="Arial" w:cs="Arial"/>
          <w:iCs/>
          <w:sz w:val="20"/>
          <w:szCs w:val="20"/>
          <w:lang w:val="en-US"/>
        </w:rPr>
        <w:t>Institutional Aspects of the Guide to Practice on Reservations</w:t>
      </w:r>
      <w:r>
        <w:rPr>
          <w:rFonts w:ascii="Arial" w:hAnsi="Arial" w:cs="Arial"/>
          <w:iCs/>
          <w:sz w:val="20"/>
          <w:szCs w:val="20"/>
          <w:lang w:val="en-US"/>
        </w:rPr>
        <w:t>’,</w:t>
      </w:r>
      <w:r w:rsidRPr="00750A89">
        <w:rPr>
          <w:rFonts w:ascii="Arial" w:hAnsi="Arial" w:cs="Arial"/>
          <w:i/>
          <w:iCs/>
          <w:sz w:val="20"/>
          <w:szCs w:val="20"/>
          <w:lang w:val="en-US"/>
        </w:rPr>
        <w:t xml:space="preserve"> EJIL </w:t>
      </w:r>
      <w:r w:rsidRPr="00750A89">
        <w:rPr>
          <w:rFonts w:ascii="Arial" w:hAnsi="Arial" w:cs="Arial"/>
          <w:sz w:val="20"/>
          <w:szCs w:val="20"/>
          <w:lang w:val="en-US"/>
        </w:rPr>
        <w:t xml:space="preserve">24 (2013), </w:t>
      </w:r>
      <w:r>
        <w:rPr>
          <w:rFonts w:ascii="Arial" w:hAnsi="Arial" w:cs="Arial"/>
          <w:sz w:val="20"/>
          <w:szCs w:val="20"/>
        </w:rPr>
        <w:t>at 1112.</w:t>
      </w:r>
    </w:p>
  </w:footnote>
  <w:footnote w:id="128">
    <w:p w14:paraId="3341CAF0" w14:textId="4D683543" w:rsidR="001A5BF9" w:rsidRPr="00797046" w:rsidRDefault="001A5BF9">
      <w:pPr>
        <w:pStyle w:val="FootnoteText"/>
        <w:rPr>
          <w:rFonts w:ascii="Arial" w:hAnsi="Arial" w:cs="Arial"/>
          <w:sz w:val="20"/>
          <w:szCs w:val="20"/>
          <w:lang w:val="en-US"/>
        </w:rPr>
      </w:pPr>
      <w:r w:rsidRPr="00797046">
        <w:rPr>
          <w:rStyle w:val="FootnoteReference"/>
          <w:rFonts w:ascii="Arial" w:hAnsi="Arial" w:cs="Arial"/>
          <w:sz w:val="20"/>
          <w:szCs w:val="20"/>
        </w:rPr>
        <w:footnoteRef/>
      </w:r>
      <w:r w:rsidRPr="00797046">
        <w:rPr>
          <w:rFonts w:ascii="Arial" w:hAnsi="Arial" w:cs="Arial"/>
          <w:sz w:val="20"/>
          <w:szCs w:val="20"/>
        </w:rPr>
        <w:t xml:space="preserve"> </w:t>
      </w:r>
      <w:r>
        <w:rPr>
          <w:rFonts w:ascii="Arial" w:hAnsi="Arial" w:cs="Arial"/>
          <w:sz w:val="20"/>
          <w:szCs w:val="20"/>
        </w:rPr>
        <w:t>Ibid.</w:t>
      </w:r>
    </w:p>
  </w:footnote>
  <w:footnote w:id="129">
    <w:p w14:paraId="1E2B2328" w14:textId="1E814724" w:rsidR="001A5BF9" w:rsidRPr="00C02708" w:rsidRDefault="001A5BF9">
      <w:pPr>
        <w:pStyle w:val="FootnoteText"/>
        <w:rPr>
          <w:rFonts w:ascii="Arial" w:hAnsi="Arial" w:cs="Arial"/>
          <w:sz w:val="20"/>
          <w:szCs w:val="20"/>
          <w:lang w:val="en-US"/>
        </w:rPr>
      </w:pPr>
      <w:r w:rsidRPr="00C02708">
        <w:rPr>
          <w:rStyle w:val="FootnoteReference"/>
          <w:rFonts w:ascii="Arial" w:hAnsi="Arial" w:cs="Arial"/>
          <w:sz w:val="20"/>
          <w:szCs w:val="20"/>
        </w:rPr>
        <w:footnoteRef/>
      </w:r>
      <w:r w:rsidRPr="00C02708">
        <w:rPr>
          <w:rFonts w:ascii="Arial" w:hAnsi="Arial" w:cs="Arial"/>
          <w:sz w:val="20"/>
          <w:szCs w:val="20"/>
        </w:rPr>
        <w:t xml:space="preserve"> </w:t>
      </w:r>
      <w:r>
        <w:rPr>
          <w:rFonts w:ascii="Arial" w:hAnsi="Arial" w:cs="Arial"/>
          <w:sz w:val="20"/>
          <w:szCs w:val="20"/>
        </w:rPr>
        <w:t>ILC Guide, n. 1814.</w:t>
      </w:r>
    </w:p>
  </w:footnote>
  <w:footnote w:id="130">
    <w:p w14:paraId="3B949B34" w14:textId="095D135B" w:rsidR="001A5BF9" w:rsidRPr="00CC3FDF" w:rsidRDefault="001A5BF9" w:rsidP="00A376B0">
      <w:pPr>
        <w:pStyle w:val="FootnoteText"/>
        <w:rPr>
          <w:rFonts w:ascii="Arial" w:hAnsi="Arial" w:cs="Arial"/>
          <w:sz w:val="20"/>
          <w:szCs w:val="20"/>
          <w:lang w:val="en-US"/>
        </w:rPr>
      </w:pPr>
      <w:r w:rsidRPr="00CC3FDF">
        <w:rPr>
          <w:rStyle w:val="FootnoteReference"/>
          <w:rFonts w:ascii="Arial" w:hAnsi="Arial" w:cs="Arial"/>
          <w:sz w:val="20"/>
          <w:szCs w:val="20"/>
        </w:rPr>
        <w:footnoteRef/>
      </w:r>
      <w:r w:rsidRPr="00CC3FDF">
        <w:rPr>
          <w:rFonts w:ascii="Arial" w:hAnsi="Arial" w:cs="Arial"/>
          <w:sz w:val="20"/>
          <w:szCs w:val="20"/>
        </w:rPr>
        <w:t xml:space="preserve"> </w:t>
      </w:r>
      <w:r w:rsidRPr="00CA6246">
        <w:rPr>
          <w:rFonts w:ascii="Arial" w:hAnsi="Arial" w:cs="Arial"/>
          <w:sz w:val="20"/>
          <w:szCs w:val="20"/>
        </w:rPr>
        <w:t>Wood (n 127), at</w:t>
      </w:r>
      <w:r>
        <w:rPr>
          <w:rFonts w:ascii="Arial" w:hAnsi="Arial" w:cs="Arial"/>
          <w:sz w:val="20"/>
          <w:szCs w:val="20"/>
        </w:rPr>
        <w:t xml:space="preserve"> 1112.</w:t>
      </w:r>
    </w:p>
  </w:footnote>
  <w:footnote w:id="131">
    <w:p w14:paraId="1CE13844" w14:textId="59383623" w:rsidR="001A5BF9" w:rsidRPr="00CC3FDF" w:rsidRDefault="001A5BF9">
      <w:pPr>
        <w:pStyle w:val="FootnoteText"/>
        <w:rPr>
          <w:rFonts w:ascii="Arial" w:hAnsi="Arial" w:cs="Arial"/>
          <w:sz w:val="20"/>
          <w:szCs w:val="20"/>
          <w:lang w:val="en-US"/>
        </w:rPr>
      </w:pPr>
      <w:r w:rsidRPr="00CC3FDF">
        <w:rPr>
          <w:rStyle w:val="FootnoteReference"/>
          <w:rFonts w:ascii="Arial" w:hAnsi="Arial" w:cs="Arial"/>
          <w:sz w:val="20"/>
          <w:szCs w:val="20"/>
        </w:rPr>
        <w:footnoteRef/>
      </w:r>
      <w:r w:rsidRPr="00CC3FDF">
        <w:rPr>
          <w:rFonts w:ascii="Arial" w:hAnsi="Arial" w:cs="Arial"/>
          <w:sz w:val="20"/>
          <w:szCs w:val="20"/>
        </w:rPr>
        <w:t xml:space="preserve"> </w:t>
      </w:r>
      <w:r>
        <w:rPr>
          <w:rFonts w:ascii="Arial" w:hAnsi="Arial" w:cs="Arial"/>
          <w:sz w:val="20"/>
          <w:szCs w:val="20"/>
        </w:rPr>
        <w:t>Ibid.</w:t>
      </w:r>
    </w:p>
  </w:footnote>
  <w:footnote w:id="132">
    <w:p w14:paraId="7E69D379" w14:textId="5B11156A" w:rsidR="001A5BF9" w:rsidRPr="00334143" w:rsidRDefault="001A5BF9">
      <w:pPr>
        <w:pStyle w:val="FootnoteText"/>
        <w:rPr>
          <w:rFonts w:ascii="Arial" w:hAnsi="Arial" w:cs="Arial"/>
          <w:sz w:val="20"/>
          <w:szCs w:val="20"/>
          <w:lang w:val="en-US"/>
        </w:rPr>
      </w:pPr>
      <w:r w:rsidRPr="00334143">
        <w:rPr>
          <w:rStyle w:val="FootnoteReference"/>
          <w:rFonts w:ascii="Arial" w:hAnsi="Arial" w:cs="Arial"/>
          <w:sz w:val="20"/>
          <w:szCs w:val="20"/>
        </w:rPr>
        <w:footnoteRef/>
      </w:r>
      <w:r w:rsidRPr="00334143">
        <w:rPr>
          <w:rFonts w:ascii="Arial" w:hAnsi="Arial" w:cs="Arial"/>
          <w:sz w:val="20"/>
          <w:szCs w:val="20"/>
        </w:rPr>
        <w:t xml:space="preserve"> </w:t>
      </w:r>
      <w:r>
        <w:rPr>
          <w:rFonts w:ascii="Arial" w:hAnsi="Arial" w:cs="Arial"/>
          <w:sz w:val="20"/>
          <w:szCs w:val="20"/>
        </w:rPr>
        <w:t xml:space="preserve">Rodley </w:t>
      </w:r>
      <w:r w:rsidRPr="006A0BF0">
        <w:rPr>
          <w:rFonts w:ascii="Arial" w:hAnsi="Arial" w:cs="Arial"/>
          <w:sz w:val="20"/>
          <w:szCs w:val="20"/>
        </w:rPr>
        <w:t>(n 82), p 93.</w:t>
      </w:r>
    </w:p>
  </w:footnote>
  <w:footnote w:id="133">
    <w:p w14:paraId="6E85A6A2" w14:textId="49B1334C" w:rsidR="001A5BF9" w:rsidRPr="00343F44" w:rsidRDefault="001A5BF9">
      <w:pPr>
        <w:pStyle w:val="FootnoteText"/>
        <w:rPr>
          <w:rFonts w:ascii="Arial" w:hAnsi="Arial" w:cs="Arial"/>
          <w:sz w:val="20"/>
          <w:szCs w:val="20"/>
          <w:lang w:val="en-US"/>
        </w:rPr>
      </w:pPr>
      <w:r w:rsidRPr="00343F44">
        <w:rPr>
          <w:rStyle w:val="FootnoteReference"/>
          <w:rFonts w:ascii="Arial" w:hAnsi="Arial" w:cs="Arial"/>
          <w:sz w:val="20"/>
          <w:szCs w:val="20"/>
        </w:rPr>
        <w:footnoteRef/>
      </w:r>
      <w:r w:rsidRPr="00343F44">
        <w:rPr>
          <w:rFonts w:ascii="Arial" w:hAnsi="Arial" w:cs="Arial"/>
          <w:sz w:val="20"/>
          <w:szCs w:val="20"/>
        </w:rPr>
        <w:t xml:space="preserve"> </w:t>
      </w:r>
      <w:r w:rsidRPr="00343F44">
        <w:rPr>
          <w:rFonts w:ascii="Arial" w:hAnsi="Arial" w:cs="Arial"/>
          <w:sz w:val="20"/>
          <w:szCs w:val="20"/>
          <w:lang w:val="en-US"/>
        </w:rPr>
        <w:t xml:space="preserve">[1957] ICJ </w:t>
      </w:r>
      <w:r>
        <w:rPr>
          <w:rFonts w:ascii="Arial" w:hAnsi="Arial" w:cs="Arial"/>
          <w:sz w:val="20"/>
          <w:szCs w:val="20"/>
          <w:lang w:val="en-US"/>
        </w:rPr>
        <w:t>Rep 7.</w:t>
      </w:r>
    </w:p>
  </w:footnote>
  <w:footnote w:id="134">
    <w:p w14:paraId="24431519" w14:textId="31D0BFD2" w:rsidR="001A5BF9" w:rsidRPr="00433660" w:rsidRDefault="001A5BF9" w:rsidP="00343F44">
      <w:pPr>
        <w:pStyle w:val="FootnoteText"/>
        <w:rPr>
          <w:rFonts w:ascii="Arial" w:hAnsi="Arial" w:cs="Arial"/>
          <w:sz w:val="20"/>
          <w:szCs w:val="20"/>
          <w:lang w:val="en-US"/>
        </w:rPr>
      </w:pPr>
      <w:r w:rsidRPr="00433660">
        <w:rPr>
          <w:rStyle w:val="FootnoteReference"/>
          <w:rFonts w:ascii="Arial" w:hAnsi="Arial" w:cs="Arial"/>
          <w:sz w:val="20"/>
          <w:szCs w:val="20"/>
        </w:rPr>
        <w:footnoteRef/>
      </w:r>
      <w:r w:rsidRPr="00433660">
        <w:rPr>
          <w:rFonts w:ascii="Arial" w:hAnsi="Arial" w:cs="Arial"/>
          <w:sz w:val="20"/>
          <w:szCs w:val="20"/>
        </w:rPr>
        <w:t xml:space="preserve"> </w:t>
      </w:r>
      <w:r w:rsidRPr="00343F44">
        <w:rPr>
          <w:rFonts w:ascii="Arial" w:hAnsi="Arial" w:cs="Arial"/>
          <w:i/>
          <w:sz w:val="20"/>
          <w:szCs w:val="20"/>
        </w:rPr>
        <w:t xml:space="preserve">Interhandel </w:t>
      </w:r>
      <w:r w:rsidRPr="00343F44">
        <w:rPr>
          <w:rFonts w:ascii="Arial" w:hAnsi="Arial" w:cs="Arial"/>
          <w:i/>
          <w:sz w:val="20"/>
          <w:szCs w:val="20"/>
          <w:lang w:val="en-US"/>
        </w:rPr>
        <w:t xml:space="preserve">(Switzerland </w:t>
      </w:r>
      <w:r w:rsidRPr="00343F44">
        <w:rPr>
          <w:rFonts w:ascii="Arial" w:hAnsi="Arial" w:cs="Arial"/>
          <w:sz w:val="20"/>
          <w:szCs w:val="20"/>
          <w:lang w:val="en-US"/>
        </w:rPr>
        <w:t>v</w:t>
      </w:r>
      <w:r w:rsidRPr="00343F44">
        <w:rPr>
          <w:rFonts w:ascii="Arial" w:hAnsi="Arial" w:cs="Arial"/>
          <w:i/>
          <w:sz w:val="20"/>
          <w:szCs w:val="20"/>
          <w:lang w:val="en-US"/>
        </w:rPr>
        <w:t xml:space="preserve"> United States of America)</w:t>
      </w:r>
      <w:r>
        <w:rPr>
          <w:rFonts w:ascii="Arial" w:hAnsi="Arial" w:cs="Arial"/>
          <w:sz w:val="20"/>
          <w:szCs w:val="20"/>
          <w:lang w:val="en-US"/>
        </w:rPr>
        <w:t xml:space="preserve"> (Preliminary Objections) </w:t>
      </w:r>
      <w:r w:rsidRPr="00433660">
        <w:rPr>
          <w:rFonts w:ascii="Arial" w:hAnsi="Arial" w:cs="Arial"/>
          <w:sz w:val="20"/>
          <w:szCs w:val="20"/>
          <w:lang w:val="en-US"/>
        </w:rPr>
        <w:t>[1959] ICJ Rep 4 (‘Interhandel Case’).  </w:t>
      </w:r>
    </w:p>
  </w:footnote>
  <w:footnote w:id="135">
    <w:p w14:paraId="0B8C3194" w14:textId="26701CCE" w:rsidR="001A5BF9" w:rsidRPr="00444361" w:rsidRDefault="001A5BF9">
      <w:pPr>
        <w:pStyle w:val="FootnoteText"/>
        <w:rPr>
          <w:rFonts w:ascii="Arial" w:hAnsi="Arial" w:cs="Arial"/>
          <w:sz w:val="20"/>
          <w:szCs w:val="20"/>
          <w:lang w:val="en-US"/>
        </w:rPr>
      </w:pPr>
      <w:r w:rsidRPr="00444361">
        <w:rPr>
          <w:rStyle w:val="FootnoteReference"/>
          <w:rFonts w:ascii="Arial" w:hAnsi="Arial" w:cs="Arial"/>
          <w:sz w:val="20"/>
          <w:szCs w:val="20"/>
        </w:rPr>
        <w:footnoteRef/>
      </w:r>
      <w:r w:rsidRPr="00444361">
        <w:rPr>
          <w:rFonts w:ascii="Arial" w:hAnsi="Arial" w:cs="Arial"/>
          <w:sz w:val="20"/>
          <w:szCs w:val="20"/>
        </w:rPr>
        <w:t xml:space="preserve"> </w:t>
      </w:r>
      <w:r w:rsidRPr="00444361">
        <w:rPr>
          <w:rFonts w:ascii="Arial" w:hAnsi="Arial" w:cs="Arial"/>
          <w:sz w:val="20"/>
          <w:szCs w:val="20"/>
          <w:lang w:val="en-US"/>
        </w:rPr>
        <w:t>Ibid</w:t>
      </w:r>
      <w:r>
        <w:rPr>
          <w:rFonts w:ascii="Arial" w:hAnsi="Arial" w:cs="Arial"/>
          <w:sz w:val="20"/>
          <w:szCs w:val="20"/>
          <w:lang w:val="en-US"/>
        </w:rPr>
        <w:t>,</w:t>
      </w:r>
      <w:r w:rsidRPr="00444361">
        <w:rPr>
          <w:rFonts w:ascii="Arial" w:hAnsi="Arial" w:cs="Arial"/>
          <w:sz w:val="20"/>
          <w:szCs w:val="20"/>
          <w:lang w:val="en-US"/>
        </w:rPr>
        <w:t xml:space="preserve"> 56</w:t>
      </w:r>
      <w:r>
        <w:rPr>
          <w:rFonts w:ascii="Arial" w:hAnsi="Arial" w:cs="Arial"/>
          <w:sz w:val="20"/>
          <w:szCs w:val="20"/>
          <w:lang w:val="en-US"/>
        </w:rPr>
        <w:t>-</w:t>
      </w:r>
      <w:r w:rsidRPr="00444361">
        <w:rPr>
          <w:rFonts w:ascii="Arial" w:hAnsi="Arial" w:cs="Arial"/>
          <w:sz w:val="20"/>
          <w:szCs w:val="20"/>
          <w:lang w:val="en-US"/>
        </w:rPr>
        <w:t>7 (Separate Opinion of Judge Lauterpacht).  </w:t>
      </w:r>
    </w:p>
  </w:footnote>
  <w:footnote w:id="136">
    <w:p w14:paraId="1912420C" w14:textId="64FFEBEE" w:rsidR="001A5BF9" w:rsidRPr="00E60FE2" w:rsidRDefault="001A5BF9">
      <w:pPr>
        <w:pStyle w:val="FootnoteText"/>
        <w:rPr>
          <w:rFonts w:ascii="Arial" w:hAnsi="Arial" w:cs="Arial"/>
          <w:sz w:val="20"/>
          <w:szCs w:val="20"/>
          <w:lang w:val="en-US"/>
        </w:rPr>
      </w:pPr>
      <w:r w:rsidRPr="00E60FE2">
        <w:rPr>
          <w:rStyle w:val="FootnoteReference"/>
          <w:rFonts w:ascii="Arial" w:hAnsi="Arial" w:cs="Arial"/>
          <w:sz w:val="20"/>
          <w:szCs w:val="20"/>
        </w:rPr>
        <w:footnoteRef/>
      </w:r>
      <w:r w:rsidRPr="00E60FE2">
        <w:rPr>
          <w:rFonts w:ascii="Arial" w:hAnsi="Arial" w:cs="Arial"/>
          <w:sz w:val="20"/>
          <w:szCs w:val="20"/>
        </w:rPr>
        <w:t xml:space="preserve"> </w:t>
      </w:r>
      <w:r>
        <w:rPr>
          <w:rFonts w:ascii="Arial" w:hAnsi="Arial" w:cs="Arial"/>
          <w:sz w:val="20"/>
          <w:szCs w:val="20"/>
        </w:rPr>
        <w:t xml:space="preserve">Dixon </w:t>
      </w:r>
      <w:r w:rsidRPr="0041720F">
        <w:rPr>
          <w:rFonts w:ascii="Arial" w:hAnsi="Arial" w:cs="Arial"/>
          <w:sz w:val="20"/>
          <w:szCs w:val="20"/>
        </w:rPr>
        <w:t>(n 7),</w:t>
      </w:r>
      <w:r>
        <w:rPr>
          <w:rFonts w:ascii="Arial" w:hAnsi="Arial" w:cs="Arial"/>
          <w:sz w:val="20"/>
          <w:szCs w:val="20"/>
        </w:rPr>
        <w:t xml:space="preserve"> p 308.</w:t>
      </w:r>
    </w:p>
  </w:footnote>
  <w:footnote w:id="137">
    <w:p w14:paraId="2D39868E" w14:textId="7FF7B658" w:rsidR="001A5BF9" w:rsidRPr="0090052B" w:rsidRDefault="001A5BF9">
      <w:pPr>
        <w:pStyle w:val="FootnoteText"/>
        <w:rPr>
          <w:rFonts w:ascii="Arial" w:hAnsi="Arial" w:cs="Arial"/>
          <w:sz w:val="20"/>
          <w:szCs w:val="20"/>
          <w:lang w:val="en-US"/>
        </w:rPr>
      </w:pPr>
      <w:r w:rsidRPr="0090052B">
        <w:rPr>
          <w:rStyle w:val="FootnoteReference"/>
          <w:rFonts w:ascii="Arial" w:hAnsi="Arial" w:cs="Arial"/>
          <w:sz w:val="20"/>
          <w:szCs w:val="20"/>
        </w:rPr>
        <w:footnoteRef/>
      </w:r>
      <w:r w:rsidRPr="0090052B">
        <w:rPr>
          <w:rFonts w:ascii="Arial" w:hAnsi="Arial" w:cs="Arial"/>
          <w:sz w:val="20"/>
          <w:szCs w:val="20"/>
        </w:rPr>
        <w:t xml:space="preserve"> </w:t>
      </w:r>
      <w:r>
        <w:rPr>
          <w:rFonts w:ascii="Arial" w:hAnsi="Arial" w:cs="Arial"/>
          <w:sz w:val="20"/>
          <w:szCs w:val="20"/>
        </w:rPr>
        <w:t>Ibid.</w:t>
      </w:r>
    </w:p>
  </w:footnote>
  <w:footnote w:id="138">
    <w:p w14:paraId="62F87C7F" w14:textId="29BBB424" w:rsidR="001A5BF9" w:rsidRPr="00D05518" w:rsidRDefault="001A5BF9" w:rsidP="0045006A">
      <w:pPr>
        <w:pStyle w:val="FootnoteText"/>
        <w:rPr>
          <w:rFonts w:ascii="Arial" w:hAnsi="Arial"/>
          <w:sz w:val="20"/>
          <w:szCs w:val="20"/>
        </w:rPr>
      </w:pPr>
      <w:r w:rsidRPr="004800C5">
        <w:rPr>
          <w:rStyle w:val="FootnoteReference"/>
          <w:rFonts w:ascii="Arial" w:hAnsi="Arial"/>
          <w:sz w:val="20"/>
          <w:szCs w:val="20"/>
        </w:rPr>
        <w:footnoteRef/>
      </w:r>
      <w:r w:rsidRPr="004800C5">
        <w:rPr>
          <w:rFonts w:ascii="Arial" w:hAnsi="Arial"/>
          <w:sz w:val="20"/>
          <w:szCs w:val="20"/>
        </w:rPr>
        <w:t xml:space="preserve"> </w:t>
      </w:r>
      <w:r>
        <w:rPr>
          <w:rFonts w:ascii="Arial" w:hAnsi="Arial"/>
          <w:sz w:val="20"/>
          <w:szCs w:val="20"/>
        </w:rPr>
        <w:t xml:space="preserve">UN Doc. CCPR, General Comment 24 (1994) CCPR/C/21/Rev.1/Add.6. Also: F. Hampson, </w:t>
      </w:r>
      <w:r w:rsidRPr="00F55742">
        <w:rPr>
          <w:rFonts w:ascii="Arial" w:hAnsi="Arial"/>
          <w:bCs/>
          <w:i/>
          <w:sz w:val="20"/>
          <w:szCs w:val="20"/>
        </w:rPr>
        <w:t xml:space="preserve">Report of the Sub-Commission on the Promotion and Protection of Human Rights on its Fifty-First Session, Geneva, </w:t>
      </w:r>
      <w:r w:rsidRPr="00F55742">
        <w:rPr>
          <w:rFonts w:ascii="Arial" w:hAnsi="Arial"/>
          <w:bCs/>
          <w:sz w:val="20"/>
          <w:szCs w:val="20"/>
        </w:rPr>
        <w:t>2-27 August 1999,</w:t>
      </w:r>
      <w:r>
        <w:rPr>
          <w:rFonts w:ascii="Arial" w:hAnsi="Arial"/>
          <w:sz w:val="20"/>
          <w:szCs w:val="20"/>
        </w:rPr>
        <w:t xml:space="preserve"> E/CN.4/Sub.2/1999/28, 28 June 1999; </w:t>
      </w:r>
      <w:r w:rsidRPr="00D05518">
        <w:rPr>
          <w:rFonts w:ascii="Arial" w:hAnsi="Arial"/>
          <w:sz w:val="20"/>
          <w:szCs w:val="20"/>
        </w:rPr>
        <w:t>Helfer L R, ‘Overlegalizing Human Rights: International Relations Theory and the Commonwealth Caribbean Backlash Against Human Rights Regimes’, 102 </w:t>
      </w:r>
      <w:r w:rsidRPr="00D05518">
        <w:rPr>
          <w:rFonts w:ascii="Arial" w:hAnsi="Arial"/>
          <w:i/>
          <w:iCs/>
          <w:sz w:val="20"/>
          <w:szCs w:val="20"/>
        </w:rPr>
        <w:t>Columb</w:t>
      </w:r>
      <w:r>
        <w:rPr>
          <w:rFonts w:ascii="Arial" w:hAnsi="Arial"/>
          <w:i/>
          <w:iCs/>
          <w:sz w:val="20"/>
          <w:szCs w:val="20"/>
        </w:rPr>
        <w:t>i</w:t>
      </w:r>
      <w:r w:rsidRPr="00D05518">
        <w:rPr>
          <w:rFonts w:ascii="Arial" w:hAnsi="Arial"/>
          <w:i/>
          <w:iCs/>
          <w:sz w:val="20"/>
          <w:szCs w:val="20"/>
        </w:rPr>
        <w:t>a Law Review</w:t>
      </w:r>
      <w:r w:rsidRPr="00D05518">
        <w:rPr>
          <w:rFonts w:ascii="Arial" w:hAnsi="Arial"/>
          <w:sz w:val="20"/>
          <w:szCs w:val="20"/>
        </w:rPr>
        <w:t> (2002) 1832-1911</w:t>
      </w:r>
      <w:r>
        <w:rPr>
          <w:rFonts w:ascii="Arial" w:hAnsi="Arial"/>
          <w:sz w:val="20"/>
          <w:szCs w:val="20"/>
        </w:rPr>
        <w:t xml:space="preserve">. Further: </w:t>
      </w:r>
      <w:r>
        <w:rPr>
          <w:rFonts w:ascii="Arial" w:hAnsi="Arial"/>
          <w:i/>
          <w:sz w:val="20"/>
          <w:szCs w:val="20"/>
        </w:rPr>
        <w:t>Armed Activities (2002 Application) (DRC v Rwanda)</w:t>
      </w:r>
      <w:r>
        <w:rPr>
          <w:rFonts w:ascii="Arial" w:hAnsi="Arial"/>
          <w:sz w:val="20"/>
          <w:szCs w:val="20"/>
        </w:rPr>
        <w:t>, Jurisdiction and Admissibility, ICJ Reports 2006, pp. 6, 69-70 (Judges Higgins, Kooijmans, El Araby, Owada &amp; Simma).</w:t>
      </w:r>
    </w:p>
  </w:footnote>
  <w:footnote w:id="139">
    <w:p w14:paraId="3FE804E9" w14:textId="2032BAFE" w:rsidR="001A5BF9" w:rsidRPr="007826B5" w:rsidRDefault="001A5BF9" w:rsidP="007826B5">
      <w:pPr>
        <w:pStyle w:val="FootnoteText"/>
        <w:rPr>
          <w:rFonts w:ascii="Arial" w:hAnsi="Arial"/>
          <w:sz w:val="20"/>
          <w:szCs w:val="20"/>
          <w:lang w:val="en-US"/>
        </w:rPr>
      </w:pPr>
      <w:r w:rsidRPr="004800C5">
        <w:rPr>
          <w:rStyle w:val="FootnoteReference"/>
          <w:rFonts w:ascii="Arial" w:hAnsi="Arial"/>
          <w:sz w:val="20"/>
          <w:szCs w:val="20"/>
        </w:rPr>
        <w:footnoteRef/>
      </w:r>
      <w:r w:rsidRPr="004800C5">
        <w:rPr>
          <w:rFonts w:ascii="Arial" w:hAnsi="Arial"/>
          <w:sz w:val="20"/>
          <w:szCs w:val="20"/>
        </w:rPr>
        <w:t xml:space="preserve"> </w:t>
      </w:r>
      <w:r>
        <w:rPr>
          <w:rFonts w:ascii="Arial" w:hAnsi="Arial" w:cs="Arial"/>
          <w:sz w:val="20"/>
          <w:szCs w:val="20"/>
        </w:rPr>
        <w:t xml:space="preserve">J. Crawford, </w:t>
      </w:r>
      <w:r>
        <w:rPr>
          <w:rFonts w:ascii="Arial" w:hAnsi="Arial" w:cs="Arial"/>
          <w:i/>
          <w:sz w:val="20"/>
          <w:szCs w:val="20"/>
        </w:rPr>
        <w:t xml:space="preserve">Brownlie’s Principles of Public International Law </w:t>
      </w:r>
      <w:r>
        <w:rPr>
          <w:rFonts w:ascii="Arial" w:hAnsi="Arial" w:cs="Arial"/>
          <w:sz w:val="20"/>
          <w:szCs w:val="20"/>
        </w:rPr>
        <w:t>(8</w:t>
      </w:r>
      <w:r w:rsidRPr="00051937">
        <w:rPr>
          <w:rFonts w:ascii="Arial" w:hAnsi="Arial" w:cs="Arial"/>
          <w:sz w:val="20"/>
          <w:szCs w:val="20"/>
          <w:vertAlign w:val="superscript"/>
        </w:rPr>
        <w:t>th</w:t>
      </w:r>
      <w:r>
        <w:rPr>
          <w:rFonts w:ascii="Arial" w:hAnsi="Arial" w:cs="Arial"/>
          <w:sz w:val="20"/>
          <w:szCs w:val="20"/>
        </w:rPr>
        <w:t xml:space="preserve"> edn, OUP 2012)</w:t>
      </w:r>
      <w:r>
        <w:rPr>
          <w:rFonts w:ascii="Arial" w:hAnsi="Arial"/>
          <w:sz w:val="20"/>
          <w:szCs w:val="20"/>
        </w:rPr>
        <w:t>, p 376.</w:t>
      </w:r>
    </w:p>
  </w:footnote>
  <w:footnote w:id="140">
    <w:p w14:paraId="01D4C669" w14:textId="25F16C08" w:rsidR="001A5BF9" w:rsidRPr="00BE7C3E" w:rsidRDefault="001A5BF9">
      <w:pPr>
        <w:pStyle w:val="FootnoteText"/>
        <w:rPr>
          <w:rFonts w:ascii="Arial" w:hAnsi="Arial" w:cs="Arial"/>
          <w:sz w:val="20"/>
          <w:szCs w:val="20"/>
          <w:lang w:val="en-US"/>
        </w:rPr>
      </w:pPr>
      <w:r w:rsidRPr="00BE7C3E">
        <w:rPr>
          <w:rStyle w:val="FootnoteReference"/>
          <w:rFonts w:ascii="Arial" w:hAnsi="Arial" w:cs="Arial"/>
          <w:sz w:val="20"/>
          <w:szCs w:val="20"/>
        </w:rPr>
        <w:footnoteRef/>
      </w:r>
      <w:r w:rsidRPr="00BE7C3E">
        <w:rPr>
          <w:rFonts w:ascii="Arial" w:hAnsi="Arial" w:cs="Arial"/>
          <w:sz w:val="20"/>
          <w:szCs w:val="20"/>
        </w:rPr>
        <w:t xml:space="preserve"> </w:t>
      </w:r>
      <w:r>
        <w:rPr>
          <w:rFonts w:ascii="Arial" w:hAnsi="Arial" w:cs="Arial"/>
          <w:sz w:val="20"/>
          <w:szCs w:val="20"/>
        </w:rPr>
        <w:t xml:space="preserve">(2000) 7 I.H.R.R. 315. </w:t>
      </w:r>
    </w:p>
  </w:footnote>
  <w:footnote w:id="141">
    <w:p w14:paraId="0010FCDF" w14:textId="76CDCB08" w:rsidR="001A5BF9" w:rsidRPr="00FB38EC" w:rsidRDefault="001A5BF9">
      <w:pPr>
        <w:pStyle w:val="FootnoteText"/>
        <w:rPr>
          <w:rFonts w:ascii="Arial" w:hAnsi="Arial" w:cs="Arial"/>
          <w:sz w:val="20"/>
          <w:szCs w:val="20"/>
          <w:lang w:val="en-US"/>
        </w:rPr>
      </w:pPr>
      <w:r w:rsidRPr="00FB38EC">
        <w:rPr>
          <w:rStyle w:val="FootnoteReference"/>
          <w:rFonts w:ascii="Arial" w:hAnsi="Arial" w:cs="Arial"/>
          <w:sz w:val="20"/>
          <w:szCs w:val="20"/>
        </w:rPr>
        <w:footnoteRef/>
      </w:r>
      <w:r w:rsidRPr="00FB38EC">
        <w:rPr>
          <w:rFonts w:ascii="Arial" w:hAnsi="Arial" w:cs="Arial"/>
          <w:sz w:val="20"/>
          <w:szCs w:val="20"/>
        </w:rPr>
        <w:t xml:space="preserve"> </w:t>
      </w:r>
      <w:r w:rsidRPr="00B12E1B">
        <w:rPr>
          <w:rFonts w:ascii="Arial" w:hAnsi="Arial" w:cs="Arial"/>
          <w:sz w:val="20"/>
          <w:szCs w:val="20"/>
        </w:rPr>
        <w:t>Klabbers (n 14),</w:t>
      </w:r>
      <w:r>
        <w:rPr>
          <w:rFonts w:ascii="Arial" w:hAnsi="Arial" w:cs="Arial"/>
          <w:sz w:val="20"/>
          <w:szCs w:val="20"/>
        </w:rPr>
        <w:t xml:space="preserve"> p 189.</w:t>
      </w:r>
    </w:p>
  </w:footnote>
  <w:footnote w:id="142">
    <w:p w14:paraId="5B0979A6" w14:textId="72B0EB33" w:rsidR="001A5BF9" w:rsidRPr="00D133FF" w:rsidRDefault="001A5BF9">
      <w:pPr>
        <w:pStyle w:val="FootnoteText"/>
        <w:rPr>
          <w:rFonts w:ascii="Arial" w:hAnsi="Arial" w:cs="Arial"/>
          <w:sz w:val="20"/>
          <w:szCs w:val="20"/>
          <w:lang w:val="en-US"/>
        </w:rPr>
      </w:pPr>
      <w:r w:rsidRPr="00D133FF">
        <w:rPr>
          <w:rStyle w:val="FootnoteReference"/>
          <w:rFonts w:ascii="Arial" w:hAnsi="Arial" w:cs="Arial"/>
          <w:sz w:val="20"/>
          <w:szCs w:val="20"/>
        </w:rPr>
        <w:footnoteRef/>
      </w:r>
      <w:r w:rsidRPr="00D133FF">
        <w:rPr>
          <w:rFonts w:ascii="Arial" w:hAnsi="Arial" w:cs="Arial"/>
          <w:sz w:val="20"/>
          <w:szCs w:val="20"/>
        </w:rPr>
        <w:t xml:space="preserve"> </w:t>
      </w:r>
      <w:r w:rsidRPr="00D133FF">
        <w:rPr>
          <w:rFonts w:ascii="Arial" w:hAnsi="Arial" w:cs="Arial"/>
          <w:sz w:val="20"/>
          <w:szCs w:val="20"/>
          <w:lang w:val="en-US"/>
        </w:rPr>
        <w:t xml:space="preserve">Judge Sir Hersch Lauterpacht </w:t>
      </w:r>
      <w:r>
        <w:rPr>
          <w:rFonts w:ascii="Arial" w:hAnsi="Arial" w:cs="Arial"/>
          <w:sz w:val="20"/>
          <w:szCs w:val="20"/>
          <w:lang w:val="en-US"/>
        </w:rPr>
        <w:t xml:space="preserve">agreed with this approach when he indicated that </w:t>
      </w:r>
      <w:r w:rsidRPr="00D133FF">
        <w:rPr>
          <w:rFonts w:ascii="Arial" w:hAnsi="Arial" w:cs="Arial"/>
          <w:sz w:val="20"/>
          <w:szCs w:val="20"/>
          <w:lang w:val="en-US"/>
        </w:rPr>
        <w:t xml:space="preserve">“[i]n a different sphere, the Opinion of this Court in the case of </w:t>
      </w:r>
      <w:r w:rsidRPr="00D133FF">
        <w:rPr>
          <w:rFonts w:ascii="Arial" w:hAnsi="Arial" w:cs="Arial"/>
          <w:i/>
          <w:iCs/>
          <w:sz w:val="20"/>
          <w:szCs w:val="20"/>
          <w:lang w:val="en-US"/>
        </w:rPr>
        <w:t xml:space="preserve">Reservations to the Genocide Convention </w:t>
      </w:r>
      <w:r w:rsidRPr="00D133FF">
        <w:rPr>
          <w:rFonts w:ascii="Arial" w:hAnsi="Arial" w:cs="Arial"/>
          <w:sz w:val="20"/>
          <w:szCs w:val="20"/>
          <w:lang w:val="en-US"/>
        </w:rPr>
        <w:t>shows that there may be reasonable limits to the notion of the indivisibility of a treaty and that some of its provisions may not be of a nature essential to the tre</w:t>
      </w:r>
      <w:r>
        <w:rPr>
          <w:rFonts w:ascii="Arial" w:hAnsi="Arial" w:cs="Arial"/>
          <w:sz w:val="20"/>
          <w:szCs w:val="20"/>
          <w:lang w:val="en-US"/>
        </w:rPr>
        <w:t xml:space="preserve">aty as a whole”. Ibid, at 56. </w:t>
      </w:r>
    </w:p>
  </w:footnote>
  <w:footnote w:id="143">
    <w:p w14:paraId="5186C8A4" w14:textId="77777777" w:rsidR="001A5BF9" w:rsidRPr="0009521A" w:rsidRDefault="001A5BF9" w:rsidP="00A1140F">
      <w:pPr>
        <w:pStyle w:val="FootnoteText"/>
        <w:rPr>
          <w:rFonts w:ascii="Arial" w:hAnsi="Arial" w:cs="Arial"/>
          <w:sz w:val="20"/>
          <w:szCs w:val="20"/>
          <w:lang w:val="en-US"/>
        </w:rPr>
      </w:pPr>
      <w:r w:rsidRPr="0009521A">
        <w:rPr>
          <w:rStyle w:val="FootnoteReference"/>
          <w:rFonts w:ascii="Arial" w:hAnsi="Arial" w:cs="Arial"/>
          <w:sz w:val="20"/>
          <w:szCs w:val="20"/>
        </w:rPr>
        <w:footnoteRef/>
      </w:r>
      <w:r w:rsidRPr="0009521A">
        <w:rPr>
          <w:rFonts w:ascii="Arial" w:hAnsi="Arial" w:cs="Arial"/>
          <w:sz w:val="20"/>
          <w:szCs w:val="20"/>
        </w:rPr>
        <w:t xml:space="preserve"> </w:t>
      </w:r>
      <w:r w:rsidRPr="006828D8">
        <w:rPr>
          <w:rFonts w:ascii="Arial" w:hAnsi="Arial" w:cs="Arial"/>
          <w:sz w:val="20"/>
          <w:szCs w:val="20"/>
          <w:lang w:val="en-US"/>
        </w:rPr>
        <w:t>C</w:t>
      </w:r>
      <w:r>
        <w:rPr>
          <w:rFonts w:ascii="Arial" w:hAnsi="Arial" w:cs="Arial"/>
          <w:sz w:val="20"/>
          <w:szCs w:val="20"/>
          <w:lang w:val="en-US"/>
        </w:rPr>
        <w:t>.</w:t>
      </w:r>
      <w:r w:rsidRPr="006828D8">
        <w:rPr>
          <w:rFonts w:ascii="Arial" w:hAnsi="Arial" w:cs="Arial"/>
          <w:sz w:val="20"/>
          <w:szCs w:val="20"/>
          <w:lang w:val="en-US"/>
        </w:rPr>
        <w:t xml:space="preserve"> Redgwell, </w:t>
      </w:r>
      <w:r>
        <w:rPr>
          <w:rFonts w:ascii="Arial" w:hAnsi="Arial" w:cs="Arial"/>
          <w:sz w:val="20"/>
          <w:szCs w:val="20"/>
          <w:lang w:val="en-US"/>
        </w:rPr>
        <w:t>‘</w:t>
      </w:r>
      <w:r w:rsidRPr="006828D8">
        <w:rPr>
          <w:rFonts w:ascii="Arial" w:hAnsi="Arial" w:cs="Arial"/>
          <w:sz w:val="20"/>
          <w:szCs w:val="20"/>
          <w:lang w:val="en-US"/>
        </w:rPr>
        <w:t>Universality or Integrity: Some Reflections on Reservations to General Multilateral Treaties</w:t>
      </w:r>
      <w:r>
        <w:rPr>
          <w:rFonts w:ascii="Arial" w:hAnsi="Arial" w:cs="Arial"/>
          <w:sz w:val="20"/>
          <w:szCs w:val="20"/>
          <w:lang w:val="en-US"/>
        </w:rPr>
        <w:t>’</w:t>
      </w:r>
      <w:r w:rsidRPr="006828D8">
        <w:rPr>
          <w:rFonts w:ascii="Arial" w:hAnsi="Arial" w:cs="Arial"/>
          <w:sz w:val="20"/>
          <w:szCs w:val="20"/>
          <w:lang w:val="en-US"/>
        </w:rPr>
        <w:t xml:space="preserve">, 64 </w:t>
      </w:r>
      <w:r w:rsidRPr="006828D8">
        <w:rPr>
          <w:rFonts w:ascii="Arial" w:hAnsi="Arial" w:cs="Arial"/>
          <w:i/>
          <w:iCs/>
          <w:sz w:val="20"/>
          <w:szCs w:val="20"/>
          <w:lang w:val="en-US"/>
        </w:rPr>
        <w:t xml:space="preserve">British Yearbook of International Law </w:t>
      </w:r>
      <w:r w:rsidRPr="006828D8">
        <w:rPr>
          <w:rFonts w:ascii="Arial" w:hAnsi="Arial" w:cs="Arial"/>
          <w:sz w:val="20"/>
          <w:szCs w:val="20"/>
          <w:lang w:val="en-US"/>
        </w:rPr>
        <w:t xml:space="preserve">(1993), 245–282, at 266–267. </w:t>
      </w:r>
    </w:p>
  </w:footnote>
  <w:footnote w:id="144">
    <w:p w14:paraId="3ACC1C29" w14:textId="59AAAF7F" w:rsidR="001A5BF9" w:rsidRPr="0036622A" w:rsidRDefault="001A5BF9" w:rsidP="00A1140F">
      <w:pPr>
        <w:pStyle w:val="FootnoteText"/>
        <w:rPr>
          <w:rFonts w:ascii="Arial" w:hAnsi="Arial" w:cs="Arial"/>
          <w:sz w:val="20"/>
          <w:szCs w:val="20"/>
          <w:lang w:val="en-US"/>
        </w:rPr>
      </w:pPr>
      <w:r w:rsidRPr="0036622A">
        <w:rPr>
          <w:rStyle w:val="FootnoteReference"/>
          <w:rFonts w:ascii="Arial" w:hAnsi="Arial" w:cs="Arial"/>
          <w:sz w:val="20"/>
          <w:szCs w:val="20"/>
        </w:rPr>
        <w:footnoteRef/>
      </w:r>
      <w:r w:rsidRPr="0036622A">
        <w:rPr>
          <w:rFonts w:ascii="Arial" w:hAnsi="Arial" w:cs="Arial"/>
          <w:sz w:val="20"/>
          <w:szCs w:val="20"/>
        </w:rPr>
        <w:t xml:space="preserve"> </w:t>
      </w:r>
      <w:r w:rsidRPr="00024C7D">
        <w:rPr>
          <w:rFonts w:ascii="Arial" w:hAnsi="Arial" w:cs="Arial"/>
          <w:sz w:val="20"/>
          <w:szCs w:val="20"/>
        </w:rPr>
        <w:t>Klabbers (n 14),</w:t>
      </w:r>
      <w:r w:rsidRPr="0036622A">
        <w:rPr>
          <w:rFonts w:ascii="Arial" w:hAnsi="Arial" w:cs="Arial"/>
          <w:sz w:val="20"/>
          <w:szCs w:val="20"/>
        </w:rPr>
        <w:t xml:space="preserve"> p 188.</w:t>
      </w:r>
    </w:p>
  </w:footnote>
  <w:footnote w:id="145">
    <w:p w14:paraId="43612FE7" w14:textId="34A6F683" w:rsidR="001A5BF9" w:rsidRPr="000C5BA9" w:rsidRDefault="001A5BF9" w:rsidP="00A1140F">
      <w:pPr>
        <w:pStyle w:val="FootnoteText"/>
        <w:rPr>
          <w:rFonts w:ascii="Arial" w:hAnsi="Arial" w:cs="Arial"/>
          <w:sz w:val="20"/>
          <w:szCs w:val="20"/>
          <w:lang w:val="en-US"/>
        </w:rPr>
      </w:pPr>
      <w:r w:rsidRPr="000C5BA9">
        <w:rPr>
          <w:rStyle w:val="FootnoteReference"/>
          <w:rFonts w:ascii="Arial" w:hAnsi="Arial" w:cs="Arial"/>
          <w:sz w:val="20"/>
          <w:szCs w:val="20"/>
        </w:rPr>
        <w:footnoteRef/>
      </w:r>
      <w:r w:rsidRPr="000C5BA9">
        <w:rPr>
          <w:rFonts w:ascii="Arial" w:hAnsi="Arial" w:cs="Arial"/>
          <w:sz w:val="20"/>
          <w:szCs w:val="20"/>
        </w:rPr>
        <w:t xml:space="preserve"> </w:t>
      </w:r>
      <w:r>
        <w:rPr>
          <w:rFonts w:ascii="Arial" w:hAnsi="Arial" w:cs="Arial"/>
          <w:i/>
          <w:iCs/>
          <w:sz w:val="20"/>
          <w:szCs w:val="20"/>
          <w:lang w:val="en-US"/>
        </w:rPr>
        <w:t>Norwegian L</w:t>
      </w:r>
      <w:r w:rsidRPr="000C5BA9">
        <w:rPr>
          <w:rFonts w:ascii="Arial" w:hAnsi="Arial" w:cs="Arial"/>
          <w:i/>
          <w:iCs/>
          <w:sz w:val="20"/>
          <w:szCs w:val="20"/>
          <w:lang w:val="en-US"/>
        </w:rPr>
        <w:t>oans</w:t>
      </w:r>
      <w:r>
        <w:rPr>
          <w:rFonts w:ascii="Arial" w:hAnsi="Arial" w:cs="Arial"/>
          <w:i/>
          <w:iCs/>
          <w:sz w:val="20"/>
          <w:szCs w:val="20"/>
          <w:lang w:val="en-US"/>
        </w:rPr>
        <w:t xml:space="preserve"> Case</w:t>
      </w:r>
      <w:r w:rsidRPr="000C5BA9">
        <w:rPr>
          <w:rFonts w:ascii="Arial" w:hAnsi="Arial" w:cs="Arial"/>
          <w:i/>
          <w:iCs/>
          <w:sz w:val="20"/>
          <w:szCs w:val="20"/>
          <w:lang w:val="en-US"/>
        </w:rPr>
        <w:t xml:space="preserve"> </w:t>
      </w:r>
      <w:r w:rsidRPr="000C5BA9">
        <w:rPr>
          <w:rFonts w:ascii="Arial" w:hAnsi="Arial" w:cs="Arial"/>
          <w:sz w:val="20"/>
          <w:szCs w:val="20"/>
          <w:lang w:val="en-US"/>
        </w:rPr>
        <w:t>(</w:t>
      </w:r>
      <w:r w:rsidRPr="000C5BA9">
        <w:rPr>
          <w:rFonts w:ascii="Arial" w:hAnsi="Arial" w:cs="Arial"/>
          <w:i/>
          <w:iCs/>
          <w:sz w:val="20"/>
          <w:szCs w:val="20"/>
          <w:lang w:val="en-US"/>
        </w:rPr>
        <w:t xml:space="preserve">France </w:t>
      </w:r>
      <w:r>
        <w:rPr>
          <w:rFonts w:ascii="Arial" w:hAnsi="Arial" w:cs="Arial"/>
          <w:sz w:val="20"/>
          <w:szCs w:val="20"/>
          <w:lang w:val="en-US"/>
        </w:rPr>
        <w:t>v</w:t>
      </w:r>
      <w:r w:rsidRPr="000C5BA9">
        <w:rPr>
          <w:rFonts w:ascii="Arial" w:hAnsi="Arial" w:cs="Arial"/>
          <w:sz w:val="20"/>
          <w:szCs w:val="20"/>
          <w:lang w:val="en-US"/>
        </w:rPr>
        <w:t xml:space="preserve"> </w:t>
      </w:r>
      <w:r w:rsidRPr="000C5BA9">
        <w:rPr>
          <w:rFonts w:ascii="Arial" w:hAnsi="Arial" w:cs="Arial"/>
          <w:i/>
          <w:iCs/>
          <w:sz w:val="20"/>
          <w:szCs w:val="20"/>
          <w:lang w:val="en-US"/>
        </w:rPr>
        <w:t>Norway</w:t>
      </w:r>
      <w:r>
        <w:rPr>
          <w:rFonts w:ascii="Arial" w:hAnsi="Arial" w:cs="Arial"/>
          <w:sz w:val="20"/>
          <w:szCs w:val="20"/>
          <w:lang w:val="en-US"/>
        </w:rPr>
        <w:t>)</w:t>
      </w:r>
      <w:r w:rsidRPr="000C5BA9">
        <w:rPr>
          <w:rFonts w:ascii="Arial" w:hAnsi="Arial" w:cs="Arial"/>
          <w:sz w:val="20"/>
          <w:szCs w:val="20"/>
          <w:lang w:val="en-US"/>
        </w:rPr>
        <w:t xml:space="preserve"> 1957 </w:t>
      </w:r>
      <w:r w:rsidRPr="00197C26">
        <w:rPr>
          <w:rFonts w:ascii="Arial" w:hAnsi="Arial" w:cs="Arial"/>
          <w:iCs/>
          <w:sz w:val="20"/>
          <w:szCs w:val="20"/>
          <w:lang w:val="en-US"/>
        </w:rPr>
        <w:t>ICJ Rep</w:t>
      </w:r>
      <w:r>
        <w:rPr>
          <w:rFonts w:ascii="Arial" w:hAnsi="Arial" w:cs="Arial"/>
          <w:iCs/>
          <w:sz w:val="20"/>
          <w:szCs w:val="20"/>
          <w:lang w:val="en-US"/>
        </w:rPr>
        <w:t>.</w:t>
      </w:r>
      <w:r w:rsidRPr="000C5BA9">
        <w:rPr>
          <w:rFonts w:ascii="Arial" w:hAnsi="Arial" w:cs="Arial"/>
          <w:i/>
          <w:iCs/>
          <w:sz w:val="20"/>
          <w:szCs w:val="20"/>
          <w:lang w:val="en-US"/>
        </w:rPr>
        <w:t xml:space="preserve"> </w:t>
      </w:r>
      <w:r w:rsidRPr="000C5BA9">
        <w:rPr>
          <w:rFonts w:ascii="Arial" w:hAnsi="Arial" w:cs="Arial"/>
          <w:sz w:val="20"/>
          <w:szCs w:val="20"/>
          <w:lang w:val="en-US"/>
        </w:rPr>
        <w:t xml:space="preserve">9, 55–59. </w:t>
      </w:r>
      <w:r>
        <w:rPr>
          <w:rFonts w:ascii="Arial" w:hAnsi="Arial" w:cs="Arial"/>
          <w:sz w:val="20"/>
          <w:szCs w:val="20"/>
          <w:lang w:val="en-US"/>
        </w:rPr>
        <w:t>But,</w:t>
      </w:r>
      <w:r w:rsidRPr="000C5BA9">
        <w:rPr>
          <w:rFonts w:ascii="Arial" w:hAnsi="Arial" w:cs="Arial"/>
          <w:sz w:val="20"/>
          <w:szCs w:val="20"/>
          <w:lang w:val="en-US"/>
        </w:rPr>
        <w:t xml:space="preserve"> Greig</w:t>
      </w:r>
      <w:r>
        <w:rPr>
          <w:rFonts w:ascii="Arial" w:hAnsi="Arial" w:cs="Arial"/>
          <w:sz w:val="20"/>
          <w:szCs w:val="20"/>
          <w:lang w:val="en-US"/>
        </w:rPr>
        <w:t xml:space="preserve"> disputed Lauterpacht’s position, by suggesting that it stemmed from false foundations and exaggerated the reserving state’s aims. </w:t>
      </w:r>
      <w:r w:rsidRPr="000E5A7F">
        <w:rPr>
          <w:rFonts w:ascii="Arial" w:hAnsi="Arial" w:cs="Arial"/>
          <w:sz w:val="20"/>
          <w:szCs w:val="20"/>
          <w:lang w:val="en-US"/>
        </w:rPr>
        <w:t>Greig (n 53),</w:t>
      </w:r>
      <w:r w:rsidRPr="000C5BA9">
        <w:rPr>
          <w:rFonts w:ascii="Arial" w:hAnsi="Arial" w:cs="Arial"/>
          <w:sz w:val="20"/>
          <w:szCs w:val="20"/>
          <w:lang w:val="en-US"/>
        </w:rPr>
        <w:t xml:space="preserve"> 295–403, at 3</w:t>
      </w:r>
      <w:r>
        <w:rPr>
          <w:rFonts w:ascii="Arial" w:hAnsi="Arial" w:cs="Arial"/>
          <w:sz w:val="20"/>
          <w:szCs w:val="20"/>
          <w:lang w:val="en-US"/>
        </w:rPr>
        <w:t>40-341</w:t>
      </w:r>
      <w:r w:rsidRPr="000C5BA9">
        <w:rPr>
          <w:rFonts w:ascii="Arial" w:hAnsi="Arial" w:cs="Arial"/>
          <w:sz w:val="20"/>
          <w:szCs w:val="20"/>
          <w:lang w:val="en-US"/>
        </w:rPr>
        <w:t xml:space="preserve">. </w:t>
      </w:r>
    </w:p>
  </w:footnote>
  <w:footnote w:id="146">
    <w:p w14:paraId="0277970D" w14:textId="3CAFC679" w:rsidR="001A5BF9" w:rsidRPr="00981F1C" w:rsidRDefault="001A5BF9" w:rsidP="00A1140F">
      <w:pPr>
        <w:pStyle w:val="FootnoteText"/>
        <w:rPr>
          <w:rFonts w:ascii="Arial" w:hAnsi="Arial" w:cs="Arial"/>
          <w:sz w:val="20"/>
          <w:szCs w:val="20"/>
          <w:lang w:val="en-US"/>
        </w:rPr>
      </w:pPr>
      <w:r w:rsidRPr="00981F1C">
        <w:rPr>
          <w:rStyle w:val="FootnoteReference"/>
          <w:rFonts w:ascii="Arial" w:hAnsi="Arial" w:cs="Arial"/>
          <w:sz w:val="20"/>
          <w:szCs w:val="20"/>
        </w:rPr>
        <w:footnoteRef/>
      </w:r>
      <w:r w:rsidRPr="00981F1C">
        <w:rPr>
          <w:rFonts w:ascii="Arial" w:hAnsi="Arial" w:cs="Arial"/>
          <w:sz w:val="20"/>
          <w:szCs w:val="20"/>
        </w:rPr>
        <w:t xml:space="preserve"> </w:t>
      </w:r>
      <w:r w:rsidRPr="00101488">
        <w:rPr>
          <w:rFonts w:ascii="Arial" w:hAnsi="Arial" w:cs="Arial"/>
          <w:sz w:val="20"/>
          <w:szCs w:val="20"/>
        </w:rPr>
        <w:t>Ziemele</w:t>
      </w:r>
      <w:r>
        <w:rPr>
          <w:rFonts w:ascii="Arial" w:hAnsi="Arial" w:cs="Arial"/>
          <w:color w:val="FF0000"/>
          <w:sz w:val="20"/>
          <w:szCs w:val="20"/>
        </w:rPr>
        <w:t xml:space="preserve"> </w:t>
      </w:r>
      <w:r w:rsidRPr="0062754E">
        <w:rPr>
          <w:rFonts w:ascii="Arial" w:hAnsi="Arial" w:cs="Arial"/>
          <w:sz w:val="20"/>
          <w:szCs w:val="20"/>
        </w:rPr>
        <w:t>(n 66),</w:t>
      </w:r>
      <w:r w:rsidRPr="00101488">
        <w:rPr>
          <w:rFonts w:ascii="Arial" w:hAnsi="Arial" w:cs="Arial"/>
          <w:sz w:val="20"/>
          <w:szCs w:val="20"/>
        </w:rPr>
        <w:t xml:space="preserve"> p 296.</w:t>
      </w:r>
    </w:p>
  </w:footnote>
  <w:footnote w:id="147">
    <w:p w14:paraId="718F211E" w14:textId="77777777" w:rsidR="001A5BF9" w:rsidRPr="004A7900" w:rsidRDefault="001A5BF9" w:rsidP="000F71A4">
      <w:pPr>
        <w:pStyle w:val="FootnoteText"/>
        <w:rPr>
          <w:rFonts w:ascii="Arial" w:hAnsi="Arial" w:cs="Arial"/>
          <w:sz w:val="20"/>
          <w:szCs w:val="20"/>
          <w:lang w:val="en-US"/>
        </w:rPr>
      </w:pPr>
      <w:r w:rsidRPr="004A7900">
        <w:rPr>
          <w:rStyle w:val="FootnoteReference"/>
          <w:rFonts w:ascii="Arial" w:hAnsi="Arial" w:cs="Arial"/>
          <w:sz w:val="20"/>
          <w:szCs w:val="20"/>
        </w:rPr>
        <w:footnoteRef/>
      </w:r>
      <w:r w:rsidRPr="004A7900">
        <w:rPr>
          <w:rFonts w:ascii="Arial" w:hAnsi="Arial" w:cs="Arial"/>
          <w:sz w:val="20"/>
          <w:szCs w:val="20"/>
        </w:rPr>
        <w:t xml:space="preserve"> </w:t>
      </w:r>
      <w:r>
        <w:rPr>
          <w:rFonts w:ascii="Arial" w:hAnsi="Arial" w:cs="Arial"/>
          <w:sz w:val="20"/>
          <w:szCs w:val="20"/>
        </w:rPr>
        <w:t xml:space="preserve">Dixon </w:t>
      </w:r>
      <w:r w:rsidRPr="00B12E1B">
        <w:rPr>
          <w:rFonts w:ascii="Arial" w:hAnsi="Arial" w:cs="Arial"/>
          <w:sz w:val="20"/>
          <w:szCs w:val="20"/>
        </w:rPr>
        <w:t>(n 7),</w:t>
      </w:r>
      <w:r>
        <w:rPr>
          <w:rFonts w:ascii="Arial" w:hAnsi="Arial" w:cs="Arial"/>
          <w:sz w:val="20"/>
          <w:szCs w:val="20"/>
        </w:rPr>
        <w:t xml:space="preserve"> p 308.</w:t>
      </w:r>
    </w:p>
  </w:footnote>
  <w:footnote w:id="148">
    <w:p w14:paraId="52C7F3AD" w14:textId="106CC84D" w:rsidR="001A5BF9" w:rsidRPr="001041C3" w:rsidRDefault="001A5BF9">
      <w:pPr>
        <w:pStyle w:val="FootnoteText"/>
        <w:rPr>
          <w:rFonts w:ascii="Arial" w:hAnsi="Arial" w:cs="Arial"/>
          <w:sz w:val="20"/>
          <w:szCs w:val="20"/>
        </w:rPr>
      </w:pPr>
      <w:r w:rsidRPr="00A02D03">
        <w:rPr>
          <w:rStyle w:val="FootnoteReference"/>
          <w:rFonts w:ascii="Arial" w:hAnsi="Arial" w:cs="Arial"/>
          <w:sz w:val="20"/>
          <w:szCs w:val="20"/>
        </w:rPr>
        <w:footnoteRef/>
      </w:r>
      <w:r w:rsidRPr="00A02D03">
        <w:rPr>
          <w:rFonts w:ascii="Arial" w:hAnsi="Arial" w:cs="Arial"/>
          <w:sz w:val="20"/>
          <w:szCs w:val="20"/>
        </w:rPr>
        <w:t xml:space="preserve"> </w:t>
      </w:r>
      <w:r>
        <w:rPr>
          <w:rFonts w:ascii="Arial" w:hAnsi="Arial" w:cs="Arial"/>
          <w:sz w:val="20"/>
          <w:szCs w:val="20"/>
        </w:rPr>
        <w:t>1998 ICJ</w:t>
      </w:r>
      <w:r w:rsidRPr="001041C3">
        <w:rPr>
          <w:rFonts w:ascii="Arial" w:hAnsi="Arial" w:cs="Arial"/>
          <w:sz w:val="20"/>
          <w:szCs w:val="20"/>
        </w:rPr>
        <w:t xml:space="preserve"> 432</w:t>
      </w:r>
      <w:r>
        <w:rPr>
          <w:rFonts w:ascii="Arial" w:hAnsi="Arial" w:cs="Arial"/>
          <w:sz w:val="20"/>
          <w:szCs w:val="20"/>
        </w:rPr>
        <w:t>.</w:t>
      </w:r>
    </w:p>
  </w:footnote>
  <w:footnote w:id="149">
    <w:p w14:paraId="5759E183" w14:textId="3496009D" w:rsidR="001A5BF9" w:rsidRPr="00211319" w:rsidRDefault="001A5BF9">
      <w:pPr>
        <w:pStyle w:val="FootnoteText"/>
        <w:rPr>
          <w:rFonts w:ascii="Arial" w:hAnsi="Arial" w:cs="Arial"/>
          <w:sz w:val="20"/>
          <w:szCs w:val="20"/>
          <w:lang w:val="en-US"/>
        </w:rPr>
      </w:pPr>
      <w:r w:rsidRPr="00211319">
        <w:rPr>
          <w:rStyle w:val="FootnoteReference"/>
          <w:rFonts w:ascii="Arial" w:hAnsi="Arial" w:cs="Arial"/>
          <w:sz w:val="20"/>
          <w:szCs w:val="20"/>
        </w:rPr>
        <w:footnoteRef/>
      </w:r>
      <w:r w:rsidRPr="00211319">
        <w:rPr>
          <w:rFonts w:ascii="Arial" w:hAnsi="Arial" w:cs="Arial"/>
          <w:sz w:val="20"/>
          <w:szCs w:val="20"/>
        </w:rPr>
        <w:t xml:space="preserve"> </w:t>
      </w:r>
      <w:r>
        <w:rPr>
          <w:rFonts w:ascii="Arial" w:hAnsi="Arial" w:cs="Arial"/>
          <w:sz w:val="20"/>
          <w:szCs w:val="20"/>
        </w:rPr>
        <w:t>1986 ICJ Rep 14.</w:t>
      </w:r>
    </w:p>
  </w:footnote>
  <w:footnote w:id="150">
    <w:p w14:paraId="4F9D1EE4" w14:textId="428F8AAC" w:rsidR="001A5BF9" w:rsidRPr="00180B9E" w:rsidRDefault="001A5BF9" w:rsidP="00C50195">
      <w:pPr>
        <w:pStyle w:val="FootnoteText"/>
        <w:rPr>
          <w:rFonts w:ascii="Arial" w:hAnsi="Arial" w:cs="Arial"/>
          <w:sz w:val="20"/>
          <w:szCs w:val="20"/>
          <w:lang w:val="en-US"/>
        </w:rPr>
      </w:pPr>
      <w:r w:rsidRPr="00180B9E">
        <w:rPr>
          <w:rStyle w:val="FootnoteReference"/>
          <w:rFonts w:ascii="Arial" w:hAnsi="Arial" w:cs="Arial"/>
          <w:sz w:val="20"/>
          <w:szCs w:val="20"/>
        </w:rPr>
        <w:footnoteRef/>
      </w:r>
      <w:r w:rsidRPr="00180B9E">
        <w:rPr>
          <w:rFonts w:ascii="Arial" w:hAnsi="Arial" w:cs="Arial"/>
          <w:sz w:val="20"/>
          <w:szCs w:val="20"/>
        </w:rPr>
        <w:t xml:space="preserve"> </w:t>
      </w:r>
      <w:r>
        <w:rPr>
          <w:rFonts w:ascii="Arial" w:hAnsi="Arial" w:cs="Arial"/>
          <w:i/>
          <w:sz w:val="20"/>
          <w:szCs w:val="20"/>
        </w:rPr>
        <w:t xml:space="preserve">Belilos </w:t>
      </w:r>
      <w:r>
        <w:rPr>
          <w:rFonts w:ascii="Arial" w:hAnsi="Arial" w:cs="Arial"/>
          <w:sz w:val="20"/>
          <w:szCs w:val="20"/>
        </w:rPr>
        <w:t xml:space="preserve">v </w:t>
      </w:r>
      <w:r>
        <w:rPr>
          <w:rFonts w:ascii="Arial" w:hAnsi="Arial" w:cs="Arial"/>
          <w:i/>
          <w:sz w:val="20"/>
          <w:szCs w:val="20"/>
        </w:rPr>
        <w:t xml:space="preserve">Switzerland </w:t>
      </w:r>
      <w:r w:rsidRPr="000544E7">
        <w:rPr>
          <w:rFonts w:ascii="Arial" w:hAnsi="Arial" w:cs="Arial"/>
          <w:sz w:val="20"/>
          <w:szCs w:val="20"/>
        </w:rPr>
        <w:t>(n 62).</w:t>
      </w:r>
    </w:p>
  </w:footnote>
  <w:footnote w:id="151">
    <w:p w14:paraId="59B6EE30" w14:textId="744C1CD2" w:rsidR="001A5BF9" w:rsidRPr="002C77F7" w:rsidRDefault="001A5BF9" w:rsidP="00C50195">
      <w:pPr>
        <w:pStyle w:val="FootnoteText"/>
        <w:rPr>
          <w:rFonts w:ascii="Arial" w:hAnsi="Arial" w:cs="Arial"/>
          <w:i/>
          <w:sz w:val="20"/>
          <w:szCs w:val="20"/>
        </w:rPr>
      </w:pPr>
      <w:r w:rsidRPr="002C77F7">
        <w:rPr>
          <w:rStyle w:val="FootnoteReference"/>
          <w:rFonts w:ascii="Arial" w:hAnsi="Arial" w:cs="Arial"/>
          <w:sz w:val="20"/>
          <w:szCs w:val="20"/>
        </w:rPr>
        <w:footnoteRef/>
      </w:r>
      <w:r w:rsidRPr="002C77F7">
        <w:rPr>
          <w:rFonts w:ascii="Arial" w:hAnsi="Arial" w:cs="Arial"/>
          <w:sz w:val="20"/>
          <w:szCs w:val="20"/>
        </w:rPr>
        <w:t xml:space="preserve"> </w:t>
      </w:r>
      <w:r w:rsidRPr="002C77F7">
        <w:rPr>
          <w:rFonts w:ascii="Arial" w:hAnsi="Arial" w:cs="Arial"/>
          <w:i/>
          <w:sz w:val="20"/>
          <w:szCs w:val="20"/>
        </w:rPr>
        <w:t>Weber</w:t>
      </w:r>
      <w:r w:rsidRPr="002C77F7">
        <w:rPr>
          <w:rFonts w:ascii="Arial" w:hAnsi="Arial" w:cs="Arial"/>
          <w:sz w:val="20"/>
          <w:szCs w:val="20"/>
        </w:rPr>
        <w:t xml:space="preserve"> v </w:t>
      </w:r>
      <w:r w:rsidRPr="002C77F7">
        <w:rPr>
          <w:rFonts w:ascii="Arial" w:hAnsi="Arial" w:cs="Arial"/>
          <w:i/>
          <w:sz w:val="20"/>
          <w:szCs w:val="20"/>
        </w:rPr>
        <w:t xml:space="preserve">Switzerland </w:t>
      </w:r>
      <w:r w:rsidRPr="002C77F7">
        <w:rPr>
          <w:rFonts w:ascii="Arial" w:hAnsi="Arial" w:cs="Arial"/>
          <w:sz w:val="20"/>
          <w:szCs w:val="20"/>
        </w:rPr>
        <w:t>[1990] ECHR 13</w:t>
      </w:r>
      <w:r>
        <w:rPr>
          <w:rFonts w:ascii="Arial" w:hAnsi="Arial" w:cs="Arial"/>
          <w:sz w:val="20"/>
          <w:szCs w:val="20"/>
        </w:rPr>
        <w:t xml:space="preserve"> A/177</w:t>
      </w:r>
      <w:r w:rsidRPr="002C77F7">
        <w:rPr>
          <w:rFonts w:ascii="Arial" w:hAnsi="Arial" w:cs="Arial"/>
          <w:sz w:val="20"/>
          <w:szCs w:val="20"/>
        </w:rPr>
        <w:t>.</w:t>
      </w:r>
    </w:p>
  </w:footnote>
  <w:footnote w:id="152">
    <w:p w14:paraId="59DC8DB7" w14:textId="356E84D4" w:rsidR="001A5BF9" w:rsidRPr="004800C5" w:rsidRDefault="001A5BF9" w:rsidP="00C50195">
      <w:pPr>
        <w:pStyle w:val="FootnoteText"/>
        <w:rPr>
          <w:rFonts w:ascii="Arial" w:hAnsi="Arial"/>
          <w:sz w:val="20"/>
          <w:szCs w:val="20"/>
          <w:lang w:val="en-US"/>
        </w:rPr>
      </w:pPr>
      <w:r w:rsidRPr="004800C5">
        <w:rPr>
          <w:rStyle w:val="FootnoteReference"/>
          <w:rFonts w:ascii="Arial" w:hAnsi="Arial"/>
          <w:sz w:val="20"/>
          <w:szCs w:val="20"/>
        </w:rPr>
        <w:footnoteRef/>
      </w:r>
      <w:r w:rsidRPr="004800C5">
        <w:rPr>
          <w:rFonts w:ascii="Arial" w:hAnsi="Arial"/>
          <w:sz w:val="20"/>
          <w:szCs w:val="20"/>
        </w:rPr>
        <w:t xml:space="preserve"> </w:t>
      </w:r>
      <w:r>
        <w:rPr>
          <w:rFonts w:ascii="Arial" w:hAnsi="Arial"/>
          <w:sz w:val="20"/>
          <w:szCs w:val="20"/>
        </w:rPr>
        <w:t xml:space="preserve">See C. Chinkin et al (J. Gardener ed.), </w:t>
      </w:r>
      <w:r>
        <w:rPr>
          <w:rFonts w:ascii="Arial" w:hAnsi="Arial"/>
          <w:i/>
          <w:sz w:val="20"/>
          <w:szCs w:val="20"/>
        </w:rPr>
        <w:t xml:space="preserve">Human Rights as General Norms and a State’s Right to Opt Out </w:t>
      </w:r>
      <w:r>
        <w:rPr>
          <w:rFonts w:ascii="Arial" w:hAnsi="Arial"/>
          <w:sz w:val="20"/>
          <w:szCs w:val="20"/>
        </w:rPr>
        <w:t>(</w:t>
      </w:r>
      <w:r w:rsidRPr="00DA5FE1">
        <w:rPr>
          <w:rFonts w:ascii="Arial" w:hAnsi="Arial"/>
          <w:sz w:val="20"/>
          <w:szCs w:val="20"/>
        </w:rPr>
        <w:t>London: British Institute of Int</w:t>
      </w:r>
      <w:r>
        <w:rPr>
          <w:rFonts w:ascii="Arial" w:hAnsi="Arial"/>
          <w:sz w:val="20"/>
          <w:szCs w:val="20"/>
        </w:rPr>
        <w:t>ernational and Comparative Law 1997).</w:t>
      </w:r>
    </w:p>
  </w:footnote>
  <w:footnote w:id="153">
    <w:p w14:paraId="7D357CFE" w14:textId="77777777" w:rsidR="001A5BF9" w:rsidRPr="00180B9E" w:rsidRDefault="001A5BF9" w:rsidP="00C50195">
      <w:pPr>
        <w:pStyle w:val="FootnoteText"/>
        <w:rPr>
          <w:rFonts w:ascii="Arial" w:hAnsi="Arial" w:cs="Arial"/>
          <w:sz w:val="20"/>
          <w:szCs w:val="20"/>
          <w:lang w:val="en-US"/>
        </w:rPr>
      </w:pPr>
      <w:r w:rsidRPr="00180B9E">
        <w:rPr>
          <w:rStyle w:val="FootnoteReference"/>
          <w:rFonts w:ascii="Arial" w:hAnsi="Arial" w:cs="Arial"/>
          <w:sz w:val="20"/>
          <w:szCs w:val="20"/>
        </w:rPr>
        <w:footnoteRef/>
      </w:r>
      <w:r w:rsidRPr="00180B9E">
        <w:rPr>
          <w:rFonts w:ascii="Arial" w:hAnsi="Arial" w:cs="Arial"/>
          <w:sz w:val="20"/>
          <w:szCs w:val="20"/>
        </w:rPr>
        <w:t xml:space="preserve"> </w:t>
      </w:r>
      <w:r>
        <w:rPr>
          <w:rFonts w:ascii="Arial" w:hAnsi="Arial" w:cs="Arial"/>
          <w:i/>
          <w:sz w:val="20"/>
          <w:szCs w:val="20"/>
        </w:rPr>
        <w:t xml:space="preserve">Loizidou </w:t>
      </w:r>
      <w:r>
        <w:rPr>
          <w:rFonts w:ascii="Arial" w:hAnsi="Arial" w:cs="Arial"/>
          <w:sz w:val="20"/>
          <w:szCs w:val="20"/>
        </w:rPr>
        <w:t xml:space="preserve">v </w:t>
      </w:r>
      <w:r>
        <w:rPr>
          <w:rFonts w:ascii="Arial" w:hAnsi="Arial" w:cs="Arial"/>
          <w:i/>
          <w:sz w:val="20"/>
          <w:szCs w:val="20"/>
        </w:rPr>
        <w:t xml:space="preserve">Turkey </w:t>
      </w:r>
      <w:r w:rsidRPr="008B6DF1">
        <w:rPr>
          <w:rFonts w:ascii="Arial" w:hAnsi="Arial" w:cs="Arial"/>
          <w:sz w:val="20"/>
          <w:szCs w:val="20"/>
        </w:rPr>
        <w:t>(Preliminary Objections)</w:t>
      </w:r>
      <w:r>
        <w:rPr>
          <w:rFonts w:ascii="Arial" w:hAnsi="Arial" w:cs="Arial"/>
          <w:i/>
          <w:sz w:val="20"/>
          <w:szCs w:val="20"/>
        </w:rPr>
        <w:t xml:space="preserve"> </w:t>
      </w:r>
      <w:r>
        <w:rPr>
          <w:rFonts w:ascii="Arial" w:hAnsi="Arial" w:cs="Arial"/>
          <w:sz w:val="20"/>
          <w:szCs w:val="20"/>
        </w:rPr>
        <w:t>103 ILR 622, Judgment of 23 March 1995, Ser A, No 130, paras 15, 27, 89-90, 95.</w:t>
      </w:r>
    </w:p>
  </w:footnote>
  <w:footnote w:id="154">
    <w:p w14:paraId="08092279" w14:textId="6F8DE66A" w:rsidR="001A5BF9" w:rsidRPr="00DF2213" w:rsidRDefault="001A5BF9" w:rsidP="00C50195">
      <w:pPr>
        <w:pStyle w:val="FootnoteText"/>
        <w:rPr>
          <w:rFonts w:ascii="Arial" w:hAnsi="Arial" w:cs="Arial"/>
          <w:sz w:val="20"/>
          <w:szCs w:val="20"/>
          <w:lang w:val="en-US"/>
        </w:rPr>
      </w:pPr>
      <w:r w:rsidRPr="00DF2213">
        <w:rPr>
          <w:rStyle w:val="FootnoteReference"/>
          <w:rFonts w:ascii="Arial" w:hAnsi="Arial" w:cs="Arial"/>
          <w:sz w:val="20"/>
          <w:szCs w:val="20"/>
        </w:rPr>
        <w:footnoteRef/>
      </w:r>
      <w:r w:rsidRPr="00DF2213">
        <w:rPr>
          <w:rFonts w:ascii="Arial" w:hAnsi="Arial" w:cs="Arial"/>
          <w:sz w:val="20"/>
          <w:szCs w:val="20"/>
        </w:rPr>
        <w:t xml:space="preserve"> </w:t>
      </w:r>
      <w:r>
        <w:rPr>
          <w:rFonts w:ascii="Arial" w:hAnsi="Arial" w:cs="Arial"/>
          <w:sz w:val="20"/>
          <w:szCs w:val="20"/>
        </w:rPr>
        <w:t xml:space="preserve">HRC </w:t>
      </w:r>
      <w:r w:rsidRPr="009C152B">
        <w:rPr>
          <w:rFonts w:ascii="Arial" w:hAnsi="Arial" w:cs="Arial"/>
          <w:i/>
          <w:sz w:val="20"/>
          <w:szCs w:val="20"/>
        </w:rPr>
        <w:t>General Comment No. 24</w:t>
      </w:r>
      <w:r>
        <w:rPr>
          <w:rFonts w:ascii="Arial" w:hAnsi="Arial" w:cs="Arial"/>
          <w:sz w:val="20"/>
          <w:szCs w:val="20"/>
        </w:rPr>
        <w:t xml:space="preserve"> </w:t>
      </w:r>
      <w:r w:rsidRPr="00D75B8C">
        <w:rPr>
          <w:rFonts w:ascii="Arial" w:hAnsi="Arial" w:cs="Arial"/>
          <w:sz w:val="20"/>
          <w:szCs w:val="20"/>
        </w:rPr>
        <w:t>(n 67), para</w:t>
      </w:r>
      <w:r>
        <w:rPr>
          <w:rFonts w:ascii="Arial" w:hAnsi="Arial" w:cs="Arial"/>
          <w:sz w:val="20"/>
          <w:szCs w:val="20"/>
        </w:rPr>
        <w:t>. 18. The HRC took the view that: ‘</w:t>
      </w:r>
      <w:r w:rsidRPr="00AA4759">
        <w:rPr>
          <w:rFonts w:ascii="Arial" w:hAnsi="Arial" w:cs="Arial"/>
          <w:sz w:val="20"/>
          <w:szCs w:val="20"/>
        </w:rPr>
        <w:t>The normal consequence of an unacceptable reservation is not that the Covenant will not be in effect at all for a reserving party. Rather, such a reservation will generally be severable, in the sense that the</w:t>
      </w:r>
      <w:r>
        <w:rPr>
          <w:rFonts w:ascii="Arial" w:hAnsi="Arial" w:cs="Arial"/>
          <w:sz w:val="20"/>
          <w:szCs w:val="20"/>
        </w:rPr>
        <w:t xml:space="preserve"> </w:t>
      </w:r>
      <w:r w:rsidRPr="00AA4759">
        <w:rPr>
          <w:rFonts w:ascii="Arial" w:hAnsi="Arial" w:cs="Arial"/>
          <w:sz w:val="20"/>
          <w:szCs w:val="20"/>
        </w:rPr>
        <w:t>Covenant will be operative for the reserving party without benefit of the reservation.’</w:t>
      </w:r>
    </w:p>
  </w:footnote>
  <w:footnote w:id="155">
    <w:p w14:paraId="617C3BB8" w14:textId="7FB7DB67" w:rsidR="001A5BF9" w:rsidRPr="007C7CF5" w:rsidRDefault="001A5BF9" w:rsidP="00C50195">
      <w:pPr>
        <w:pStyle w:val="FootnoteText"/>
        <w:rPr>
          <w:rFonts w:ascii="Arial" w:hAnsi="Arial"/>
          <w:sz w:val="20"/>
          <w:szCs w:val="20"/>
          <w:lang w:val="en-US"/>
        </w:rPr>
      </w:pPr>
      <w:r w:rsidRPr="009F7137">
        <w:rPr>
          <w:rStyle w:val="FootnoteReference"/>
          <w:rFonts w:ascii="Arial" w:hAnsi="Arial"/>
          <w:sz w:val="20"/>
          <w:szCs w:val="20"/>
        </w:rPr>
        <w:footnoteRef/>
      </w:r>
      <w:r w:rsidRPr="009F7137">
        <w:rPr>
          <w:rFonts w:ascii="Arial" w:hAnsi="Arial"/>
          <w:sz w:val="20"/>
          <w:szCs w:val="20"/>
        </w:rPr>
        <w:t xml:space="preserve"> See </w:t>
      </w:r>
      <w:r w:rsidRPr="009F7137">
        <w:rPr>
          <w:rFonts w:ascii="Arial" w:hAnsi="Arial"/>
          <w:i/>
          <w:sz w:val="20"/>
          <w:szCs w:val="20"/>
        </w:rPr>
        <w:t xml:space="preserve">Reservations </w:t>
      </w:r>
      <w:r>
        <w:rPr>
          <w:rFonts w:ascii="Arial" w:hAnsi="Arial"/>
          <w:i/>
          <w:sz w:val="20"/>
          <w:szCs w:val="20"/>
        </w:rPr>
        <w:t xml:space="preserve">to the Convention on the Prevention and Punishment of the Crime of Genocide </w:t>
      </w:r>
      <w:r>
        <w:rPr>
          <w:rFonts w:ascii="Arial" w:hAnsi="Arial"/>
          <w:sz w:val="20"/>
          <w:szCs w:val="20"/>
        </w:rPr>
        <w:t>(Advisory Opinion) [1951] ICJ Rep 15, 23</w:t>
      </w:r>
      <w:r w:rsidRPr="007C7CF5">
        <w:rPr>
          <w:rFonts w:ascii="Arial" w:hAnsi="Arial"/>
          <w:sz w:val="20"/>
          <w:szCs w:val="20"/>
        </w:rPr>
        <w:t>;</w:t>
      </w:r>
      <w:r>
        <w:rPr>
          <w:rFonts w:ascii="Arial" w:hAnsi="Arial"/>
          <w:i/>
          <w:sz w:val="20"/>
          <w:szCs w:val="20"/>
        </w:rPr>
        <w:t xml:space="preserve"> Case of Certain Norwegian Loans </w:t>
      </w:r>
      <w:r>
        <w:rPr>
          <w:rFonts w:ascii="Arial" w:hAnsi="Arial"/>
          <w:sz w:val="20"/>
          <w:szCs w:val="20"/>
        </w:rPr>
        <w:t xml:space="preserve">(Judgment) [1957] ICJ Rep 9, 23 and 27; Lauterpacht </w:t>
      </w:r>
      <w:r w:rsidRPr="007D3BEB">
        <w:rPr>
          <w:rFonts w:ascii="Arial" w:hAnsi="Arial"/>
          <w:sz w:val="20"/>
          <w:szCs w:val="20"/>
        </w:rPr>
        <w:t>(n 89).</w:t>
      </w:r>
    </w:p>
  </w:footnote>
  <w:footnote w:id="156">
    <w:p w14:paraId="760BF1C9" w14:textId="77777777" w:rsidR="001A5BF9" w:rsidRPr="005B5E41" w:rsidRDefault="001A5BF9" w:rsidP="00C50195">
      <w:pPr>
        <w:pStyle w:val="FootnoteText"/>
        <w:rPr>
          <w:rFonts w:ascii="Arial" w:hAnsi="Arial"/>
          <w:sz w:val="20"/>
          <w:szCs w:val="20"/>
          <w:lang w:val="en-US"/>
        </w:rPr>
      </w:pPr>
      <w:r w:rsidRPr="005B5E41">
        <w:rPr>
          <w:rStyle w:val="FootnoteReference"/>
          <w:rFonts w:ascii="Arial" w:hAnsi="Arial"/>
          <w:sz w:val="20"/>
          <w:szCs w:val="20"/>
        </w:rPr>
        <w:footnoteRef/>
      </w:r>
      <w:r w:rsidRPr="005B5E41">
        <w:rPr>
          <w:rFonts w:ascii="Arial" w:hAnsi="Arial"/>
          <w:sz w:val="20"/>
          <w:szCs w:val="20"/>
        </w:rPr>
        <w:t xml:space="preserve"> </w:t>
      </w:r>
      <w:r>
        <w:rPr>
          <w:rFonts w:ascii="Arial" w:hAnsi="Arial"/>
          <w:sz w:val="20"/>
          <w:szCs w:val="20"/>
        </w:rPr>
        <w:t>R. Higgins, ‘The ICJ, the ECJ and the Integrity of International Law’ (2003) 52 ICLQ 1, 18.</w:t>
      </w:r>
    </w:p>
  </w:footnote>
  <w:footnote w:id="157">
    <w:p w14:paraId="43479418" w14:textId="77777777" w:rsidR="001A5BF9" w:rsidRPr="005B5E41" w:rsidRDefault="001A5BF9" w:rsidP="00C50195">
      <w:pPr>
        <w:pStyle w:val="FootnoteText"/>
        <w:rPr>
          <w:lang w:val="en-US"/>
        </w:rPr>
      </w:pPr>
      <w:r w:rsidRPr="005B5E41">
        <w:rPr>
          <w:rStyle w:val="FootnoteReference"/>
          <w:rFonts w:ascii="Arial" w:hAnsi="Arial"/>
          <w:sz w:val="20"/>
          <w:szCs w:val="20"/>
        </w:rPr>
        <w:footnoteRef/>
      </w:r>
      <w:r>
        <w:t xml:space="preserve"> </w:t>
      </w:r>
      <w:r>
        <w:rPr>
          <w:rFonts w:ascii="Arial" w:hAnsi="Arial"/>
          <w:sz w:val="20"/>
          <w:szCs w:val="20"/>
        </w:rPr>
        <w:t>E. Bjorge, ‘The Evolutionary Interpretation of Treaties’ (OUP 2014), p 134.</w:t>
      </w:r>
    </w:p>
  </w:footnote>
  <w:footnote w:id="158">
    <w:p w14:paraId="5420346C" w14:textId="7E1407AC" w:rsidR="001A5BF9" w:rsidRPr="005F1E69" w:rsidRDefault="001A5BF9">
      <w:pPr>
        <w:pStyle w:val="FootnoteText"/>
        <w:rPr>
          <w:rFonts w:ascii="Arial" w:hAnsi="Arial" w:cs="Arial"/>
          <w:color w:val="FF0000"/>
          <w:sz w:val="20"/>
          <w:szCs w:val="20"/>
        </w:rPr>
      </w:pPr>
      <w:r w:rsidRPr="00D6709E">
        <w:rPr>
          <w:rStyle w:val="FootnoteReference"/>
          <w:rFonts w:ascii="Arial" w:hAnsi="Arial" w:cs="Arial"/>
          <w:sz w:val="20"/>
          <w:szCs w:val="20"/>
        </w:rPr>
        <w:footnoteRef/>
      </w:r>
      <w:r w:rsidRPr="00D6709E">
        <w:rPr>
          <w:rFonts w:ascii="Arial" w:hAnsi="Arial" w:cs="Arial"/>
          <w:sz w:val="20"/>
          <w:szCs w:val="20"/>
        </w:rPr>
        <w:t xml:space="preserve"> </w:t>
      </w:r>
      <w:r w:rsidRPr="005F1E69">
        <w:rPr>
          <w:rFonts w:ascii="Arial" w:hAnsi="Arial" w:cs="Arial"/>
          <w:sz w:val="20"/>
          <w:szCs w:val="20"/>
        </w:rPr>
        <w:t xml:space="preserve">The </w:t>
      </w:r>
      <w:r w:rsidRPr="005F1E69">
        <w:rPr>
          <w:rFonts w:ascii="Arial" w:hAnsi="Arial" w:cs="Arial"/>
          <w:sz w:val="20"/>
          <w:szCs w:val="20"/>
          <w:lang w:val="en-US"/>
        </w:rPr>
        <w:t xml:space="preserve">Convention for the Protection of Human Rights and Fundamental Freedoms </w:t>
      </w:r>
      <w:r w:rsidRPr="005F1E69">
        <w:rPr>
          <w:rFonts w:ascii="Arial" w:hAnsi="Arial" w:cs="Arial"/>
          <w:sz w:val="20"/>
          <w:szCs w:val="20"/>
        </w:rPr>
        <w:t>ETS 5; 213 UNTS 221</w:t>
      </w:r>
      <w:r w:rsidRPr="005F1E69">
        <w:rPr>
          <w:rFonts w:ascii="Arial" w:hAnsi="Arial" w:cs="Arial"/>
          <w:sz w:val="20"/>
          <w:szCs w:val="20"/>
          <w:lang w:val="en-US"/>
        </w:rPr>
        <w:t>.</w:t>
      </w:r>
    </w:p>
  </w:footnote>
  <w:footnote w:id="159">
    <w:p w14:paraId="57140C7F" w14:textId="77777777" w:rsidR="001A5BF9" w:rsidRPr="00A6389E" w:rsidRDefault="001A5BF9" w:rsidP="00D6709E">
      <w:pPr>
        <w:pStyle w:val="FootnoteText"/>
        <w:rPr>
          <w:rFonts w:ascii="Arial" w:hAnsi="Arial" w:cs="Arial"/>
          <w:sz w:val="20"/>
          <w:szCs w:val="20"/>
          <w:lang w:val="en-US"/>
        </w:rPr>
      </w:pPr>
      <w:r w:rsidRPr="00A6389E">
        <w:rPr>
          <w:rStyle w:val="FootnoteReference"/>
          <w:rFonts w:ascii="Arial" w:hAnsi="Arial" w:cs="Arial"/>
          <w:sz w:val="20"/>
          <w:szCs w:val="20"/>
        </w:rPr>
        <w:footnoteRef/>
      </w:r>
      <w:r w:rsidRPr="00A6389E">
        <w:rPr>
          <w:rFonts w:ascii="Arial" w:hAnsi="Arial" w:cs="Arial"/>
          <w:sz w:val="20"/>
          <w:szCs w:val="20"/>
        </w:rPr>
        <w:t xml:space="preserve"> </w:t>
      </w:r>
      <w:r>
        <w:rPr>
          <w:rFonts w:ascii="Arial" w:hAnsi="Arial" w:cs="Arial"/>
          <w:sz w:val="20"/>
          <w:szCs w:val="20"/>
        </w:rPr>
        <w:t>R. Moloney, ‘</w:t>
      </w:r>
      <w:r w:rsidRPr="00203555">
        <w:rPr>
          <w:rFonts w:ascii="Arial" w:hAnsi="Arial" w:cs="Arial"/>
          <w:sz w:val="20"/>
          <w:szCs w:val="20"/>
          <w:lang w:val="en-US"/>
        </w:rPr>
        <w:t xml:space="preserve">Incompatible Reservations </w:t>
      </w:r>
      <w:r>
        <w:rPr>
          <w:rFonts w:ascii="Arial" w:hAnsi="Arial" w:cs="Arial"/>
          <w:sz w:val="20"/>
          <w:szCs w:val="20"/>
          <w:lang w:val="en-US"/>
        </w:rPr>
        <w:t>t</w:t>
      </w:r>
      <w:r w:rsidRPr="00203555">
        <w:rPr>
          <w:rFonts w:ascii="Arial" w:hAnsi="Arial" w:cs="Arial"/>
          <w:sz w:val="20"/>
          <w:szCs w:val="20"/>
          <w:lang w:val="en-US"/>
        </w:rPr>
        <w:t xml:space="preserve">o Human Rights Treaties: Severability </w:t>
      </w:r>
      <w:r>
        <w:rPr>
          <w:rFonts w:ascii="Arial" w:hAnsi="Arial" w:cs="Arial"/>
          <w:sz w:val="20"/>
          <w:szCs w:val="20"/>
          <w:lang w:val="en-US"/>
        </w:rPr>
        <w:t xml:space="preserve">and the Problem of State Consent’, 5(1) </w:t>
      </w:r>
      <w:r>
        <w:rPr>
          <w:rFonts w:ascii="Arial" w:hAnsi="Arial" w:cs="Arial"/>
          <w:i/>
          <w:sz w:val="20"/>
          <w:szCs w:val="20"/>
          <w:lang w:val="en-US"/>
        </w:rPr>
        <w:t>MJIL</w:t>
      </w:r>
      <w:r>
        <w:rPr>
          <w:rFonts w:ascii="Arial" w:hAnsi="Arial" w:cs="Arial"/>
          <w:sz w:val="20"/>
          <w:szCs w:val="20"/>
          <w:lang w:val="en-US"/>
        </w:rPr>
        <w:t xml:space="preserve"> </w:t>
      </w:r>
      <w:r>
        <w:rPr>
          <w:rFonts w:ascii="Arial" w:hAnsi="Arial" w:cs="Arial"/>
          <w:bCs/>
          <w:sz w:val="20"/>
          <w:szCs w:val="20"/>
        </w:rPr>
        <w:t>6 (2004) 5(1), p 163.</w:t>
      </w:r>
    </w:p>
  </w:footnote>
  <w:footnote w:id="160">
    <w:p w14:paraId="7E73FA40" w14:textId="567CCF35" w:rsidR="001A5BF9" w:rsidRPr="00E44A75" w:rsidRDefault="001A5BF9">
      <w:pPr>
        <w:pStyle w:val="FootnoteText"/>
        <w:rPr>
          <w:rFonts w:ascii="Arial" w:hAnsi="Arial" w:cs="Arial"/>
          <w:sz w:val="20"/>
          <w:szCs w:val="20"/>
          <w:lang w:val="en-US"/>
        </w:rPr>
      </w:pPr>
      <w:r w:rsidRPr="00E44A75">
        <w:rPr>
          <w:rStyle w:val="FootnoteReference"/>
          <w:rFonts w:ascii="Arial" w:hAnsi="Arial" w:cs="Arial"/>
          <w:sz w:val="20"/>
          <w:szCs w:val="20"/>
        </w:rPr>
        <w:footnoteRef/>
      </w:r>
      <w:r w:rsidRPr="00E44A75">
        <w:rPr>
          <w:rFonts w:ascii="Arial" w:hAnsi="Arial" w:cs="Arial"/>
          <w:sz w:val="20"/>
          <w:szCs w:val="20"/>
        </w:rPr>
        <w:t xml:space="preserve"> </w:t>
      </w:r>
      <w:r w:rsidRPr="00E44A75">
        <w:rPr>
          <w:rFonts w:ascii="Arial" w:hAnsi="Arial" w:cs="Arial"/>
          <w:i/>
          <w:sz w:val="20"/>
          <w:szCs w:val="20"/>
          <w:lang w:val="en-US"/>
        </w:rPr>
        <w:t>Loizidou</w:t>
      </w:r>
      <w:r w:rsidRPr="00E44A75">
        <w:rPr>
          <w:rFonts w:ascii="Arial" w:hAnsi="Arial" w:cs="Arial"/>
          <w:sz w:val="20"/>
          <w:szCs w:val="20"/>
          <w:lang w:val="en-US"/>
        </w:rPr>
        <w:t xml:space="preserve"> v </w:t>
      </w:r>
      <w:r w:rsidRPr="00E44A75">
        <w:rPr>
          <w:rFonts w:ascii="Arial" w:hAnsi="Arial" w:cs="Arial"/>
          <w:i/>
          <w:sz w:val="20"/>
          <w:szCs w:val="20"/>
          <w:lang w:val="en-US"/>
        </w:rPr>
        <w:t>Turkey</w:t>
      </w:r>
      <w:r w:rsidRPr="00E44A75">
        <w:rPr>
          <w:rFonts w:ascii="Arial" w:hAnsi="Arial" w:cs="Arial"/>
          <w:sz w:val="20"/>
          <w:szCs w:val="20"/>
          <w:lang w:val="en-US"/>
        </w:rPr>
        <w:t xml:space="preserve"> (1995) 310 Eur Court HR (ser A) 7, </w:t>
      </w:r>
      <w:r>
        <w:rPr>
          <w:rFonts w:ascii="Arial" w:hAnsi="Arial" w:cs="Arial"/>
          <w:sz w:val="20"/>
          <w:szCs w:val="20"/>
          <w:lang w:val="en-US"/>
        </w:rPr>
        <w:t>31</w:t>
      </w:r>
      <w:r w:rsidRPr="00E44A75">
        <w:rPr>
          <w:rFonts w:ascii="Arial" w:hAnsi="Arial" w:cs="Arial"/>
          <w:sz w:val="20"/>
          <w:szCs w:val="20"/>
          <w:lang w:val="en-US"/>
        </w:rPr>
        <w:t>; 20 EHRR 99, 1</w:t>
      </w:r>
      <w:r>
        <w:rPr>
          <w:rFonts w:ascii="Arial" w:hAnsi="Arial" w:cs="Arial"/>
          <w:sz w:val="20"/>
          <w:szCs w:val="20"/>
          <w:lang w:val="en-US"/>
        </w:rPr>
        <w:t>38</w:t>
      </w:r>
      <w:r w:rsidRPr="00E44A75">
        <w:rPr>
          <w:rFonts w:ascii="Arial" w:hAnsi="Arial" w:cs="Arial"/>
          <w:sz w:val="20"/>
          <w:szCs w:val="20"/>
          <w:lang w:val="en-US"/>
        </w:rPr>
        <w:t>.  </w:t>
      </w:r>
    </w:p>
  </w:footnote>
  <w:footnote w:id="161">
    <w:p w14:paraId="4492A562" w14:textId="403AE291" w:rsidR="001A5BF9" w:rsidRPr="00B36FA6" w:rsidRDefault="001A5BF9">
      <w:pPr>
        <w:pStyle w:val="FootnoteText"/>
        <w:rPr>
          <w:rFonts w:ascii="Arial" w:hAnsi="Arial" w:cs="Arial"/>
          <w:b/>
          <w:bCs/>
          <w:i/>
          <w:sz w:val="20"/>
          <w:szCs w:val="20"/>
        </w:rPr>
      </w:pPr>
      <w:r w:rsidRPr="00A47C4A">
        <w:rPr>
          <w:rStyle w:val="FootnoteReference"/>
          <w:rFonts w:ascii="Arial" w:hAnsi="Arial" w:cs="Arial"/>
          <w:sz w:val="20"/>
          <w:szCs w:val="20"/>
        </w:rPr>
        <w:footnoteRef/>
      </w:r>
      <w:r w:rsidRPr="00A47C4A">
        <w:rPr>
          <w:rFonts w:ascii="Arial" w:hAnsi="Arial" w:cs="Arial"/>
          <w:sz w:val="20"/>
          <w:szCs w:val="20"/>
        </w:rPr>
        <w:t xml:space="preserve"> </w:t>
      </w:r>
      <w:r>
        <w:rPr>
          <w:rFonts w:ascii="Arial" w:hAnsi="Arial" w:cs="Arial"/>
          <w:sz w:val="20"/>
          <w:szCs w:val="20"/>
        </w:rPr>
        <w:t xml:space="preserve">Moloney </w:t>
      </w:r>
      <w:r w:rsidRPr="00506B73">
        <w:rPr>
          <w:rFonts w:ascii="Arial" w:hAnsi="Arial" w:cs="Arial"/>
          <w:sz w:val="20"/>
          <w:szCs w:val="20"/>
        </w:rPr>
        <w:t>(n 159)</w:t>
      </w:r>
      <w:r w:rsidRPr="00506B73">
        <w:rPr>
          <w:rFonts w:ascii="Arial" w:hAnsi="Arial" w:cs="Arial"/>
          <w:bCs/>
          <w:sz w:val="20"/>
          <w:szCs w:val="20"/>
        </w:rPr>
        <w:t>,</w:t>
      </w:r>
      <w:r>
        <w:rPr>
          <w:rFonts w:ascii="Arial" w:hAnsi="Arial" w:cs="Arial"/>
          <w:bCs/>
          <w:sz w:val="20"/>
          <w:szCs w:val="20"/>
        </w:rPr>
        <w:t xml:space="preserve"> p 164.</w:t>
      </w:r>
    </w:p>
  </w:footnote>
  <w:footnote w:id="162">
    <w:p w14:paraId="6B4503C8" w14:textId="2CA6214E" w:rsidR="001A5BF9" w:rsidRPr="009B291E" w:rsidRDefault="001A5BF9" w:rsidP="009B291E">
      <w:pPr>
        <w:pStyle w:val="FootnoteText"/>
        <w:rPr>
          <w:rFonts w:ascii="Arial" w:hAnsi="Arial" w:cs="Arial"/>
          <w:sz w:val="20"/>
          <w:szCs w:val="20"/>
          <w:lang w:val="en-US"/>
        </w:rPr>
      </w:pPr>
      <w:r w:rsidRPr="009B291E">
        <w:rPr>
          <w:rStyle w:val="FootnoteReference"/>
          <w:rFonts w:ascii="Arial" w:hAnsi="Arial" w:cs="Arial"/>
          <w:sz w:val="20"/>
          <w:szCs w:val="20"/>
        </w:rPr>
        <w:footnoteRef/>
      </w:r>
      <w:r w:rsidRPr="009B291E">
        <w:rPr>
          <w:rFonts w:ascii="Arial" w:hAnsi="Arial" w:cs="Arial"/>
          <w:sz w:val="20"/>
          <w:szCs w:val="20"/>
        </w:rPr>
        <w:t xml:space="preserve"> </w:t>
      </w:r>
      <w:r>
        <w:rPr>
          <w:rFonts w:ascii="Arial" w:hAnsi="Arial" w:cs="Arial"/>
          <w:sz w:val="20"/>
          <w:szCs w:val="20"/>
        </w:rPr>
        <w:t>S. Marks, ‘</w:t>
      </w:r>
      <w:r w:rsidRPr="009B291E">
        <w:rPr>
          <w:rFonts w:ascii="Arial" w:hAnsi="Arial" w:cs="Arial"/>
          <w:sz w:val="20"/>
          <w:szCs w:val="20"/>
          <w:lang w:val="en-US"/>
        </w:rPr>
        <w:t>Reservations Unhinged: The BELILOS Case before the</w:t>
      </w:r>
      <w:r>
        <w:rPr>
          <w:rFonts w:ascii="Arial" w:hAnsi="Arial" w:cs="Arial"/>
          <w:sz w:val="20"/>
          <w:szCs w:val="20"/>
          <w:lang w:val="en-US"/>
        </w:rPr>
        <w:t xml:space="preserve"> European Court of Human Rights’, </w:t>
      </w:r>
      <w:r>
        <w:rPr>
          <w:rFonts w:ascii="Arial" w:hAnsi="Arial" w:cs="Arial"/>
          <w:sz w:val="20"/>
          <w:szCs w:val="20"/>
        </w:rPr>
        <w:t xml:space="preserve">39 </w:t>
      </w:r>
      <w:r>
        <w:rPr>
          <w:rFonts w:ascii="Arial" w:hAnsi="Arial" w:cs="Arial"/>
          <w:i/>
          <w:sz w:val="20"/>
          <w:szCs w:val="20"/>
        </w:rPr>
        <w:t xml:space="preserve">ICLQ </w:t>
      </w:r>
      <w:r>
        <w:rPr>
          <w:rFonts w:ascii="Arial" w:hAnsi="Arial" w:cs="Arial"/>
          <w:sz w:val="20"/>
          <w:szCs w:val="20"/>
        </w:rPr>
        <w:t xml:space="preserve">(1990), at 300. </w:t>
      </w:r>
    </w:p>
  </w:footnote>
  <w:footnote w:id="163">
    <w:p w14:paraId="374A0608" w14:textId="469A217D" w:rsidR="001A5BF9" w:rsidRPr="005C4833" w:rsidRDefault="001A5BF9">
      <w:pPr>
        <w:pStyle w:val="FootnoteText"/>
        <w:rPr>
          <w:rFonts w:ascii="Arial" w:hAnsi="Arial" w:cs="Arial"/>
          <w:sz w:val="20"/>
          <w:szCs w:val="20"/>
          <w:lang w:val="en-US"/>
        </w:rPr>
      </w:pPr>
      <w:r w:rsidRPr="005C4833">
        <w:rPr>
          <w:rStyle w:val="FootnoteReference"/>
          <w:rFonts w:ascii="Arial" w:hAnsi="Arial" w:cs="Arial"/>
          <w:sz w:val="20"/>
          <w:szCs w:val="20"/>
        </w:rPr>
        <w:footnoteRef/>
      </w:r>
      <w:r w:rsidRPr="005C4833">
        <w:rPr>
          <w:rFonts w:ascii="Arial" w:hAnsi="Arial" w:cs="Arial"/>
          <w:sz w:val="20"/>
          <w:szCs w:val="20"/>
        </w:rPr>
        <w:t xml:space="preserve"> See </w:t>
      </w:r>
      <w:r w:rsidRPr="005C4833">
        <w:rPr>
          <w:rFonts w:ascii="Arial" w:hAnsi="Arial" w:cs="Arial"/>
          <w:i/>
          <w:sz w:val="20"/>
          <w:szCs w:val="20"/>
          <w:lang w:val="en-US"/>
        </w:rPr>
        <w:t>Norwegian Loans Case</w:t>
      </w:r>
      <w:r>
        <w:rPr>
          <w:rFonts w:ascii="Arial" w:hAnsi="Arial" w:cs="Arial"/>
          <w:sz w:val="20"/>
          <w:szCs w:val="20"/>
          <w:lang w:val="en-US"/>
        </w:rPr>
        <w:t xml:space="preserve"> </w:t>
      </w:r>
      <w:r w:rsidRPr="00033062">
        <w:rPr>
          <w:rFonts w:ascii="Arial" w:hAnsi="Arial" w:cs="Arial"/>
          <w:sz w:val="20"/>
          <w:szCs w:val="20"/>
          <w:lang w:val="en-US"/>
        </w:rPr>
        <w:t>(n 145),</w:t>
      </w:r>
      <w:r w:rsidRPr="005C4833">
        <w:rPr>
          <w:rFonts w:ascii="Arial" w:hAnsi="Arial" w:cs="Arial"/>
          <w:sz w:val="20"/>
          <w:szCs w:val="20"/>
          <w:lang w:val="en-US"/>
        </w:rPr>
        <w:t xml:space="preserve"> 43-66</w:t>
      </w:r>
      <w:r>
        <w:rPr>
          <w:rFonts w:ascii="Arial" w:hAnsi="Arial" w:cs="Arial"/>
          <w:sz w:val="20"/>
          <w:szCs w:val="20"/>
          <w:lang w:val="en-US"/>
        </w:rPr>
        <w:t xml:space="preserve">; </w:t>
      </w:r>
      <w:r w:rsidRPr="005C4833">
        <w:rPr>
          <w:rFonts w:ascii="Arial" w:hAnsi="Arial" w:cs="Arial"/>
          <w:i/>
          <w:sz w:val="20"/>
          <w:szCs w:val="20"/>
          <w:lang w:val="en-US"/>
        </w:rPr>
        <w:t>Interhandel Case</w:t>
      </w:r>
      <w:r w:rsidRPr="005C4833">
        <w:rPr>
          <w:rFonts w:ascii="Arial" w:hAnsi="Arial" w:cs="Arial"/>
          <w:sz w:val="20"/>
          <w:szCs w:val="20"/>
          <w:lang w:val="en-US"/>
        </w:rPr>
        <w:t xml:space="preserve"> (Preliminary Objections), 21 March [1959] ICJ Rep. 6, 101-118. </w:t>
      </w:r>
    </w:p>
  </w:footnote>
  <w:footnote w:id="164">
    <w:p w14:paraId="37DA881B" w14:textId="62ADDBE5" w:rsidR="001A5BF9" w:rsidRPr="00180B9E" w:rsidRDefault="001A5BF9" w:rsidP="00541AE4">
      <w:pPr>
        <w:pStyle w:val="FootnoteText"/>
        <w:rPr>
          <w:rFonts w:ascii="Arial" w:hAnsi="Arial" w:cs="Arial"/>
          <w:sz w:val="20"/>
          <w:szCs w:val="20"/>
          <w:lang w:val="en-US"/>
        </w:rPr>
      </w:pPr>
      <w:r w:rsidRPr="00180B9E">
        <w:rPr>
          <w:rStyle w:val="FootnoteReference"/>
          <w:rFonts w:ascii="Arial" w:hAnsi="Arial" w:cs="Arial"/>
          <w:sz w:val="20"/>
          <w:szCs w:val="20"/>
        </w:rPr>
        <w:footnoteRef/>
      </w:r>
      <w:r w:rsidRPr="00180B9E">
        <w:rPr>
          <w:rFonts w:ascii="Arial" w:hAnsi="Arial" w:cs="Arial"/>
          <w:sz w:val="20"/>
          <w:szCs w:val="20"/>
        </w:rPr>
        <w:t xml:space="preserve"> </w:t>
      </w:r>
      <w:r>
        <w:rPr>
          <w:rFonts w:ascii="Arial" w:hAnsi="Arial" w:cs="Arial"/>
          <w:i/>
          <w:sz w:val="20"/>
          <w:szCs w:val="20"/>
        </w:rPr>
        <w:t xml:space="preserve">Belilos </w:t>
      </w:r>
      <w:r>
        <w:rPr>
          <w:rFonts w:ascii="Arial" w:hAnsi="Arial" w:cs="Arial"/>
          <w:sz w:val="20"/>
          <w:szCs w:val="20"/>
        </w:rPr>
        <w:t xml:space="preserve">v </w:t>
      </w:r>
      <w:r>
        <w:rPr>
          <w:rFonts w:ascii="Arial" w:hAnsi="Arial" w:cs="Arial"/>
          <w:i/>
          <w:sz w:val="20"/>
          <w:szCs w:val="20"/>
        </w:rPr>
        <w:t>Switzerland</w:t>
      </w:r>
      <w:r w:rsidRPr="000544E7">
        <w:rPr>
          <w:rFonts w:ascii="Arial" w:hAnsi="Arial" w:cs="Arial"/>
          <w:i/>
          <w:sz w:val="20"/>
          <w:szCs w:val="20"/>
        </w:rPr>
        <w:t xml:space="preserve"> </w:t>
      </w:r>
      <w:r w:rsidRPr="000544E7">
        <w:rPr>
          <w:rFonts w:ascii="Arial" w:hAnsi="Arial" w:cs="Arial"/>
          <w:sz w:val="20"/>
          <w:szCs w:val="20"/>
        </w:rPr>
        <w:t>(n 62).</w:t>
      </w:r>
    </w:p>
  </w:footnote>
  <w:footnote w:id="165">
    <w:p w14:paraId="26FC7A2B" w14:textId="4EC6E786" w:rsidR="001A5BF9" w:rsidRPr="00331F1A" w:rsidRDefault="001A5BF9">
      <w:pPr>
        <w:pStyle w:val="FootnoteText"/>
        <w:rPr>
          <w:rFonts w:ascii="Arial" w:hAnsi="Arial" w:cs="Arial"/>
          <w:sz w:val="20"/>
          <w:szCs w:val="20"/>
          <w:lang w:val="en-US"/>
        </w:rPr>
      </w:pPr>
      <w:r w:rsidRPr="00331F1A">
        <w:rPr>
          <w:rStyle w:val="FootnoteReference"/>
          <w:rFonts w:ascii="Arial" w:hAnsi="Arial" w:cs="Arial"/>
          <w:sz w:val="20"/>
          <w:szCs w:val="20"/>
        </w:rPr>
        <w:footnoteRef/>
      </w:r>
      <w:r w:rsidRPr="00331F1A">
        <w:rPr>
          <w:rFonts w:ascii="Arial" w:hAnsi="Arial" w:cs="Arial"/>
          <w:sz w:val="20"/>
          <w:szCs w:val="20"/>
        </w:rPr>
        <w:t xml:space="preserve"> </w:t>
      </w:r>
      <w:r w:rsidRPr="001D1666">
        <w:rPr>
          <w:rFonts w:ascii="Arial" w:hAnsi="Arial" w:cs="Arial"/>
          <w:sz w:val="20"/>
          <w:szCs w:val="20"/>
        </w:rPr>
        <w:t>Fitzmaurice (n 11),</w:t>
      </w:r>
      <w:r>
        <w:rPr>
          <w:rFonts w:ascii="Arial" w:hAnsi="Arial" w:cs="Arial"/>
          <w:sz w:val="20"/>
          <w:szCs w:val="20"/>
        </w:rPr>
        <w:t xml:space="preserve"> p 189.</w:t>
      </w:r>
    </w:p>
  </w:footnote>
  <w:footnote w:id="166">
    <w:p w14:paraId="0A595F96" w14:textId="7A67C54B" w:rsidR="001A5BF9" w:rsidRPr="00331F1A" w:rsidRDefault="001A5BF9">
      <w:pPr>
        <w:pStyle w:val="FootnoteText"/>
        <w:rPr>
          <w:rFonts w:ascii="Arial" w:hAnsi="Arial" w:cs="Arial"/>
          <w:sz w:val="20"/>
          <w:szCs w:val="20"/>
          <w:lang w:val="en-US"/>
        </w:rPr>
      </w:pPr>
      <w:r w:rsidRPr="00331F1A">
        <w:rPr>
          <w:rStyle w:val="FootnoteReference"/>
          <w:rFonts w:ascii="Arial" w:hAnsi="Arial" w:cs="Arial"/>
          <w:sz w:val="20"/>
          <w:szCs w:val="20"/>
        </w:rPr>
        <w:footnoteRef/>
      </w:r>
      <w:r w:rsidRPr="00331F1A">
        <w:rPr>
          <w:rFonts w:ascii="Arial" w:hAnsi="Arial" w:cs="Arial"/>
          <w:sz w:val="20"/>
          <w:szCs w:val="20"/>
        </w:rPr>
        <w:t xml:space="preserve"> </w:t>
      </w:r>
      <w:r w:rsidRPr="004F2802">
        <w:rPr>
          <w:rFonts w:ascii="Arial" w:hAnsi="Arial" w:cs="Arial"/>
          <w:sz w:val="20"/>
          <w:szCs w:val="20"/>
        </w:rPr>
        <w:t>European Convention on Human Rights,</w:t>
      </w:r>
      <w:r>
        <w:rPr>
          <w:rFonts w:ascii="Arial" w:hAnsi="Arial" w:cs="Arial"/>
          <w:sz w:val="20"/>
          <w:szCs w:val="20"/>
        </w:rPr>
        <w:t xml:space="preserve"> </w:t>
      </w:r>
      <w:r w:rsidRPr="004F2802">
        <w:rPr>
          <w:rFonts w:ascii="Arial" w:hAnsi="Arial" w:cs="Arial"/>
          <w:sz w:val="20"/>
          <w:szCs w:val="20"/>
        </w:rPr>
        <w:t>ETS 5; 213 UNTS 221</w:t>
      </w:r>
      <w:r w:rsidRPr="00E51810">
        <w:rPr>
          <w:rFonts w:ascii="Arial" w:hAnsi="Arial" w:cs="Arial"/>
          <w:sz w:val="20"/>
          <w:szCs w:val="20"/>
        </w:rPr>
        <w:t>, Art. 64.</w:t>
      </w:r>
    </w:p>
  </w:footnote>
  <w:footnote w:id="167">
    <w:p w14:paraId="2B3637AC" w14:textId="5A5B81F8" w:rsidR="001A5BF9" w:rsidRPr="00744665" w:rsidRDefault="001A5BF9">
      <w:pPr>
        <w:pStyle w:val="FootnoteText"/>
        <w:rPr>
          <w:rFonts w:ascii="Arial" w:hAnsi="Arial" w:cs="Arial"/>
          <w:sz w:val="20"/>
          <w:szCs w:val="20"/>
          <w:lang w:val="en-US"/>
        </w:rPr>
      </w:pPr>
      <w:r w:rsidRPr="00744665">
        <w:rPr>
          <w:rStyle w:val="FootnoteReference"/>
          <w:rFonts w:ascii="Arial" w:hAnsi="Arial" w:cs="Arial"/>
          <w:sz w:val="20"/>
          <w:szCs w:val="20"/>
        </w:rPr>
        <w:footnoteRef/>
      </w:r>
      <w:r w:rsidRPr="00744665">
        <w:rPr>
          <w:rFonts w:ascii="Arial" w:hAnsi="Arial" w:cs="Arial"/>
          <w:sz w:val="20"/>
          <w:szCs w:val="20"/>
        </w:rPr>
        <w:t xml:space="preserve"> </w:t>
      </w:r>
      <w:r>
        <w:rPr>
          <w:rFonts w:ascii="Arial" w:hAnsi="Arial" w:cs="Arial"/>
          <w:i/>
          <w:sz w:val="20"/>
          <w:szCs w:val="20"/>
        </w:rPr>
        <w:t xml:space="preserve">Reservations to the Genocide Convention </w:t>
      </w:r>
      <w:r>
        <w:rPr>
          <w:rFonts w:ascii="Arial" w:hAnsi="Arial" w:cs="Arial"/>
          <w:sz w:val="20"/>
          <w:szCs w:val="20"/>
        </w:rPr>
        <w:t>(Advisory Opinion)</w:t>
      </w:r>
      <w:r>
        <w:rPr>
          <w:rFonts w:ascii="Arial" w:hAnsi="Arial" w:cs="Arial"/>
          <w:i/>
          <w:sz w:val="20"/>
          <w:szCs w:val="20"/>
        </w:rPr>
        <w:t xml:space="preserve"> </w:t>
      </w:r>
      <w:r w:rsidRPr="006E1C55">
        <w:rPr>
          <w:rFonts w:ascii="Arial" w:hAnsi="Arial" w:cs="Arial"/>
          <w:sz w:val="20"/>
          <w:szCs w:val="20"/>
        </w:rPr>
        <w:t>(n 21),</w:t>
      </w:r>
      <w:r>
        <w:rPr>
          <w:rFonts w:ascii="Arial" w:hAnsi="Arial" w:cs="Arial"/>
          <w:sz w:val="20"/>
          <w:szCs w:val="20"/>
        </w:rPr>
        <w:t xml:space="preserve"> at 29. </w:t>
      </w:r>
    </w:p>
  </w:footnote>
  <w:footnote w:id="168">
    <w:p w14:paraId="227CE7B4" w14:textId="30E18D3A" w:rsidR="001A5BF9" w:rsidRPr="002C7B97" w:rsidRDefault="001A5BF9">
      <w:pPr>
        <w:pStyle w:val="FootnoteText"/>
        <w:rPr>
          <w:rFonts w:ascii="Arial" w:hAnsi="Arial" w:cs="Arial"/>
          <w:sz w:val="20"/>
          <w:szCs w:val="20"/>
          <w:lang w:val="en-US"/>
        </w:rPr>
      </w:pPr>
      <w:r w:rsidRPr="002C7B97">
        <w:rPr>
          <w:rStyle w:val="FootnoteReference"/>
          <w:rFonts w:ascii="Arial" w:hAnsi="Arial" w:cs="Arial"/>
          <w:sz w:val="20"/>
          <w:szCs w:val="20"/>
        </w:rPr>
        <w:footnoteRef/>
      </w:r>
      <w:r w:rsidRPr="002C7B97">
        <w:rPr>
          <w:rFonts w:ascii="Arial" w:hAnsi="Arial" w:cs="Arial"/>
          <w:sz w:val="20"/>
          <w:szCs w:val="20"/>
        </w:rPr>
        <w:t xml:space="preserve"> </w:t>
      </w:r>
      <w:r>
        <w:rPr>
          <w:rFonts w:ascii="Arial" w:hAnsi="Arial" w:cs="Arial"/>
          <w:sz w:val="20"/>
          <w:szCs w:val="20"/>
        </w:rPr>
        <w:t xml:space="preserve">Marks </w:t>
      </w:r>
      <w:r w:rsidRPr="00581DFF">
        <w:rPr>
          <w:rFonts w:ascii="Arial" w:hAnsi="Arial" w:cs="Arial"/>
          <w:sz w:val="20"/>
          <w:szCs w:val="20"/>
        </w:rPr>
        <w:t>(n 162),</w:t>
      </w:r>
      <w:r>
        <w:rPr>
          <w:rFonts w:ascii="Arial" w:hAnsi="Arial" w:cs="Arial"/>
          <w:sz w:val="20"/>
          <w:szCs w:val="20"/>
        </w:rPr>
        <w:t xml:space="preserve"> at 313.</w:t>
      </w:r>
    </w:p>
  </w:footnote>
  <w:footnote w:id="169">
    <w:p w14:paraId="1BFFEC5C" w14:textId="77777777" w:rsidR="001A5BF9" w:rsidRPr="00F329A2" w:rsidRDefault="001A5BF9" w:rsidP="00A33D9B">
      <w:pPr>
        <w:pStyle w:val="FootnoteText"/>
        <w:rPr>
          <w:rFonts w:ascii="Arial" w:hAnsi="Arial" w:cs="Arial"/>
          <w:sz w:val="20"/>
          <w:szCs w:val="20"/>
          <w:lang w:val="en-US"/>
        </w:rPr>
      </w:pPr>
      <w:r w:rsidRPr="00F329A2">
        <w:rPr>
          <w:rStyle w:val="FootnoteReference"/>
          <w:rFonts w:ascii="Arial" w:hAnsi="Arial" w:cs="Arial"/>
          <w:sz w:val="20"/>
          <w:szCs w:val="20"/>
        </w:rPr>
        <w:footnoteRef/>
      </w:r>
      <w:r w:rsidRPr="00F329A2">
        <w:rPr>
          <w:rFonts w:ascii="Arial" w:hAnsi="Arial" w:cs="Arial"/>
          <w:sz w:val="20"/>
          <w:szCs w:val="20"/>
        </w:rPr>
        <w:t xml:space="preserve"> </w:t>
      </w:r>
      <w:r>
        <w:rPr>
          <w:rFonts w:ascii="Arial" w:hAnsi="Arial" w:cs="Arial"/>
          <w:sz w:val="20"/>
          <w:szCs w:val="20"/>
        </w:rPr>
        <w:t xml:space="preserve">See D. W. Bowett, ‘Reservations to Non-Restricted Multilateral Treaties’ (1978) 49 </w:t>
      </w:r>
      <w:r>
        <w:rPr>
          <w:rFonts w:ascii="Arial" w:hAnsi="Arial" w:cs="Arial"/>
          <w:i/>
          <w:sz w:val="20"/>
          <w:szCs w:val="20"/>
        </w:rPr>
        <w:t xml:space="preserve">BYIL </w:t>
      </w:r>
      <w:r>
        <w:rPr>
          <w:rFonts w:ascii="Arial" w:hAnsi="Arial" w:cs="Arial"/>
          <w:sz w:val="20"/>
          <w:szCs w:val="20"/>
        </w:rPr>
        <w:t xml:space="preserve">67, 89. See also J. A. Frowein, ‘Reservations to the European Convention on Human Rights’ in F. Matscher and H. Petzold (eds.), </w:t>
      </w:r>
      <w:r>
        <w:rPr>
          <w:rFonts w:ascii="Arial" w:hAnsi="Arial" w:cs="Arial"/>
          <w:i/>
          <w:sz w:val="20"/>
          <w:szCs w:val="20"/>
        </w:rPr>
        <w:t xml:space="preserve">Protecting Human Rights: the European Dimension. Studies in Honour of Gerard J. Wiarda </w:t>
      </w:r>
      <w:r>
        <w:rPr>
          <w:rFonts w:ascii="Arial" w:hAnsi="Arial" w:cs="Arial"/>
          <w:sz w:val="20"/>
          <w:szCs w:val="20"/>
        </w:rPr>
        <w:t xml:space="preserve">(1988) 193, p 198. </w:t>
      </w:r>
    </w:p>
  </w:footnote>
  <w:footnote w:id="170">
    <w:p w14:paraId="0DCC591E" w14:textId="3D5F16F0" w:rsidR="001A5BF9" w:rsidRPr="008D0626" w:rsidRDefault="001A5BF9">
      <w:pPr>
        <w:pStyle w:val="FootnoteText"/>
        <w:rPr>
          <w:rFonts w:ascii="Arial" w:hAnsi="Arial" w:cs="Arial"/>
          <w:sz w:val="20"/>
          <w:szCs w:val="20"/>
          <w:lang w:val="en-US"/>
        </w:rPr>
      </w:pPr>
      <w:r w:rsidRPr="008D0626">
        <w:rPr>
          <w:rStyle w:val="FootnoteReference"/>
          <w:rFonts w:ascii="Arial" w:hAnsi="Arial" w:cs="Arial"/>
          <w:sz w:val="20"/>
          <w:szCs w:val="20"/>
        </w:rPr>
        <w:footnoteRef/>
      </w:r>
      <w:r w:rsidRPr="008D0626">
        <w:rPr>
          <w:rFonts w:ascii="Arial" w:hAnsi="Arial" w:cs="Arial"/>
          <w:sz w:val="20"/>
          <w:szCs w:val="20"/>
        </w:rPr>
        <w:t xml:space="preserve"> </w:t>
      </w:r>
      <w:r>
        <w:rPr>
          <w:rFonts w:ascii="Arial" w:hAnsi="Arial" w:cs="Arial"/>
          <w:sz w:val="20"/>
          <w:szCs w:val="20"/>
        </w:rPr>
        <w:t xml:space="preserve">Marks </w:t>
      </w:r>
      <w:r w:rsidRPr="00581DFF">
        <w:rPr>
          <w:rFonts w:ascii="Arial" w:hAnsi="Arial" w:cs="Arial"/>
          <w:sz w:val="20"/>
          <w:szCs w:val="20"/>
        </w:rPr>
        <w:t>(n 162),</w:t>
      </w:r>
      <w:r>
        <w:rPr>
          <w:rFonts w:ascii="Arial" w:hAnsi="Arial" w:cs="Arial"/>
          <w:sz w:val="20"/>
          <w:szCs w:val="20"/>
        </w:rPr>
        <w:t xml:space="preserve"> 313-314.</w:t>
      </w:r>
    </w:p>
  </w:footnote>
  <w:footnote w:id="171">
    <w:p w14:paraId="3B9672C2" w14:textId="77777777" w:rsidR="001A5BF9" w:rsidRPr="00180B9E" w:rsidRDefault="001A5BF9" w:rsidP="007E1B0B">
      <w:pPr>
        <w:pStyle w:val="FootnoteText"/>
        <w:rPr>
          <w:rFonts w:ascii="Arial" w:hAnsi="Arial" w:cs="Arial"/>
          <w:sz w:val="20"/>
          <w:szCs w:val="20"/>
          <w:lang w:val="en-US"/>
        </w:rPr>
      </w:pPr>
      <w:r w:rsidRPr="00180B9E">
        <w:rPr>
          <w:rStyle w:val="FootnoteReference"/>
          <w:rFonts w:ascii="Arial" w:hAnsi="Arial" w:cs="Arial"/>
          <w:sz w:val="20"/>
          <w:szCs w:val="20"/>
        </w:rPr>
        <w:footnoteRef/>
      </w:r>
      <w:r w:rsidRPr="00180B9E">
        <w:rPr>
          <w:rFonts w:ascii="Arial" w:hAnsi="Arial" w:cs="Arial"/>
          <w:sz w:val="20"/>
          <w:szCs w:val="20"/>
        </w:rPr>
        <w:t xml:space="preserve"> </w:t>
      </w:r>
      <w:r>
        <w:rPr>
          <w:rFonts w:ascii="Arial" w:hAnsi="Arial" w:cs="Arial"/>
          <w:i/>
          <w:sz w:val="20"/>
          <w:szCs w:val="20"/>
        </w:rPr>
        <w:t xml:space="preserve">Belilos </w:t>
      </w:r>
      <w:r>
        <w:rPr>
          <w:rFonts w:ascii="Arial" w:hAnsi="Arial" w:cs="Arial"/>
          <w:sz w:val="20"/>
          <w:szCs w:val="20"/>
        </w:rPr>
        <w:t xml:space="preserve">v </w:t>
      </w:r>
      <w:r>
        <w:rPr>
          <w:rFonts w:ascii="Arial" w:hAnsi="Arial" w:cs="Arial"/>
          <w:i/>
          <w:sz w:val="20"/>
          <w:szCs w:val="20"/>
        </w:rPr>
        <w:t xml:space="preserve">Switzerland </w:t>
      </w:r>
      <w:r>
        <w:rPr>
          <w:rFonts w:ascii="Arial" w:hAnsi="Arial" w:cs="Arial"/>
          <w:sz w:val="20"/>
          <w:szCs w:val="20"/>
        </w:rPr>
        <w:t>(1988) 88 ILR 635, Judgment of 29 April 1988, Ser A, No 132, paras. 49-55, 58-60.</w:t>
      </w:r>
    </w:p>
  </w:footnote>
  <w:footnote w:id="172">
    <w:p w14:paraId="0AE48A92" w14:textId="6A4F143B" w:rsidR="001A5BF9" w:rsidRPr="002624BB" w:rsidRDefault="001A5BF9" w:rsidP="00142423">
      <w:pPr>
        <w:pStyle w:val="FootnoteText"/>
        <w:rPr>
          <w:rFonts w:ascii="Arial" w:hAnsi="Arial" w:cs="Arial"/>
          <w:sz w:val="20"/>
          <w:szCs w:val="20"/>
          <w:lang w:val="en-US"/>
        </w:rPr>
      </w:pPr>
      <w:r w:rsidRPr="009A4CAC">
        <w:rPr>
          <w:rStyle w:val="FootnoteReference"/>
          <w:rFonts w:ascii="Arial" w:hAnsi="Arial" w:cs="Arial"/>
          <w:sz w:val="20"/>
          <w:szCs w:val="20"/>
        </w:rPr>
        <w:footnoteRef/>
      </w:r>
      <w:r w:rsidRPr="009A4CAC">
        <w:rPr>
          <w:rFonts w:ascii="Arial" w:hAnsi="Arial" w:cs="Arial"/>
          <w:sz w:val="20"/>
          <w:szCs w:val="20"/>
        </w:rPr>
        <w:t xml:space="preserve"> </w:t>
      </w:r>
      <w:r>
        <w:rPr>
          <w:rFonts w:ascii="Arial" w:hAnsi="Arial"/>
          <w:i/>
          <w:sz w:val="20"/>
          <w:szCs w:val="20"/>
        </w:rPr>
        <w:t xml:space="preserve">Loizidou </w:t>
      </w:r>
      <w:r>
        <w:rPr>
          <w:rFonts w:ascii="Arial" w:hAnsi="Arial"/>
          <w:sz w:val="20"/>
          <w:szCs w:val="20"/>
        </w:rPr>
        <w:t xml:space="preserve">v </w:t>
      </w:r>
      <w:r w:rsidRPr="007D2B2F">
        <w:rPr>
          <w:rFonts w:ascii="Arial" w:hAnsi="Arial"/>
          <w:i/>
          <w:sz w:val="20"/>
          <w:szCs w:val="20"/>
        </w:rPr>
        <w:t xml:space="preserve">Turkey </w:t>
      </w:r>
      <w:r w:rsidRPr="007D2B2F">
        <w:rPr>
          <w:rFonts w:ascii="Arial" w:hAnsi="Arial"/>
          <w:sz w:val="20"/>
          <w:szCs w:val="20"/>
        </w:rPr>
        <w:t>(n 153),</w:t>
      </w:r>
      <w:r w:rsidRPr="002624BB">
        <w:rPr>
          <w:rFonts w:ascii="Arial" w:hAnsi="Arial"/>
          <w:sz w:val="20"/>
          <w:szCs w:val="20"/>
        </w:rPr>
        <w:t xml:space="preserve"> 645.</w:t>
      </w:r>
    </w:p>
  </w:footnote>
  <w:footnote w:id="173">
    <w:p w14:paraId="7CA4BBFB" w14:textId="77777777" w:rsidR="001A5BF9" w:rsidRPr="00E84126" w:rsidRDefault="001A5BF9" w:rsidP="00142423">
      <w:pPr>
        <w:pStyle w:val="FootnoteText"/>
        <w:rPr>
          <w:rFonts w:ascii="Arial" w:hAnsi="Arial" w:cs="Arial"/>
          <w:sz w:val="20"/>
          <w:szCs w:val="20"/>
          <w:lang w:val="en-US"/>
        </w:rPr>
      </w:pPr>
      <w:r w:rsidRPr="002624BB">
        <w:rPr>
          <w:rStyle w:val="FootnoteReference"/>
          <w:rFonts w:ascii="Arial" w:hAnsi="Arial" w:cs="Arial"/>
          <w:sz w:val="20"/>
          <w:szCs w:val="20"/>
        </w:rPr>
        <w:footnoteRef/>
      </w:r>
      <w:r w:rsidRPr="002624BB">
        <w:rPr>
          <w:rFonts w:ascii="Arial" w:hAnsi="Arial" w:cs="Arial"/>
          <w:sz w:val="20"/>
          <w:szCs w:val="20"/>
        </w:rPr>
        <w:t xml:space="preserve"> </w:t>
      </w:r>
      <w:r w:rsidRPr="002624BB">
        <w:rPr>
          <w:rFonts w:ascii="Arial" w:hAnsi="Arial"/>
          <w:sz w:val="20"/>
          <w:szCs w:val="20"/>
        </w:rPr>
        <w:t>Ibid.</w:t>
      </w:r>
    </w:p>
  </w:footnote>
  <w:footnote w:id="174">
    <w:p w14:paraId="56CC8E2F" w14:textId="653A4250" w:rsidR="001A5BF9" w:rsidRPr="00DF0978" w:rsidRDefault="001A5BF9" w:rsidP="00142423">
      <w:pPr>
        <w:pStyle w:val="FootnoteText"/>
        <w:rPr>
          <w:rFonts w:ascii="Arial" w:hAnsi="Arial" w:cs="Arial"/>
          <w:sz w:val="20"/>
          <w:szCs w:val="20"/>
          <w:lang w:val="en-US"/>
        </w:rPr>
      </w:pPr>
      <w:r w:rsidRPr="0090301E">
        <w:rPr>
          <w:rStyle w:val="FootnoteReference"/>
          <w:rFonts w:ascii="Arial" w:hAnsi="Arial" w:cs="Arial"/>
          <w:sz w:val="20"/>
          <w:szCs w:val="20"/>
        </w:rPr>
        <w:footnoteRef/>
      </w:r>
      <w:r w:rsidRPr="0090301E">
        <w:rPr>
          <w:rFonts w:ascii="Arial" w:hAnsi="Arial" w:cs="Arial"/>
          <w:sz w:val="20"/>
          <w:szCs w:val="20"/>
        </w:rPr>
        <w:t xml:space="preserve"> </w:t>
      </w:r>
      <w:r w:rsidRPr="00DF0978">
        <w:rPr>
          <w:rFonts w:ascii="Arial" w:hAnsi="Arial" w:cs="Arial"/>
          <w:sz w:val="20"/>
          <w:szCs w:val="20"/>
        </w:rPr>
        <w:t>Bjorge (n 157), p 135.</w:t>
      </w:r>
    </w:p>
  </w:footnote>
  <w:footnote w:id="175">
    <w:p w14:paraId="06E8BA40" w14:textId="77777777" w:rsidR="001A5BF9" w:rsidRPr="00DF0978" w:rsidRDefault="001A5BF9" w:rsidP="00C11D6A">
      <w:pPr>
        <w:pStyle w:val="FootnoteText"/>
        <w:rPr>
          <w:rFonts w:ascii="Arial" w:hAnsi="Arial" w:cs="Arial"/>
          <w:sz w:val="20"/>
          <w:szCs w:val="20"/>
          <w:lang w:val="en-US"/>
        </w:rPr>
      </w:pPr>
      <w:r w:rsidRPr="00DF0978">
        <w:rPr>
          <w:rStyle w:val="FootnoteReference"/>
          <w:rFonts w:ascii="Arial" w:hAnsi="Arial" w:cs="Arial"/>
          <w:sz w:val="20"/>
          <w:szCs w:val="20"/>
        </w:rPr>
        <w:footnoteRef/>
      </w:r>
      <w:r w:rsidRPr="00DF0978">
        <w:rPr>
          <w:rFonts w:ascii="Arial" w:hAnsi="Arial" w:cs="Arial"/>
          <w:sz w:val="20"/>
          <w:szCs w:val="20"/>
        </w:rPr>
        <w:t xml:space="preserve"> See </w:t>
      </w:r>
      <w:r w:rsidRPr="00DF0978">
        <w:rPr>
          <w:rFonts w:ascii="Arial" w:hAnsi="Arial" w:cs="Arial"/>
          <w:i/>
          <w:sz w:val="20"/>
          <w:szCs w:val="20"/>
        </w:rPr>
        <w:t xml:space="preserve">Acquisition of Polish Nationality </w:t>
      </w:r>
      <w:r w:rsidRPr="00DF0978">
        <w:rPr>
          <w:rFonts w:ascii="Arial" w:hAnsi="Arial" w:cs="Arial"/>
          <w:sz w:val="20"/>
          <w:szCs w:val="20"/>
        </w:rPr>
        <w:t>PCIJ (1923) Series B No 7, 20.</w:t>
      </w:r>
    </w:p>
  </w:footnote>
  <w:footnote w:id="176">
    <w:p w14:paraId="293DD11D" w14:textId="070EECA1" w:rsidR="001A5BF9" w:rsidRPr="0090301E" w:rsidRDefault="001A5BF9" w:rsidP="00C11D6A">
      <w:pPr>
        <w:pStyle w:val="FootnoteText"/>
        <w:rPr>
          <w:rFonts w:ascii="Arial" w:hAnsi="Arial" w:cs="Arial"/>
          <w:sz w:val="20"/>
          <w:szCs w:val="20"/>
          <w:lang w:val="en-US"/>
        </w:rPr>
      </w:pPr>
      <w:r w:rsidRPr="00DF0978">
        <w:rPr>
          <w:rStyle w:val="FootnoteReference"/>
          <w:rFonts w:ascii="Arial" w:hAnsi="Arial" w:cs="Arial"/>
          <w:sz w:val="20"/>
          <w:szCs w:val="20"/>
        </w:rPr>
        <w:footnoteRef/>
      </w:r>
      <w:r w:rsidRPr="00DF0978">
        <w:rPr>
          <w:rFonts w:ascii="Arial" w:hAnsi="Arial" w:cs="Arial"/>
          <w:sz w:val="20"/>
          <w:szCs w:val="20"/>
        </w:rPr>
        <w:t xml:space="preserve"> Bjorge (n 157),</w:t>
      </w:r>
      <w:r>
        <w:rPr>
          <w:rFonts w:ascii="Arial" w:hAnsi="Arial" w:cs="Arial"/>
          <w:sz w:val="20"/>
          <w:szCs w:val="20"/>
        </w:rPr>
        <w:t xml:space="preserve"> p 135.</w:t>
      </w:r>
    </w:p>
  </w:footnote>
  <w:footnote w:id="177">
    <w:p w14:paraId="488CA447" w14:textId="76C7FA24" w:rsidR="001A5BF9" w:rsidRPr="00393374" w:rsidRDefault="001A5BF9" w:rsidP="007634C7">
      <w:pPr>
        <w:pStyle w:val="FootnoteText"/>
        <w:rPr>
          <w:rFonts w:ascii="Arial" w:hAnsi="Arial"/>
          <w:sz w:val="20"/>
          <w:szCs w:val="20"/>
          <w:lang w:val="en-US"/>
        </w:rPr>
      </w:pPr>
      <w:r w:rsidRPr="00393374">
        <w:rPr>
          <w:rStyle w:val="FootnoteReference"/>
          <w:rFonts w:ascii="Arial" w:hAnsi="Arial"/>
          <w:sz w:val="20"/>
          <w:szCs w:val="20"/>
        </w:rPr>
        <w:footnoteRef/>
      </w:r>
      <w:r w:rsidRPr="00393374">
        <w:rPr>
          <w:rFonts w:ascii="Arial" w:hAnsi="Arial"/>
          <w:sz w:val="20"/>
          <w:szCs w:val="20"/>
        </w:rPr>
        <w:t xml:space="preserve"> </w:t>
      </w:r>
      <w:r>
        <w:rPr>
          <w:rFonts w:ascii="Arial" w:hAnsi="Arial"/>
          <w:i/>
          <w:sz w:val="20"/>
          <w:szCs w:val="20"/>
        </w:rPr>
        <w:t xml:space="preserve">Loizidou </w:t>
      </w:r>
      <w:r>
        <w:rPr>
          <w:rFonts w:ascii="Arial" w:hAnsi="Arial"/>
          <w:sz w:val="20"/>
          <w:szCs w:val="20"/>
        </w:rPr>
        <w:t xml:space="preserve">v </w:t>
      </w:r>
      <w:r>
        <w:rPr>
          <w:rFonts w:ascii="Arial" w:hAnsi="Arial"/>
          <w:i/>
          <w:sz w:val="20"/>
          <w:szCs w:val="20"/>
        </w:rPr>
        <w:t>Turke</w:t>
      </w:r>
      <w:r w:rsidRPr="007D2B2F">
        <w:rPr>
          <w:rFonts w:ascii="Arial" w:hAnsi="Arial"/>
          <w:i/>
          <w:sz w:val="20"/>
          <w:szCs w:val="20"/>
        </w:rPr>
        <w:t xml:space="preserve">y </w:t>
      </w:r>
      <w:r w:rsidRPr="007D2B2F">
        <w:rPr>
          <w:rFonts w:ascii="Arial" w:hAnsi="Arial"/>
          <w:sz w:val="20"/>
          <w:szCs w:val="20"/>
        </w:rPr>
        <w:t xml:space="preserve">(n 153), </w:t>
      </w:r>
      <w:r w:rsidRPr="00556FF0">
        <w:rPr>
          <w:rFonts w:ascii="Arial" w:hAnsi="Arial"/>
          <w:sz w:val="20"/>
          <w:szCs w:val="20"/>
        </w:rPr>
        <w:t>93.</w:t>
      </w:r>
    </w:p>
  </w:footnote>
  <w:footnote w:id="178">
    <w:p w14:paraId="4FB7965D" w14:textId="522D0975" w:rsidR="001A5BF9" w:rsidRPr="00DE6F5E" w:rsidRDefault="001A5BF9">
      <w:pPr>
        <w:pStyle w:val="FootnoteText"/>
        <w:rPr>
          <w:rFonts w:ascii="Arial" w:hAnsi="Arial" w:cs="Arial"/>
          <w:sz w:val="20"/>
          <w:szCs w:val="20"/>
          <w:lang w:val="en-US"/>
        </w:rPr>
      </w:pPr>
      <w:r w:rsidRPr="00DE6F5E">
        <w:rPr>
          <w:rStyle w:val="FootnoteReference"/>
          <w:rFonts w:ascii="Arial" w:hAnsi="Arial" w:cs="Arial"/>
          <w:sz w:val="20"/>
          <w:szCs w:val="20"/>
        </w:rPr>
        <w:footnoteRef/>
      </w:r>
      <w:r w:rsidRPr="00DE6F5E">
        <w:rPr>
          <w:rFonts w:ascii="Arial" w:hAnsi="Arial" w:cs="Arial"/>
          <w:sz w:val="20"/>
          <w:szCs w:val="20"/>
        </w:rPr>
        <w:t xml:space="preserve"> </w:t>
      </w:r>
      <w:r w:rsidRPr="00DE6F5E">
        <w:rPr>
          <w:rFonts w:ascii="Arial" w:hAnsi="Arial" w:cs="Arial"/>
          <w:sz w:val="20"/>
          <w:szCs w:val="20"/>
          <w:lang w:val="en-US"/>
        </w:rPr>
        <w:t xml:space="preserve">Judgment of 23 March 1995, ECHR, Series </w:t>
      </w:r>
      <w:r>
        <w:rPr>
          <w:rFonts w:ascii="Arial" w:hAnsi="Arial" w:cs="Arial"/>
          <w:sz w:val="20"/>
          <w:szCs w:val="20"/>
          <w:lang w:val="en-US"/>
        </w:rPr>
        <w:t>A, vol. 310, p 27, para. 77.  </w:t>
      </w:r>
    </w:p>
  </w:footnote>
  <w:footnote w:id="179">
    <w:p w14:paraId="4F83DC12" w14:textId="3C27FE43" w:rsidR="001A5BF9" w:rsidRPr="00DE6F5E" w:rsidRDefault="001A5BF9">
      <w:pPr>
        <w:pStyle w:val="FootnoteText"/>
        <w:rPr>
          <w:rFonts w:ascii="Arial" w:hAnsi="Arial" w:cs="Arial"/>
          <w:sz w:val="20"/>
          <w:szCs w:val="20"/>
          <w:lang w:val="en-US"/>
        </w:rPr>
      </w:pPr>
      <w:r w:rsidRPr="00DE6F5E">
        <w:rPr>
          <w:rStyle w:val="FootnoteReference"/>
          <w:rFonts w:ascii="Arial" w:hAnsi="Arial" w:cs="Arial"/>
          <w:sz w:val="20"/>
          <w:szCs w:val="20"/>
        </w:rPr>
        <w:footnoteRef/>
      </w:r>
      <w:r w:rsidRPr="00DE6F5E">
        <w:rPr>
          <w:rFonts w:ascii="Arial" w:hAnsi="Arial" w:cs="Arial"/>
          <w:sz w:val="20"/>
          <w:szCs w:val="20"/>
        </w:rPr>
        <w:t xml:space="preserve"> </w:t>
      </w:r>
      <w:r>
        <w:rPr>
          <w:rFonts w:ascii="Arial" w:hAnsi="Arial" w:cs="Arial"/>
          <w:sz w:val="20"/>
          <w:szCs w:val="20"/>
          <w:lang w:val="en-US"/>
        </w:rPr>
        <w:t>Ibid</w:t>
      </w:r>
      <w:r w:rsidRPr="00DE6F5E">
        <w:rPr>
          <w:rFonts w:ascii="Arial" w:hAnsi="Arial" w:cs="Arial"/>
          <w:sz w:val="20"/>
          <w:szCs w:val="20"/>
          <w:lang w:val="en-US"/>
        </w:rPr>
        <w:t xml:space="preserve">, </w:t>
      </w:r>
      <w:r>
        <w:rPr>
          <w:rFonts w:ascii="Arial" w:hAnsi="Arial" w:cs="Arial"/>
          <w:sz w:val="20"/>
          <w:szCs w:val="20"/>
          <w:lang w:val="en-US"/>
        </w:rPr>
        <w:t xml:space="preserve">pp. 26-30, </w:t>
      </w:r>
      <w:r w:rsidRPr="00DE6F5E">
        <w:rPr>
          <w:rFonts w:ascii="Arial" w:hAnsi="Arial" w:cs="Arial"/>
          <w:sz w:val="20"/>
          <w:szCs w:val="20"/>
          <w:lang w:val="en-US"/>
        </w:rPr>
        <w:t xml:space="preserve">paras. 70–89; see in particular paragraph 79. See also the decision of 4 July 2001 of the  Grand Chamber on the admissibility of Application No. 48787/99 in the case of </w:t>
      </w:r>
      <w:r>
        <w:rPr>
          <w:rFonts w:ascii="Arial" w:hAnsi="Arial" w:cs="Arial"/>
          <w:i/>
          <w:sz w:val="20"/>
          <w:szCs w:val="20"/>
          <w:lang w:val="en-US"/>
        </w:rPr>
        <w:t xml:space="preserve">Ilie Ilaşcu et al. </w:t>
      </w:r>
      <w:r w:rsidRPr="009E6EBB">
        <w:rPr>
          <w:rFonts w:ascii="Arial" w:hAnsi="Arial" w:cs="Arial"/>
          <w:sz w:val="20"/>
          <w:szCs w:val="20"/>
          <w:lang w:val="en-US"/>
        </w:rPr>
        <w:t>v</w:t>
      </w:r>
      <w:r w:rsidRPr="009E6EBB">
        <w:rPr>
          <w:rFonts w:ascii="Arial" w:hAnsi="Arial" w:cs="Arial"/>
          <w:i/>
          <w:sz w:val="20"/>
          <w:szCs w:val="20"/>
          <w:lang w:val="en-US"/>
        </w:rPr>
        <w:t xml:space="preserve"> Moldova and the Russian Federation</w:t>
      </w:r>
      <w:r w:rsidRPr="00DE6F5E">
        <w:rPr>
          <w:rFonts w:ascii="Arial" w:hAnsi="Arial" w:cs="Arial"/>
          <w:sz w:val="20"/>
          <w:szCs w:val="20"/>
          <w:lang w:val="en-US"/>
        </w:rPr>
        <w:t>,</w:t>
      </w:r>
      <w:r>
        <w:rPr>
          <w:rFonts w:ascii="Arial" w:hAnsi="Arial" w:cs="Arial"/>
          <w:sz w:val="20"/>
          <w:szCs w:val="20"/>
          <w:lang w:val="en-US"/>
        </w:rPr>
        <w:t xml:space="preserve"> ECHR</w:t>
      </w:r>
      <w:r w:rsidRPr="00F2137F">
        <w:rPr>
          <w:rFonts w:ascii="Arial" w:hAnsi="Arial" w:cs="Arial"/>
          <w:sz w:val="20"/>
          <w:szCs w:val="20"/>
          <w:lang w:val="en-US"/>
        </w:rPr>
        <w:t>, Grand Chamber decis</w:t>
      </w:r>
      <w:r>
        <w:rPr>
          <w:rFonts w:ascii="Arial" w:hAnsi="Arial" w:cs="Arial"/>
          <w:sz w:val="20"/>
          <w:szCs w:val="20"/>
          <w:lang w:val="en-US"/>
        </w:rPr>
        <w:t xml:space="preserve">ion of 4 July 2001 (unreported), </w:t>
      </w:r>
      <w:r w:rsidRPr="00DE6F5E">
        <w:rPr>
          <w:rFonts w:ascii="Arial" w:hAnsi="Arial" w:cs="Arial"/>
          <w:sz w:val="20"/>
          <w:szCs w:val="20"/>
          <w:lang w:val="en-US"/>
        </w:rPr>
        <w:t xml:space="preserve">p. 20, or the judgment of the Grand Chamber of 8 April 2004 in the case of </w:t>
      </w:r>
      <w:r>
        <w:rPr>
          <w:rFonts w:ascii="Arial" w:hAnsi="Arial" w:cs="Arial"/>
          <w:i/>
          <w:sz w:val="20"/>
          <w:szCs w:val="20"/>
          <w:lang w:val="en-US"/>
        </w:rPr>
        <w:t xml:space="preserve">Assanidze </w:t>
      </w:r>
      <w:r w:rsidRPr="009E6EBB">
        <w:rPr>
          <w:rFonts w:ascii="Arial" w:hAnsi="Arial" w:cs="Arial"/>
          <w:sz w:val="20"/>
          <w:szCs w:val="20"/>
          <w:lang w:val="en-US"/>
        </w:rPr>
        <w:t>v</w:t>
      </w:r>
      <w:r w:rsidRPr="009E6EBB">
        <w:rPr>
          <w:rFonts w:ascii="Arial" w:hAnsi="Arial" w:cs="Arial"/>
          <w:i/>
          <w:sz w:val="20"/>
          <w:szCs w:val="20"/>
          <w:lang w:val="en-US"/>
        </w:rPr>
        <w:t xml:space="preserve"> Georgia </w:t>
      </w:r>
      <w:r w:rsidRPr="00DE6F5E">
        <w:rPr>
          <w:rFonts w:ascii="Arial" w:hAnsi="Arial" w:cs="Arial"/>
          <w:sz w:val="20"/>
          <w:szCs w:val="20"/>
          <w:lang w:val="en-US"/>
        </w:rPr>
        <w:t>(Applica</w:t>
      </w:r>
      <w:r>
        <w:rPr>
          <w:rFonts w:ascii="Arial" w:hAnsi="Arial" w:cs="Arial"/>
          <w:sz w:val="20"/>
          <w:szCs w:val="20"/>
          <w:lang w:val="en-US"/>
        </w:rPr>
        <w:t xml:space="preserve">tion No. 71503/01), para. 140. </w:t>
      </w:r>
      <w:r>
        <w:rPr>
          <w:rFonts w:ascii="Arial" w:hAnsi="Arial" w:cs="Arial"/>
          <w:sz w:val="20"/>
          <w:szCs w:val="20"/>
        </w:rPr>
        <w:t>The Court decided that a ‘declaration’ by Moldova was comparable with a reservation (as defined by the European Convention on Human Rights, Art. 57) and could therefore be deemed invalid.</w:t>
      </w:r>
    </w:p>
  </w:footnote>
  <w:footnote w:id="180">
    <w:p w14:paraId="61DE0F59" w14:textId="096836E3" w:rsidR="001A5BF9" w:rsidRPr="00D17D92" w:rsidRDefault="001A5BF9" w:rsidP="00813917">
      <w:pPr>
        <w:pStyle w:val="FootnoteText"/>
        <w:rPr>
          <w:rFonts w:ascii="Arial" w:hAnsi="Arial" w:cs="Arial"/>
          <w:sz w:val="20"/>
          <w:szCs w:val="20"/>
          <w:lang w:val="en-US"/>
        </w:rPr>
      </w:pPr>
      <w:r w:rsidRPr="00D17D92">
        <w:rPr>
          <w:rStyle w:val="FootnoteReference"/>
          <w:rFonts w:ascii="Arial" w:hAnsi="Arial" w:cs="Arial"/>
          <w:sz w:val="20"/>
          <w:szCs w:val="20"/>
        </w:rPr>
        <w:footnoteRef/>
      </w:r>
      <w:r w:rsidRPr="00D17D92">
        <w:rPr>
          <w:rFonts w:ascii="Arial" w:hAnsi="Arial" w:cs="Arial"/>
          <w:sz w:val="20"/>
          <w:szCs w:val="20"/>
        </w:rPr>
        <w:t xml:space="preserve"> </w:t>
      </w:r>
      <w:r w:rsidRPr="00D17D92">
        <w:rPr>
          <w:rFonts w:ascii="Arial" w:hAnsi="Arial" w:cs="Arial"/>
          <w:sz w:val="20"/>
          <w:szCs w:val="20"/>
          <w:lang w:val="en-US"/>
        </w:rPr>
        <w:t>C</w:t>
      </w:r>
      <w:r>
        <w:rPr>
          <w:rFonts w:ascii="Arial" w:hAnsi="Arial" w:cs="Arial"/>
          <w:sz w:val="20"/>
          <w:szCs w:val="20"/>
          <w:lang w:val="en-US"/>
        </w:rPr>
        <w:t>.</w:t>
      </w:r>
      <w:r w:rsidRPr="00D17D92">
        <w:rPr>
          <w:rFonts w:ascii="Arial" w:hAnsi="Arial" w:cs="Arial"/>
          <w:sz w:val="20"/>
          <w:szCs w:val="20"/>
          <w:lang w:val="en-US"/>
        </w:rPr>
        <w:t xml:space="preserve"> Redgwell, ‘Universality or Integrity?’ </w:t>
      </w:r>
      <w:r>
        <w:rPr>
          <w:rFonts w:ascii="Arial" w:hAnsi="Arial" w:cs="Arial"/>
          <w:sz w:val="20"/>
          <w:szCs w:val="20"/>
          <w:lang w:val="en-US"/>
        </w:rPr>
        <w:t xml:space="preserve">in </w:t>
      </w:r>
      <w:r w:rsidRPr="00D17D92">
        <w:rPr>
          <w:rFonts w:ascii="Arial" w:hAnsi="Arial" w:cs="Arial"/>
          <w:sz w:val="20"/>
          <w:szCs w:val="20"/>
          <w:lang w:val="en-US"/>
        </w:rPr>
        <w:t xml:space="preserve">‘Reservations to Treaties and Human Rights Committee </w:t>
      </w:r>
      <w:r w:rsidRPr="00E16C7D">
        <w:rPr>
          <w:rFonts w:ascii="Arial" w:hAnsi="Arial" w:cs="Arial"/>
          <w:i/>
          <w:sz w:val="20"/>
          <w:szCs w:val="20"/>
          <w:lang w:val="en-US"/>
        </w:rPr>
        <w:t>General  Comment No 24(52)</w:t>
      </w:r>
      <w:r w:rsidRPr="00D17D92">
        <w:rPr>
          <w:rFonts w:ascii="Arial" w:hAnsi="Arial" w:cs="Arial"/>
          <w:sz w:val="20"/>
          <w:szCs w:val="20"/>
          <w:lang w:val="en-US"/>
        </w:rPr>
        <w:t xml:space="preserve">’ (1997) 46 </w:t>
      </w:r>
      <w:r>
        <w:rPr>
          <w:rFonts w:ascii="Arial" w:hAnsi="Arial" w:cs="Arial"/>
          <w:i/>
          <w:sz w:val="20"/>
          <w:szCs w:val="20"/>
          <w:lang w:val="en-US"/>
        </w:rPr>
        <w:t xml:space="preserve">ICLQ </w:t>
      </w:r>
      <w:r>
        <w:rPr>
          <w:rFonts w:ascii="Arial" w:hAnsi="Arial" w:cs="Arial"/>
          <w:sz w:val="20"/>
          <w:szCs w:val="20"/>
          <w:lang w:val="en-US"/>
        </w:rPr>
        <w:t xml:space="preserve">390, 267; </w:t>
      </w:r>
      <w:r w:rsidRPr="003538B1">
        <w:rPr>
          <w:rFonts w:ascii="Arial" w:hAnsi="Arial" w:cs="Arial"/>
          <w:sz w:val="20"/>
          <w:szCs w:val="20"/>
          <w:lang w:val="en-US"/>
        </w:rPr>
        <w:t>R</w:t>
      </w:r>
      <w:r>
        <w:rPr>
          <w:rFonts w:ascii="Arial" w:hAnsi="Arial" w:cs="Arial"/>
          <w:sz w:val="20"/>
          <w:szCs w:val="20"/>
          <w:lang w:val="en-US"/>
        </w:rPr>
        <w:t>.</w:t>
      </w:r>
      <w:r w:rsidRPr="003538B1">
        <w:rPr>
          <w:rFonts w:ascii="Arial" w:hAnsi="Arial" w:cs="Arial"/>
          <w:sz w:val="20"/>
          <w:szCs w:val="20"/>
          <w:lang w:val="en-US"/>
        </w:rPr>
        <w:t xml:space="preserve"> Goodman, ‘Human Rights Treaties, Invalid Reservations, and State Consent’ (2002) 96 </w:t>
      </w:r>
      <w:r>
        <w:rPr>
          <w:rFonts w:ascii="Arial" w:hAnsi="Arial" w:cs="Arial"/>
          <w:i/>
          <w:sz w:val="20"/>
          <w:szCs w:val="20"/>
          <w:lang w:val="en-US"/>
        </w:rPr>
        <w:t>AJIL</w:t>
      </w:r>
      <w:r>
        <w:rPr>
          <w:rFonts w:ascii="Arial" w:hAnsi="Arial" w:cs="Arial"/>
          <w:sz w:val="20"/>
          <w:szCs w:val="20"/>
          <w:lang w:val="en-US"/>
        </w:rPr>
        <w:t xml:space="preserve"> 531, 537. </w:t>
      </w:r>
      <w:r w:rsidRPr="003538B1">
        <w:rPr>
          <w:rFonts w:ascii="Arial" w:hAnsi="Arial" w:cs="Arial"/>
          <w:sz w:val="20"/>
          <w:szCs w:val="20"/>
          <w:lang w:val="en-US"/>
        </w:rPr>
        <w:t>See also H</w:t>
      </w:r>
      <w:r>
        <w:rPr>
          <w:rFonts w:ascii="Arial" w:hAnsi="Arial" w:cs="Arial"/>
          <w:sz w:val="20"/>
          <w:szCs w:val="20"/>
          <w:lang w:val="en-US"/>
        </w:rPr>
        <w:t>.</w:t>
      </w:r>
      <w:r w:rsidRPr="003538B1">
        <w:rPr>
          <w:rFonts w:ascii="Arial" w:hAnsi="Arial" w:cs="Arial"/>
          <w:sz w:val="20"/>
          <w:szCs w:val="20"/>
          <w:lang w:val="en-US"/>
        </w:rPr>
        <w:t xml:space="preserve"> Bourguignon, ‘The Belilos Case: New Light on  Reservations to Multilateral Treaties’ (1989) 29 Virginia Journal of International Law 347.  </w:t>
      </w:r>
    </w:p>
  </w:footnote>
  <w:footnote w:id="181">
    <w:p w14:paraId="1EFFB3A8" w14:textId="77777777" w:rsidR="001A5BF9" w:rsidRPr="00D21C94" w:rsidRDefault="001A5BF9" w:rsidP="00813917">
      <w:pPr>
        <w:pStyle w:val="FootnoteText"/>
        <w:rPr>
          <w:rFonts w:ascii="Arial" w:hAnsi="Arial" w:cs="Arial"/>
          <w:sz w:val="20"/>
          <w:szCs w:val="20"/>
          <w:lang w:val="en-US"/>
        </w:rPr>
      </w:pPr>
      <w:r w:rsidRPr="00D21C94">
        <w:rPr>
          <w:rStyle w:val="FootnoteReference"/>
          <w:rFonts w:ascii="Arial" w:hAnsi="Arial" w:cs="Arial"/>
          <w:sz w:val="20"/>
          <w:szCs w:val="20"/>
        </w:rPr>
        <w:footnoteRef/>
      </w:r>
      <w:r w:rsidRPr="00D21C94">
        <w:rPr>
          <w:rFonts w:ascii="Arial" w:hAnsi="Arial" w:cs="Arial"/>
          <w:sz w:val="20"/>
          <w:szCs w:val="20"/>
        </w:rPr>
        <w:t xml:space="preserve"> </w:t>
      </w:r>
      <w:r w:rsidRPr="00D21C94">
        <w:rPr>
          <w:rFonts w:ascii="Arial" w:hAnsi="Arial" w:cs="Arial"/>
          <w:sz w:val="20"/>
          <w:szCs w:val="20"/>
          <w:lang w:val="en-US"/>
        </w:rPr>
        <w:t xml:space="preserve">International Law Commission, </w:t>
      </w:r>
      <w:r w:rsidRPr="00D21C94">
        <w:rPr>
          <w:rFonts w:ascii="Arial" w:hAnsi="Arial" w:cs="Arial"/>
          <w:i/>
          <w:sz w:val="20"/>
          <w:szCs w:val="20"/>
          <w:lang w:val="en-US"/>
        </w:rPr>
        <w:t>Report of the Internationa</w:t>
      </w:r>
      <w:r>
        <w:rPr>
          <w:rFonts w:ascii="Arial" w:hAnsi="Arial" w:cs="Arial"/>
          <w:i/>
          <w:sz w:val="20"/>
          <w:szCs w:val="20"/>
          <w:lang w:val="en-US"/>
        </w:rPr>
        <w:t>l Law Commission on the Work of</w:t>
      </w:r>
      <w:r w:rsidRPr="00D21C94">
        <w:rPr>
          <w:rFonts w:ascii="Arial" w:hAnsi="Arial" w:cs="Arial"/>
          <w:i/>
          <w:sz w:val="20"/>
          <w:szCs w:val="20"/>
          <w:lang w:val="en-US"/>
        </w:rPr>
        <w:t> its 49th session</w:t>
      </w:r>
      <w:r w:rsidRPr="00D21C94">
        <w:rPr>
          <w:rFonts w:ascii="Arial" w:hAnsi="Arial" w:cs="Arial"/>
          <w:sz w:val="20"/>
          <w:szCs w:val="20"/>
          <w:lang w:val="en-US"/>
        </w:rPr>
        <w:t xml:space="preserve">, 12 May – 18 July 1997, UN GAOR, 52nd </w:t>
      </w:r>
      <w:r>
        <w:rPr>
          <w:rFonts w:ascii="Arial" w:hAnsi="Arial" w:cs="Arial"/>
          <w:sz w:val="20"/>
          <w:szCs w:val="20"/>
          <w:lang w:val="en-US"/>
        </w:rPr>
        <w:t>S</w:t>
      </w:r>
      <w:r w:rsidRPr="00D21C94">
        <w:rPr>
          <w:rFonts w:ascii="Arial" w:hAnsi="Arial" w:cs="Arial"/>
          <w:sz w:val="20"/>
          <w:szCs w:val="20"/>
          <w:lang w:val="en-US"/>
        </w:rPr>
        <w:t>ess</w:t>
      </w:r>
      <w:r>
        <w:rPr>
          <w:rFonts w:ascii="Arial" w:hAnsi="Arial" w:cs="Arial"/>
          <w:sz w:val="20"/>
          <w:szCs w:val="20"/>
          <w:lang w:val="en-US"/>
        </w:rPr>
        <w:t>.</w:t>
      </w:r>
      <w:r w:rsidRPr="00D21C94">
        <w:rPr>
          <w:rFonts w:ascii="Arial" w:hAnsi="Arial" w:cs="Arial"/>
          <w:sz w:val="20"/>
          <w:szCs w:val="20"/>
          <w:lang w:val="en-US"/>
        </w:rPr>
        <w:t>, Supp</w:t>
      </w:r>
      <w:r>
        <w:rPr>
          <w:rFonts w:ascii="Arial" w:hAnsi="Arial" w:cs="Arial"/>
          <w:sz w:val="20"/>
          <w:szCs w:val="20"/>
          <w:lang w:val="en-US"/>
        </w:rPr>
        <w:t>.</w:t>
      </w:r>
      <w:r w:rsidRPr="00D21C94">
        <w:rPr>
          <w:rFonts w:ascii="Arial" w:hAnsi="Arial" w:cs="Arial"/>
          <w:sz w:val="20"/>
          <w:szCs w:val="20"/>
          <w:lang w:val="en-US"/>
        </w:rPr>
        <w:t xml:space="preserve"> No 10, 106–8,  UN Doc A/52/10 (1997).  </w:t>
      </w:r>
    </w:p>
  </w:footnote>
  <w:footnote w:id="182">
    <w:p w14:paraId="569ED0EF" w14:textId="3E60F8D9" w:rsidR="001A5BF9" w:rsidRPr="00B41CFF" w:rsidRDefault="001A5BF9" w:rsidP="00D03961">
      <w:pPr>
        <w:pStyle w:val="FootnoteText"/>
        <w:rPr>
          <w:rFonts w:ascii="Arial" w:hAnsi="Arial"/>
          <w:sz w:val="20"/>
          <w:szCs w:val="20"/>
          <w:lang w:val="en-US"/>
        </w:rPr>
      </w:pPr>
      <w:r w:rsidRPr="00B41CFF">
        <w:rPr>
          <w:rStyle w:val="FootnoteReference"/>
          <w:rFonts w:ascii="Arial" w:hAnsi="Arial"/>
          <w:sz w:val="20"/>
          <w:szCs w:val="20"/>
        </w:rPr>
        <w:footnoteRef/>
      </w:r>
      <w:r w:rsidRPr="00B41CFF">
        <w:rPr>
          <w:rFonts w:ascii="Arial" w:hAnsi="Arial"/>
          <w:sz w:val="20"/>
          <w:szCs w:val="20"/>
        </w:rPr>
        <w:t xml:space="preserve"> </w:t>
      </w:r>
      <w:r>
        <w:rPr>
          <w:rFonts w:ascii="Arial" w:hAnsi="Arial"/>
          <w:sz w:val="20"/>
          <w:szCs w:val="20"/>
        </w:rPr>
        <w:t>Convention for the Protection of Human Rights and Fundamental Freedoms, 4 November 1950, 213 UNTS 222.</w:t>
      </w:r>
    </w:p>
  </w:footnote>
  <w:footnote w:id="183">
    <w:p w14:paraId="65BCC63A" w14:textId="5CD7FFD5" w:rsidR="001A5BF9" w:rsidRPr="00E87695" w:rsidRDefault="001A5BF9">
      <w:pPr>
        <w:pStyle w:val="FootnoteText"/>
        <w:rPr>
          <w:rFonts w:ascii="Arial" w:hAnsi="Arial" w:cs="Arial"/>
          <w:sz w:val="20"/>
          <w:szCs w:val="20"/>
          <w:lang w:val="en-US"/>
        </w:rPr>
      </w:pPr>
      <w:r w:rsidRPr="00E87695">
        <w:rPr>
          <w:rStyle w:val="FootnoteReference"/>
          <w:rFonts w:ascii="Arial" w:hAnsi="Arial" w:cs="Arial"/>
          <w:sz w:val="20"/>
          <w:szCs w:val="20"/>
        </w:rPr>
        <w:footnoteRef/>
      </w:r>
      <w:r w:rsidRPr="00E87695">
        <w:rPr>
          <w:rFonts w:ascii="Arial" w:hAnsi="Arial" w:cs="Arial"/>
          <w:sz w:val="20"/>
          <w:szCs w:val="20"/>
        </w:rPr>
        <w:t xml:space="preserve"> </w:t>
      </w:r>
      <w:r w:rsidRPr="00E87695">
        <w:rPr>
          <w:rFonts w:ascii="Arial" w:hAnsi="Arial" w:cs="Arial"/>
          <w:i/>
          <w:sz w:val="20"/>
          <w:szCs w:val="20"/>
          <w:lang w:val="en-US"/>
        </w:rPr>
        <w:t>Loizidou</w:t>
      </w:r>
      <w:r w:rsidRPr="00E87695">
        <w:rPr>
          <w:rFonts w:ascii="Arial" w:hAnsi="Arial" w:cs="Arial"/>
          <w:sz w:val="20"/>
          <w:szCs w:val="20"/>
          <w:lang w:val="en-US"/>
        </w:rPr>
        <w:t xml:space="preserve"> v </w:t>
      </w:r>
      <w:r w:rsidRPr="00090B26">
        <w:rPr>
          <w:rFonts w:ascii="Arial" w:hAnsi="Arial" w:cs="Arial"/>
          <w:i/>
          <w:sz w:val="20"/>
          <w:szCs w:val="20"/>
          <w:lang w:val="en-US"/>
        </w:rPr>
        <w:t xml:space="preserve">Turkey </w:t>
      </w:r>
      <w:r w:rsidRPr="00090B26">
        <w:rPr>
          <w:rFonts w:ascii="Arial" w:hAnsi="Arial"/>
          <w:sz w:val="20"/>
          <w:szCs w:val="20"/>
        </w:rPr>
        <w:t>(n 153),</w:t>
      </w:r>
      <w:r w:rsidRPr="002624BB">
        <w:rPr>
          <w:rFonts w:ascii="Arial" w:hAnsi="Arial"/>
          <w:sz w:val="20"/>
          <w:szCs w:val="20"/>
        </w:rPr>
        <w:t xml:space="preserve"> </w:t>
      </w:r>
      <w:r>
        <w:rPr>
          <w:rFonts w:ascii="Arial" w:hAnsi="Arial"/>
          <w:sz w:val="20"/>
          <w:szCs w:val="20"/>
        </w:rPr>
        <w:t>30</w:t>
      </w:r>
      <w:r w:rsidRPr="00556FF0">
        <w:rPr>
          <w:rFonts w:ascii="Arial" w:hAnsi="Arial"/>
          <w:sz w:val="20"/>
          <w:szCs w:val="20"/>
        </w:rPr>
        <w:t>.</w:t>
      </w:r>
      <w:r w:rsidRPr="00E87695">
        <w:rPr>
          <w:rFonts w:ascii="Arial" w:hAnsi="Arial" w:cs="Arial"/>
          <w:sz w:val="20"/>
          <w:szCs w:val="20"/>
          <w:lang w:val="en-US"/>
        </w:rPr>
        <w:t xml:space="preserve"> </w:t>
      </w:r>
    </w:p>
  </w:footnote>
  <w:footnote w:id="184">
    <w:p w14:paraId="328C1BFB" w14:textId="0A86EB13" w:rsidR="001A5BF9" w:rsidRPr="004C5152" w:rsidRDefault="001A5BF9">
      <w:pPr>
        <w:pStyle w:val="FootnoteText"/>
        <w:rPr>
          <w:rFonts w:ascii="Arial" w:hAnsi="Arial" w:cs="Arial"/>
          <w:sz w:val="20"/>
          <w:szCs w:val="20"/>
          <w:lang w:val="en-US"/>
        </w:rPr>
      </w:pPr>
      <w:r w:rsidRPr="004C5152">
        <w:rPr>
          <w:rStyle w:val="FootnoteReference"/>
          <w:rFonts w:ascii="Arial" w:hAnsi="Arial" w:cs="Arial"/>
          <w:sz w:val="20"/>
          <w:szCs w:val="20"/>
        </w:rPr>
        <w:footnoteRef/>
      </w:r>
      <w:r w:rsidRPr="004C5152">
        <w:rPr>
          <w:rFonts w:ascii="Arial" w:hAnsi="Arial" w:cs="Arial"/>
          <w:sz w:val="20"/>
          <w:szCs w:val="20"/>
        </w:rPr>
        <w:t xml:space="preserve"> </w:t>
      </w:r>
      <w:r w:rsidRPr="004C5152">
        <w:rPr>
          <w:rFonts w:ascii="Arial" w:hAnsi="Arial" w:cs="Arial"/>
          <w:sz w:val="20"/>
          <w:szCs w:val="20"/>
          <w:lang w:val="en-US"/>
        </w:rPr>
        <w:t>Ibid 31; 138.  </w:t>
      </w:r>
    </w:p>
  </w:footnote>
  <w:footnote w:id="185">
    <w:p w14:paraId="3689A365" w14:textId="69A1051B" w:rsidR="001A5BF9" w:rsidRPr="004C5152" w:rsidRDefault="001A5BF9">
      <w:pPr>
        <w:pStyle w:val="FootnoteText"/>
        <w:rPr>
          <w:rFonts w:ascii="Arial" w:hAnsi="Arial" w:cs="Arial"/>
          <w:sz w:val="20"/>
          <w:szCs w:val="20"/>
          <w:lang w:val="en-US"/>
        </w:rPr>
      </w:pPr>
      <w:r w:rsidRPr="004C5152">
        <w:rPr>
          <w:rStyle w:val="FootnoteReference"/>
          <w:rFonts w:ascii="Arial" w:hAnsi="Arial" w:cs="Arial"/>
          <w:sz w:val="20"/>
          <w:szCs w:val="20"/>
        </w:rPr>
        <w:footnoteRef/>
      </w:r>
      <w:r w:rsidRPr="004C5152">
        <w:rPr>
          <w:rFonts w:ascii="Arial" w:hAnsi="Arial" w:cs="Arial"/>
          <w:sz w:val="20"/>
          <w:szCs w:val="20"/>
        </w:rPr>
        <w:t xml:space="preserve"> </w:t>
      </w:r>
      <w:r w:rsidRPr="004C5152">
        <w:rPr>
          <w:rFonts w:ascii="Arial" w:hAnsi="Arial" w:cs="Arial"/>
          <w:sz w:val="20"/>
          <w:szCs w:val="20"/>
          <w:lang w:val="en-US"/>
        </w:rPr>
        <w:t>Ibid 32; 138.  </w:t>
      </w:r>
    </w:p>
  </w:footnote>
  <w:footnote w:id="186">
    <w:p w14:paraId="44317FA1" w14:textId="2C7C3CF3" w:rsidR="001A5BF9" w:rsidRPr="004C5152" w:rsidRDefault="001A5BF9">
      <w:pPr>
        <w:pStyle w:val="FootnoteText"/>
        <w:rPr>
          <w:rFonts w:ascii="Arial" w:hAnsi="Arial" w:cs="Arial"/>
          <w:sz w:val="20"/>
          <w:szCs w:val="20"/>
          <w:lang w:val="en-US"/>
        </w:rPr>
      </w:pPr>
      <w:r w:rsidRPr="004C5152">
        <w:rPr>
          <w:rStyle w:val="FootnoteReference"/>
          <w:rFonts w:ascii="Arial" w:hAnsi="Arial" w:cs="Arial"/>
          <w:sz w:val="20"/>
          <w:szCs w:val="20"/>
        </w:rPr>
        <w:footnoteRef/>
      </w:r>
      <w:r w:rsidRPr="004C5152">
        <w:rPr>
          <w:rFonts w:ascii="Arial" w:hAnsi="Arial" w:cs="Arial"/>
          <w:sz w:val="20"/>
          <w:szCs w:val="20"/>
        </w:rPr>
        <w:t xml:space="preserve"> </w:t>
      </w:r>
      <w:r w:rsidRPr="004C5152">
        <w:rPr>
          <w:rFonts w:ascii="Arial" w:hAnsi="Arial" w:cs="Arial"/>
          <w:sz w:val="20"/>
          <w:szCs w:val="20"/>
          <w:lang w:val="en-US"/>
        </w:rPr>
        <w:t>Ibid 32; 139.  </w:t>
      </w:r>
    </w:p>
  </w:footnote>
  <w:footnote w:id="187">
    <w:p w14:paraId="567953A4" w14:textId="1F673C7D" w:rsidR="001A5BF9" w:rsidRPr="00E0499E" w:rsidRDefault="001A5BF9">
      <w:pPr>
        <w:pStyle w:val="FootnoteText"/>
        <w:rPr>
          <w:rFonts w:ascii="Arial" w:hAnsi="Arial" w:cs="Arial"/>
          <w:sz w:val="20"/>
          <w:szCs w:val="20"/>
          <w:lang w:val="en-US"/>
        </w:rPr>
      </w:pPr>
      <w:r w:rsidRPr="00E0499E">
        <w:rPr>
          <w:rStyle w:val="FootnoteReference"/>
          <w:rFonts w:ascii="Arial" w:hAnsi="Arial" w:cs="Arial"/>
          <w:sz w:val="20"/>
          <w:szCs w:val="20"/>
        </w:rPr>
        <w:footnoteRef/>
      </w:r>
      <w:r w:rsidRPr="00E0499E">
        <w:rPr>
          <w:rFonts w:ascii="Arial" w:hAnsi="Arial" w:cs="Arial"/>
          <w:sz w:val="20"/>
          <w:szCs w:val="20"/>
        </w:rPr>
        <w:t xml:space="preserve"> </w:t>
      </w:r>
      <w:r w:rsidRPr="00506B73">
        <w:rPr>
          <w:rFonts w:ascii="Arial" w:hAnsi="Arial" w:cs="Arial"/>
          <w:sz w:val="20"/>
          <w:szCs w:val="20"/>
        </w:rPr>
        <w:t>Moloney (n 159),</w:t>
      </w:r>
      <w:r>
        <w:rPr>
          <w:rFonts w:ascii="Arial" w:hAnsi="Arial" w:cs="Arial"/>
          <w:sz w:val="20"/>
          <w:szCs w:val="20"/>
        </w:rPr>
        <w:t xml:space="preserve"> p 167.</w:t>
      </w:r>
    </w:p>
  </w:footnote>
  <w:footnote w:id="188">
    <w:p w14:paraId="4241A6CE" w14:textId="2463C2BA" w:rsidR="001A5BF9" w:rsidRPr="004C5152" w:rsidRDefault="001A5BF9">
      <w:pPr>
        <w:pStyle w:val="FootnoteText"/>
        <w:rPr>
          <w:rFonts w:ascii="Arial" w:hAnsi="Arial" w:cs="Arial"/>
          <w:sz w:val="20"/>
          <w:szCs w:val="20"/>
          <w:lang w:val="en-US"/>
        </w:rPr>
      </w:pPr>
      <w:r w:rsidRPr="004C5152">
        <w:rPr>
          <w:rStyle w:val="FootnoteReference"/>
          <w:rFonts w:ascii="Arial" w:hAnsi="Arial" w:cs="Arial"/>
          <w:sz w:val="20"/>
          <w:szCs w:val="20"/>
        </w:rPr>
        <w:footnoteRef/>
      </w:r>
      <w:r w:rsidRPr="004C5152">
        <w:rPr>
          <w:rFonts w:ascii="Arial" w:hAnsi="Arial" w:cs="Arial"/>
          <w:sz w:val="20"/>
          <w:szCs w:val="20"/>
        </w:rPr>
        <w:t xml:space="preserve"> </w:t>
      </w:r>
      <w:r>
        <w:rPr>
          <w:rFonts w:ascii="Arial" w:hAnsi="Arial" w:cs="Arial"/>
          <w:sz w:val="20"/>
          <w:szCs w:val="20"/>
          <w:lang w:val="en-US"/>
        </w:rPr>
        <w:t xml:space="preserve">Goodman </w:t>
      </w:r>
      <w:r w:rsidRPr="00C52E31">
        <w:rPr>
          <w:rFonts w:ascii="Arial" w:hAnsi="Arial" w:cs="Arial"/>
          <w:sz w:val="20"/>
          <w:szCs w:val="20"/>
          <w:lang w:val="en-US"/>
        </w:rPr>
        <w:t xml:space="preserve">(n 180), </w:t>
      </w:r>
      <w:r w:rsidRPr="004C5152">
        <w:rPr>
          <w:rFonts w:ascii="Arial" w:hAnsi="Arial" w:cs="Arial"/>
          <w:sz w:val="20"/>
          <w:szCs w:val="20"/>
          <w:lang w:val="en-US"/>
        </w:rPr>
        <w:t>538–9.  </w:t>
      </w:r>
    </w:p>
  </w:footnote>
  <w:footnote w:id="189">
    <w:p w14:paraId="724E43FD" w14:textId="628BA15E" w:rsidR="001A5BF9" w:rsidRPr="00F740DF" w:rsidRDefault="001A5BF9" w:rsidP="00F740DF">
      <w:pPr>
        <w:pStyle w:val="FootnoteText"/>
        <w:rPr>
          <w:rFonts w:ascii="Arial" w:hAnsi="Arial"/>
          <w:sz w:val="20"/>
          <w:szCs w:val="20"/>
          <w:lang w:val="en-US"/>
        </w:rPr>
      </w:pPr>
      <w:r w:rsidRPr="004800C5">
        <w:rPr>
          <w:rStyle w:val="FootnoteReference"/>
          <w:rFonts w:ascii="Arial" w:hAnsi="Arial"/>
          <w:sz w:val="20"/>
          <w:szCs w:val="20"/>
        </w:rPr>
        <w:footnoteRef/>
      </w:r>
      <w:r w:rsidRPr="004800C5">
        <w:rPr>
          <w:rFonts w:ascii="Arial" w:hAnsi="Arial"/>
          <w:sz w:val="20"/>
          <w:szCs w:val="20"/>
        </w:rPr>
        <w:t xml:space="preserve"> </w:t>
      </w:r>
      <w:r>
        <w:rPr>
          <w:rFonts w:ascii="Arial" w:hAnsi="Arial"/>
          <w:i/>
          <w:sz w:val="20"/>
          <w:szCs w:val="20"/>
        </w:rPr>
        <w:t xml:space="preserve">Bankovic </w:t>
      </w:r>
      <w:r>
        <w:rPr>
          <w:rFonts w:ascii="Arial" w:hAnsi="Arial"/>
          <w:sz w:val="20"/>
          <w:szCs w:val="20"/>
        </w:rPr>
        <w:t xml:space="preserve">v </w:t>
      </w:r>
      <w:r>
        <w:rPr>
          <w:rFonts w:ascii="Arial" w:hAnsi="Arial"/>
          <w:i/>
          <w:sz w:val="20"/>
          <w:szCs w:val="20"/>
        </w:rPr>
        <w:t xml:space="preserve">Belgium </w:t>
      </w:r>
      <w:r>
        <w:rPr>
          <w:rFonts w:ascii="Arial" w:hAnsi="Arial"/>
          <w:sz w:val="20"/>
          <w:szCs w:val="20"/>
        </w:rPr>
        <w:t>(2001) 123 ILR 94, 110-111 at [64]-[65].</w:t>
      </w:r>
    </w:p>
  </w:footnote>
  <w:footnote w:id="190">
    <w:p w14:paraId="2C096AF9" w14:textId="5F3EE5AC" w:rsidR="001A5BF9" w:rsidRPr="00A66300" w:rsidRDefault="001A5BF9">
      <w:pPr>
        <w:pStyle w:val="FootnoteText"/>
        <w:rPr>
          <w:lang w:val="en-US"/>
        </w:rPr>
      </w:pPr>
      <w:r w:rsidRPr="00A66300">
        <w:rPr>
          <w:rStyle w:val="FootnoteReference"/>
          <w:rFonts w:ascii="Arial" w:hAnsi="Arial"/>
          <w:sz w:val="20"/>
          <w:szCs w:val="20"/>
        </w:rPr>
        <w:footnoteRef/>
      </w:r>
      <w:r w:rsidRPr="00A66300">
        <w:rPr>
          <w:rFonts w:ascii="Arial" w:hAnsi="Arial"/>
          <w:sz w:val="20"/>
          <w:szCs w:val="20"/>
        </w:rPr>
        <w:t xml:space="preserve"> </w:t>
      </w:r>
      <w:r>
        <w:rPr>
          <w:rFonts w:ascii="Arial" w:hAnsi="Arial"/>
          <w:i/>
          <w:sz w:val="20"/>
          <w:szCs w:val="20"/>
        </w:rPr>
        <w:t xml:space="preserve">Loizidou </w:t>
      </w:r>
      <w:r>
        <w:rPr>
          <w:rFonts w:ascii="Arial" w:hAnsi="Arial"/>
          <w:sz w:val="20"/>
          <w:szCs w:val="20"/>
        </w:rPr>
        <w:t xml:space="preserve">v </w:t>
      </w:r>
      <w:r>
        <w:rPr>
          <w:rFonts w:ascii="Arial" w:hAnsi="Arial"/>
          <w:i/>
          <w:sz w:val="20"/>
          <w:szCs w:val="20"/>
        </w:rPr>
        <w:t xml:space="preserve">Turkey </w:t>
      </w:r>
      <w:r w:rsidRPr="00E52573">
        <w:rPr>
          <w:rFonts w:ascii="Arial" w:hAnsi="Arial"/>
          <w:sz w:val="20"/>
          <w:szCs w:val="20"/>
        </w:rPr>
        <w:t>(n 153),</w:t>
      </w:r>
      <w:r w:rsidRPr="002624BB">
        <w:rPr>
          <w:rFonts w:ascii="Arial" w:hAnsi="Arial"/>
          <w:sz w:val="20"/>
          <w:szCs w:val="20"/>
        </w:rPr>
        <w:t xml:space="preserve"> 645.</w:t>
      </w:r>
    </w:p>
  </w:footnote>
  <w:footnote w:id="191">
    <w:p w14:paraId="0DFB2AE0" w14:textId="39C71A0D" w:rsidR="001A5BF9" w:rsidRPr="004F2802" w:rsidRDefault="001A5BF9">
      <w:pPr>
        <w:pStyle w:val="FootnoteText"/>
        <w:rPr>
          <w:rFonts w:ascii="Arial" w:hAnsi="Arial" w:cs="Arial"/>
          <w:sz w:val="20"/>
          <w:szCs w:val="20"/>
        </w:rPr>
      </w:pPr>
      <w:r w:rsidRPr="004B4BF1">
        <w:rPr>
          <w:rStyle w:val="FootnoteReference"/>
          <w:rFonts w:ascii="Arial" w:hAnsi="Arial" w:cs="Arial"/>
          <w:sz w:val="20"/>
          <w:szCs w:val="20"/>
        </w:rPr>
        <w:footnoteRef/>
      </w:r>
      <w:r w:rsidRPr="004B4BF1">
        <w:rPr>
          <w:rFonts w:ascii="Arial" w:hAnsi="Arial" w:cs="Arial"/>
          <w:sz w:val="20"/>
          <w:szCs w:val="20"/>
        </w:rPr>
        <w:t xml:space="preserve"> </w:t>
      </w:r>
      <w:r w:rsidRPr="004F2802">
        <w:rPr>
          <w:rFonts w:ascii="Arial" w:hAnsi="Arial" w:cs="Arial"/>
          <w:sz w:val="20"/>
          <w:szCs w:val="20"/>
        </w:rPr>
        <w:t>European Convention on Human Rights,</w:t>
      </w:r>
      <w:r>
        <w:rPr>
          <w:rFonts w:ascii="Arial" w:hAnsi="Arial" w:cs="Arial"/>
          <w:sz w:val="20"/>
          <w:szCs w:val="20"/>
        </w:rPr>
        <w:t xml:space="preserve"> </w:t>
      </w:r>
      <w:r w:rsidRPr="004F2802">
        <w:rPr>
          <w:rFonts w:ascii="Arial" w:hAnsi="Arial" w:cs="Arial"/>
          <w:sz w:val="20"/>
          <w:szCs w:val="20"/>
        </w:rPr>
        <w:t>ETS 5; 213 UNTS 221</w:t>
      </w:r>
      <w:r>
        <w:rPr>
          <w:rFonts w:ascii="Arial" w:hAnsi="Arial" w:cs="Arial"/>
          <w:sz w:val="20"/>
          <w:szCs w:val="20"/>
        </w:rPr>
        <w:t>, Art. 1</w:t>
      </w:r>
      <w:r>
        <w:rPr>
          <w:rFonts w:ascii="Arial" w:hAnsi="Arial" w:cs="Arial"/>
          <w:color w:val="FF0000"/>
          <w:sz w:val="20"/>
          <w:szCs w:val="20"/>
        </w:rPr>
        <w:t xml:space="preserve"> </w:t>
      </w:r>
      <w:r>
        <w:rPr>
          <w:rFonts w:ascii="Arial" w:hAnsi="Arial" w:cs="Arial"/>
          <w:sz w:val="20"/>
          <w:szCs w:val="20"/>
        </w:rPr>
        <w:t>states that ‘The High Contracting Parties shall secure to everyone within their jurisdiction the rights and freedoms defined in Section 1 of this Convention’.</w:t>
      </w:r>
    </w:p>
  </w:footnote>
  <w:footnote w:id="192">
    <w:p w14:paraId="2AFF501C" w14:textId="5B30FC00" w:rsidR="001A5BF9" w:rsidRPr="00AE2D11" w:rsidRDefault="001A5BF9">
      <w:pPr>
        <w:pStyle w:val="FootnoteText"/>
        <w:rPr>
          <w:rFonts w:ascii="Arial" w:hAnsi="Arial"/>
          <w:sz w:val="20"/>
          <w:szCs w:val="20"/>
          <w:lang w:val="en-US"/>
        </w:rPr>
      </w:pPr>
      <w:r w:rsidRPr="00AE2D11">
        <w:rPr>
          <w:rStyle w:val="FootnoteReference"/>
          <w:rFonts w:ascii="Arial" w:hAnsi="Arial"/>
          <w:sz w:val="20"/>
          <w:szCs w:val="20"/>
        </w:rPr>
        <w:footnoteRef/>
      </w:r>
      <w:r w:rsidRPr="00AE2D11">
        <w:rPr>
          <w:rFonts w:ascii="Arial" w:hAnsi="Arial"/>
          <w:sz w:val="20"/>
          <w:szCs w:val="20"/>
        </w:rPr>
        <w:t xml:space="preserve"> </w:t>
      </w:r>
      <w:r>
        <w:rPr>
          <w:rFonts w:ascii="Arial" w:hAnsi="Arial"/>
          <w:i/>
          <w:sz w:val="20"/>
          <w:szCs w:val="20"/>
        </w:rPr>
        <w:t xml:space="preserve">Bankovic </w:t>
      </w:r>
      <w:r>
        <w:rPr>
          <w:rFonts w:ascii="Arial" w:hAnsi="Arial"/>
          <w:sz w:val="20"/>
          <w:szCs w:val="20"/>
        </w:rPr>
        <w:t xml:space="preserve">v </w:t>
      </w:r>
      <w:r w:rsidRPr="00433F7D">
        <w:rPr>
          <w:rFonts w:ascii="Arial" w:hAnsi="Arial"/>
          <w:i/>
          <w:sz w:val="20"/>
          <w:szCs w:val="20"/>
        </w:rPr>
        <w:t xml:space="preserve">Belgium </w:t>
      </w:r>
      <w:r w:rsidRPr="00433F7D">
        <w:rPr>
          <w:rFonts w:ascii="Arial" w:hAnsi="Arial"/>
          <w:sz w:val="20"/>
          <w:szCs w:val="20"/>
        </w:rPr>
        <w:t>(n 189),</w:t>
      </w:r>
      <w:r w:rsidRPr="00E57305">
        <w:rPr>
          <w:rFonts w:ascii="Arial" w:hAnsi="Arial"/>
          <w:color w:val="FF0000"/>
          <w:sz w:val="20"/>
          <w:szCs w:val="20"/>
        </w:rPr>
        <w:t xml:space="preserve"> </w:t>
      </w:r>
      <w:r>
        <w:rPr>
          <w:rFonts w:ascii="Arial" w:hAnsi="Arial"/>
          <w:sz w:val="20"/>
          <w:szCs w:val="20"/>
        </w:rPr>
        <w:t xml:space="preserve">111 at [64]. See also: </w:t>
      </w:r>
      <w:r>
        <w:rPr>
          <w:rFonts w:ascii="Arial" w:hAnsi="Arial"/>
          <w:i/>
          <w:sz w:val="20"/>
          <w:szCs w:val="20"/>
        </w:rPr>
        <w:t xml:space="preserve">Al-Skeini and Others </w:t>
      </w:r>
      <w:r>
        <w:rPr>
          <w:rFonts w:ascii="Arial" w:hAnsi="Arial"/>
          <w:sz w:val="20"/>
          <w:szCs w:val="20"/>
        </w:rPr>
        <w:t xml:space="preserve">v </w:t>
      </w:r>
      <w:r>
        <w:rPr>
          <w:rFonts w:ascii="Arial" w:hAnsi="Arial"/>
          <w:i/>
          <w:sz w:val="20"/>
          <w:szCs w:val="20"/>
        </w:rPr>
        <w:t xml:space="preserve">Secretary of State for Defence </w:t>
      </w:r>
      <w:r>
        <w:rPr>
          <w:rFonts w:ascii="Arial" w:hAnsi="Arial"/>
          <w:sz w:val="20"/>
          <w:szCs w:val="20"/>
        </w:rPr>
        <w:t>[2007] UKHL 26, [2008] 1 AC 153, 199 at [69] (Lord Rodger), 214-15 at [128] (Lord Brown).</w:t>
      </w:r>
    </w:p>
  </w:footnote>
  <w:footnote w:id="193">
    <w:p w14:paraId="1F878350" w14:textId="28543CE0" w:rsidR="001A5BF9" w:rsidRPr="009321A6" w:rsidRDefault="001A5BF9">
      <w:pPr>
        <w:pStyle w:val="FootnoteText"/>
        <w:rPr>
          <w:rFonts w:ascii="Arial" w:hAnsi="Arial" w:cs="Arial"/>
          <w:sz w:val="20"/>
          <w:szCs w:val="20"/>
          <w:lang w:val="en-US"/>
        </w:rPr>
      </w:pPr>
      <w:r w:rsidRPr="009321A6">
        <w:rPr>
          <w:rStyle w:val="FootnoteReference"/>
          <w:rFonts w:ascii="Arial" w:hAnsi="Arial" w:cs="Arial"/>
          <w:sz w:val="20"/>
          <w:szCs w:val="20"/>
        </w:rPr>
        <w:footnoteRef/>
      </w:r>
      <w:r w:rsidRPr="009321A6">
        <w:rPr>
          <w:rFonts w:ascii="Arial" w:hAnsi="Arial" w:cs="Arial"/>
          <w:sz w:val="20"/>
          <w:szCs w:val="20"/>
        </w:rPr>
        <w:t xml:space="preserve"> </w:t>
      </w:r>
      <w:r>
        <w:rPr>
          <w:rFonts w:ascii="Arial" w:hAnsi="Arial" w:cs="Arial"/>
          <w:sz w:val="20"/>
          <w:szCs w:val="20"/>
        </w:rPr>
        <w:t xml:space="preserve">Bjorge </w:t>
      </w:r>
      <w:r w:rsidRPr="00F713C5">
        <w:rPr>
          <w:rFonts w:ascii="Arial" w:hAnsi="Arial" w:cs="Arial"/>
          <w:sz w:val="20"/>
          <w:szCs w:val="20"/>
        </w:rPr>
        <w:t>(n 157),</w:t>
      </w:r>
      <w:r>
        <w:rPr>
          <w:rFonts w:ascii="Arial" w:hAnsi="Arial" w:cs="Arial"/>
          <w:sz w:val="20"/>
          <w:szCs w:val="20"/>
        </w:rPr>
        <w:t xml:space="preserve"> p 136.</w:t>
      </w:r>
    </w:p>
  </w:footnote>
  <w:footnote w:id="194">
    <w:p w14:paraId="19AF6443" w14:textId="34B33D9A" w:rsidR="001A5BF9" w:rsidRPr="003E22C9" w:rsidRDefault="001A5BF9">
      <w:pPr>
        <w:pStyle w:val="FootnoteText"/>
        <w:rPr>
          <w:rFonts w:ascii="Arial" w:hAnsi="Arial" w:cs="Arial"/>
          <w:sz w:val="20"/>
          <w:szCs w:val="20"/>
          <w:lang w:val="en-US"/>
        </w:rPr>
      </w:pPr>
      <w:r w:rsidRPr="005414E9">
        <w:rPr>
          <w:rStyle w:val="FootnoteReference"/>
          <w:rFonts w:ascii="Arial" w:hAnsi="Arial" w:cs="Arial"/>
          <w:sz w:val="20"/>
          <w:szCs w:val="20"/>
        </w:rPr>
        <w:footnoteRef/>
      </w:r>
      <w:r w:rsidRPr="005414E9">
        <w:rPr>
          <w:rFonts w:ascii="Arial" w:hAnsi="Arial" w:cs="Arial"/>
          <w:sz w:val="20"/>
          <w:szCs w:val="20"/>
        </w:rPr>
        <w:t xml:space="preserve"> </w:t>
      </w:r>
      <w:r>
        <w:rPr>
          <w:rFonts w:ascii="Arial" w:hAnsi="Arial" w:cs="Arial"/>
          <w:i/>
          <w:sz w:val="20"/>
          <w:szCs w:val="20"/>
        </w:rPr>
        <w:t xml:space="preserve">Aegean Sea Continental Shelf </w:t>
      </w:r>
      <w:r>
        <w:rPr>
          <w:rFonts w:ascii="Arial" w:hAnsi="Arial" w:cs="Arial"/>
          <w:sz w:val="20"/>
          <w:szCs w:val="20"/>
        </w:rPr>
        <w:t xml:space="preserve">[1978] ICJ Rep 3, 32 at [77]. See also: </w:t>
      </w:r>
      <w:r>
        <w:rPr>
          <w:rFonts w:ascii="Arial" w:hAnsi="Arial" w:cs="Arial"/>
          <w:i/>
          <w:sz w:val="20"/>
          <w:szCs w:val="20"/>
        </w:rPr>
        <w:t xml:space="preserve">Dispute regarding Navigational and Related Rights (Costa Rica </w:t>
      </w:r>
      <w:r>
        <w:rPr>
          <w:rFonts w:ascii="Arial" w:hAnsi="Arial" w:cs="Arial"/>
          <w:sz w:val="20"/>
          <w:szCs w:val="20"/>
        </w:rPr>
        <w:t xml:space="preserve">v </w:t>
      </w:r>
      <w:r>
        <w:rPr>
          <w:rFonts w:ascii="Arial" w:hAnsi="Arial" w:cs="Arial"/>
          <w:i/>
          <w:sz w:val="20"/>
          <w:szCs w:val="20"/>
        </w:rPr>
        <w:t xml:space="preserve">Nicaragua) </w:t>
      </w:r>
      <w:r>
        <w:rPr>
          <w:rFonts w:ascii="Arial" w:hAnsi="Arial" w:cs="Arial"/>
          <w:sz w:val="20"/>
          <w:szCs w:val="20"/>
        </w:rPr>
        <w:t xml:space="preserve">(Judgment) [2009] ICJ Rep 213, 242-244; </w:t>
      </w:r>
      <w:r>
        <w:rPr>
          <w:rFonts w:ascii="Arial" w:hAnsi="Arial" w:cs="Arial"/>
          <w:i/>
          <w:sz w:val="20"/>
          <w:szCs w:val="20"/>
        </w:rPr>
        <w:t xml:space="preserve">National Decrees Issued in Tunis and Morocco </w:t>
      </w:r>
      <w:r>
        <w:rPr>
          <w:rFonts w:ascii="Arial" w:hAnsi="Arial" w:cs="Arial"/>
          <w:sz w:val="20"/>
          <w:szCs w:val="20"/>
        </w:rPr>
        <w:t>(1923) PCIJ Series B No. 4, 7, 23-24.</w:t>
      </w:r>
    </w:p>
  </w:footnote>
  <w:footnote w:id="195">
    <w:p w14:paraId="235E278C" w14:textId="77777777" w:rsidR="001A5BF9" w:rsidRPr="003F37B7" w:rsidRDefault="001A5BF9" w:rsidP="00C95622">
      <w:pPr>
        <w:pStyle w:val="FootnoteText"/>
        <w:rPr>
          <w:rFonts w:ascii="Arial" w:hAnsi="Arial"/>
          <w:sz w:val="20"/>
          <w:szCs w:val="20"/>
        </w:rPr>
      </w:pPr>
      <w:r w:rsidRPr="003F37B7">
        <w:rPr>
          <w:rStyle w:val="FootnoteReference"/>
          <w:rFonts w:ascii="Arial" w:hAnsi="Arial"/>
          <w:sz w:val="20"/>
          <w:szCs w:val="20"/>
        </w:rPr>
        <w:footnoteRef/>
      </w:r>
      <w:r w:rsidRPr="003F37B7">
        <w:rPr>
          <w:rFonts w:ascii="Arial" w:hAnsi="Arial"/>
          <w:sz w:val="20"/>
          <w:szCs w:val="20"/>
        </w:rPr>
        <w:t xml:space="preserve"> </w:t>
      </w:r>
      <w:r>
        <w:rPr>
          <w:rFonts w:ascii="Arial" w:hAnsi="Arial"/>
          <w:i/>
          <w:sz w:val="20"/>
          <w:szCs w:val="20"/>
        </w:rPr>
        <w:t xml:space="preserve">Yearbook of the ILC </w:t>
      </w:r>
      <w:r>
        <w:rPr>
          <w:rFonts w:ascii="Arial" w:hAnsi="Arial"/>
          <w:sz w:val="20"/>
          <w:szCs w:val="20"/>
        </w:rPr>
        <w:t xml:space="preserve">(1997), A/CN.4/SER.A/1997/Add.1 (Part 2), ii. 57, para. 10: this action may include ‘the State’s modifying its reservation so as to eliminate the inadmissibility, or withdrawing its reservation, or </w:t>
      </w:r>
      <w:r>
        <w:rPr>
          <w:rFonts w:ascii="Arial" w:hAnsi="Arial"/>
          <w:i/>
          <w:sz w:val="20"/>
          <w:szCs w:val="20"/>
        </w:rPr>
        <w:t>forgoing becoming a party to the treaty</w:t>
      </w:r>
      <w:r>
        <w:rPr>
          <w:rFonts w:ascii="Arial" w:hAnsi="Arial"/>
          <w:sz w:val="20"/>
          <w:szCs w:val="20"/>
        </w:rPr>
        <w:t xml:space="preserve">’ </w:t>
      </w:r>
      <w:r w:rsidRPr="00C81FE9">
        <w:rPr>
          <w:rFonts w:ascii="Arial" w:hAnsi="Arial"/>
          <w:sz w:val="20"/>
          <w:szCs w:val="20"/>
        </w:rPr>
        <w:t>(emphasis added).</w:t>
      </w:r>
    </w:p>
  </w:footnote>
  <w:footnote w:id="196">
    <w:p w14:paraId="6E1FF8BA" w14:textId="48577D01" w:rsidR="001A5BF9" w:rsidRPr="007808A8" w:rsidRDefault="001A5BF9" w:rsidP="00C95622">
      <w:pPr>
        <w:pStyle w:val="FootnoteText"/>
        <w:rPr>
          <w:rFonts w:ascii="Arial" w:hAnsi="Arial"/>
          <w:sz w:val="20"/>
          <w:szCs w:val="20"/>
          <w:lang w:val="en-US"/>
        </w:rPr>
      </w:pPr>
      <w:r w:rsidRPr="007808A8">
        <w:rPr>
          <w:rStyle w:val="FootnoteReference"/>
          <w:rFonts w:ascii="Arial" w:hAnsi="Arial"/>
          <w:sz w:val="20"/>
          <w:szCs w:val="20"/>
        </w:rPr>
        <w:footnoteRef/>
      </w:r>
      <w:r w:rsidRPr="007808A8">
        <w:rPr>
          <w:rFonts w:ascii="Arial" w:hAnsi="Arial"/>
          <w:sz w:val="20"/>
          <w:szCs w:val="20"/>
        </w:rPr>
        <w:t xml:space="preserve"> </w:t>
      </w:r>
      <w:r>
        <w:rPr>
          <w:rFonts w:ascii="Arial" w:hAnsi="Arial"/>
          <w:sz w:val="20"/>
          <w:szCs w:val="20"/>
        </w:rPr>
        <w:t xml:space="preserve">H. Thirlway, </w:t>
      </w:r>
      <w:r>
        <w:rPr>
          <w:rFonts w:ascii="Arial" w:hAnsi="Arial"/>
          <w:i/>
          <w:sz w:val="20"/>
          <w:szCs w:val="20"/>
        </w:rPr>
        <w:t xml:space="preserve">The Sources of International Law </w:t>
      </w:r>
      <w:r>
        <w:rPr>
          <w:rFonts w:ascii="Arial" w:hAnsi="Arial"/>
          <w:sz w:val="20"/>
          <w:szCs w:val="20"/>
        </w:rPr>
        <w:t xml:space="preserve">(OUP </w:t>
      </w:r>
      <w:r w:rsidRPr="002E78CB">
        <w:rPr>
          <w:rFonts w:ascii="Arial" w:hAnsi="Arial"/>
          <w:sz w:val="20"/>
          <w:szCs w:val="20"/>
        </w:rPr>
        <w:t>2014), p 41.</w:t>
      </w:r>
    </w:p>
  </w:footnote>
  <w:footnote w:id="197">
    <w:p w14:paraId="328544DC" w14:textId="75DED5DF" w:rsidR="001A5BF9" w:rsidRPr="0043034C" w:rsidRDefault="001A5BF9" w:rsidP="0072363E">
      <w:pPr>
        <w:pStyle w:val="FootnoteText"/>
        <w:rPr>
          <w:rFonts w:ascii="Arial" w:hAnsi="Arial" w:cs="Arial"/>
          <w:sz w:val="20"/>
          <w:szCs w:val="20"/>
        </w:rPr>
      </w:pPr>
      <w:r w:rsidRPr="0002125E">
        <w:rPr>
          <w:rStyle w:val="FootnoteReference"/>
          <w:rFonts w:ascii="Arial" w:hAnsi="Arial" w:cs="Arial"/>
          <w:sz w:val="20"/>
          <w:szCs w:val="20"/>
        </w:rPr>
        <w:footnoteRef/>
      </w:r>
      <w:r w:rsidRPr="0002125E">
        <w:rPr>
          <w:rFonts w:ascii="Arial" w:hAnsi="Arial" w:cs="Arial"/>
          <w:sz w:val="20"/>
          <w:szCs w:val="20"/>
        </w:rPr>
        <w:t xml:space="preserve"> </w:t>
      </w:r>
      <w:r>
        <w:rPr>
          <w:rFonts w:ascii="Arial" w:hAnsi="Arial" w:cs="Arial"/>
          <w:sz w:val="20"/>
          <w:szCs w:val="20"/>
        </w:rPr>
        <w:t>ILC Guide 2011.</w:t>
      </w:r>
    </w:p>
  </w:footnote>
  <w:footnote w:id="198">
    <w:p w14:paraId="3DAF82C4" w14:textId="77777777" w:rsidR="001A5BF9" w:rsidRPr="0002125E" w:rsidRDefault="001A5BF9" w:rsidP="0072363E">
      <w:pPr>
        <w:pStyle w:val="FootnoteText"/>
        <w:rPr>
          <w:rFonts w:ascii="Arial" w:hAnsi="Arial" w:cs="Arial"/>
          <w:sz w:val="20"/>
          <w:szCs w:val="20"/>
          <w:lang w:val="en-US"/>
        </w:rPr>
      </w:pPr>
      <w:r w:rsidRPr="0002125E">
        <w:rPr>
          <w:rStyle w:val="FootnoteReference"/>
          <w:rFonts w:ascii="Arial" w:hAnsi="Arial" w:cs="Arial"/>
          <w:sz w:val="20"/>
          <w:szCs w:val="20"/>
        </w:rPr>
        <w:footnoteRef/>
      </w:r>
      <w:r w:rsidRPr="0002125E">
        <w:rPr>
          <w:rFonts w:ascii="Arial" w:hAnsi="Arial" w:cs="Arial"/>
          <w:sz w:val="20"/>
          <w:szCs w:val="20"/>
        </w:rPr>
        <w:t xml:space="preserve"> </w:t>
      </w:r>
      <w:r>
        <w:rPr>
          <w:rFonts w:ascii="Arial" w:hAnsi="Arial" w:cs="Arial"/>
          <w:sz w:val="20"/>
          <w:szCs w:val="20"/>
        </w:rPr>
        <w:t>A/CN.4/647/Add.1, 6 June 2011, 15-20.</w:t>
      </w:r>
    </w:p>
  </w:footnote>
  <w:footnote w:id="199">
    <w:p w14:paraId="113860B0" w14:textId="742DA0EF" w:rsidR="001A5BF9" w:rsidRPr="00017701" w:rsidRDefault="001A5BF9" w:rsidP="0072363E">
      <w:pPr>
        <w:pStyle w:val="FootnoteText"/>
        <w:rPr>
          <w:rFonts w:ascii="Arial" w:hAnsi="Arial"/>
          <w:sz w:val="20"/>
          <w:szCs w:val="20"/>
          <w:lang w:val="en-US"/>
        </w:rPr>
      </w:pPr>
      <w:r w:rsidRPr="00017701">
        <w:rPr>
          <w:rStyle w:val="FootnoteReference"/>
          <w:rFonts w:ascii="Arial" w:hAnsi="Arial"/>
          <w:sz w:val="20"/>
          <w:szCs w:val="20"/>
        </w:rPr>
        <w:footnoteRef/>
      </w:r>
      <w:r w:rsidRPr="00017701">
        <w:rPr>
          <w:rFonts w:ascii="Arial" w:hAnsi="Arial"/>
          <w:sz w:val="20"/>
          <w:szCs w:val="20"/>
        </w:rPr>
        <w:t xml:space="preserve"> </w:t>
      </w:r>
      <w:r>
        <w:rPr>
          <w:rFonts w:ascii="Arial" w:hAnsi="Arial"/>
          <w:sz w:val="20"/>
          <w:szCs w:val="20"/>
        </w:rPr>
        <w:t>ILC Guide 2011, Guideline 4.5.1.</w:t>
      </w:r>
    </w:p>
  </w:footnote>
  <w:footnote w:id="200">
    <w:p w14:paraId="3AE1FE5A" w14:textId="170159D9" w:rsidR="001A5BF9" w:rsidRPr="00051937" w:rsidRDefault="001A5BF9" w:rsidP="0072363E">
      <w:pPr>
        <w:pStyle w:val="FootnoteText"/>
        <w:rPr>
          <w:rFonts w:ascii="Arial" w:hAnsi="Arial" w:cs="Arial"/>
          <w:sz w:val="20"/>
          <w:szCs w:val="20"/>
          <w:lang w:val="en-US"/>
        </w:rPr>
      </w:pPr>
      <w:r w:rsidRPr="00051937">
        <w:rPr>
          <w:rStyle w:val="FootnoteReference"/>
          <w:rFonts w:ascii="Arial" w:hAnsi="Arial" w:cs="Arial"/>
          <w:sz w:val="20"/>
          <w:szCs w:val="20"/>
        </w:rPr>
        <w:footnoteRef/>
      </w:r>
      <w:r w:rsidRPr="00051937">
        <w:rPr>
          <w:rFonts w:ascii="Arial" w:hAnsi="Arial" w:cs="Arial"/>
          <w:sz w:val="20"/>
          <w:szCs w:val="20"/>
        </w:rPr>
        <w:t xml:space="preserve"> </w:t>
      </w:r>
      <w:r>
        <w:rPr>
          <w:rFonts w:ascii="Arial" w:hAnsi="Arial" w:cs="Arial"/>
          <w:sz w:val="20"/>
          <w:szCs w:val="20"/>
        </w:rPr>
        <w:t>Crawford (n 139), p 377.</w:t>
      </w:r>
    </w:p>
  </w:footnote>
  <w:footnote w:id="201">
    <w:p w14:paraId="0BE641BB" w14:textId="6907692B" w:rsidR="001A5BF9" w:rsidRPr="00FE1B02" w:rsidRDefault="001A5BF9">
      <w:pPr>
        <w:pStyle w:val="FootnoteText"/>
        <w:rPr>
          <w:rFonts w:ascii="Arial" w:hAnsi="Arial" w:cs="Arial"/>
          <w:sz w:val="20"/>
          <w:szCs w:val="20"/>
          <w:lang w:val="en-US"/>
        </w:rPr>
      </w:pPr>
      <w:r w:rsidRPr="00FE1B02">
        <w:rPr>
          <w:rStyle w:val="FootnoteReference"/>
          <w:rFonts w:ascii="Arial" w:hAnsi="Arial" w:cs="Arial"/>
          <w:sz w:val="20"/>
          <w:szCs w:val="20"/>
        </w:rPr>
        <w:footnoteRef/>
      </w:r>
      <w:r w:rsidRPr="00FE1B02">
        <w:rPr>
          <w:rFonts w:ascii="Arial" w:hAnsi="Arial" w:cs="Arial"/>
          <w:sz w:val="20"/>
          <w:szCs w:val="20"/>
        </w:rPr>
        <w:t xml:space="preserve"> </w:t>
      </w:r>
      <w:r>
        <w:rPr>
          <w:rFonts w:ascii="Arial" w:hAnsi="Arial" w:cs="Arial"/>
          <w:sz w:val="20"/>
          <w:szCs w:val="20"/>
        </w:rPr>
        <w:t xml:space="preserve">Ibid. </w:t>
      </w:r>
    </w:p>
  </w:footnote>
  <w:footnote w:id="202">
    <w:p w14:paraId="6E8E56CB" w14:textId="01F0693A" w:rsidR="001A5BF9" w:rsidRPr="00A10C02" w:rsidRDefault="001A5BF9">
      <w:pPr>
        <w:pStyle w:val="FootnoteText"/>
        <w:rPr>
          <w:rFonts w:ascii="Arial" w:hAnsi="Arial" w:cs="Arial"/>
          <w:sz w:val="20"/>
          <w:szCs w:val="20"/>
          <w:lang w:val="en-US"/>
        </w:rPr>
      </w:pPr>
      <w:r w:rsidRPr="00A10C02">
        <w:rPr>
          <w:rStyle w:val="FootnoteReference"/>
          <w:rFonts w:ascii="Arial" w:hAnsi="Arial" w:cs="Arial"/>
          <w:sz w:val="20"/>
          <w:szCs w:val="20"/>
        </w:rPr>
        <w:footnoteRef/>
      </w:r>
      <w:r w:rsidRPr="00A10C02">
        <w:rPr>
          <w:rFonts w:ascii="Arial" w:hAnsi="Arial" w:cs="Arial"/>
          <w:sz w:val="20"/>
          <w:szCs w:val="20"/>
        </w:rPr>
        <w:t xml:space="preserve"> </w:t>
      </w:r>
      <w:r>
        <w:rPr>
          <w:rFonts w:ascii="Arial" w:hAnsi="Arial" w:cs="Arial"/>
          <w:sz w:val="20"/>
          <w:szCs w:val="20"/>
        </w:rPr>
        <w:t>ILC Guide 2011, commentary to Guideline 4.5.2.</w:t>
      </w:r>
    </w:p>
  </w:footnote>
  <w:footnote w:id="203">
    <w:p w14:paraId="339FB761" w14:textId="60C84636" w:rsidR="001A5BF9" w:rsidRPr="00017701" w:rsidRDefault="001A5BF9" w:rsidP="00F846A7">
      <w:pPr>
        <w:pStyle w:val="FootnoteText"/>
        <w:rPr>
          <w:rFonts w:ascii="Arial" w:hAnsi="Arial"/>
          <w:sz w:val="20"/>
          <w:szCs w:val="20"/>
          <w:lang w:val="en-US"/>
        </w:rPr>
      </w:pPr>
      <w:r w:rsidRPr="00017701">
        <w:rPr>
          <w:rStyle w:val="FootnoteReference"/>
          <w:rFonts w:ascii="Arial" w:hAnsi="Arial"/>
          <w:sz w:val="20"/>
          <w:szCs w:val="20"/>
        </w:rPr>
        <w:footnoteRef/>
      </w:r>
      <w:r w:rsidRPr="00017701">
        <w:rPr>
          <w:rFonts w:ascii="Arial" w:hAnsi="Arial"/>
          <w:sz w:val="20"/>
          <w:szCs w:val="20"/>
        </w:rPr>
        <w:t xml:space="preserve"> </w:t>
      </w:r>
      <w:r>
        <w:rPr>
          <w:rFonts w:ascii="Arial" w:hAnsi="Arial"/>
          <w:sz w:val="20"/>
          <w:szCs w:val="20"/>
        </w:rPr>
        <w:t>Ibid, Guideline 4.5.3.</w:t>
      </w:r>
    </w:p>
  </w:footnote>
  <w:footnote w:id="204">
    <w:p w14:paraId="68D74934" w14:textId="795C762A" w:rsidR="001A5BF9" w:rsidRPr="00DB723B" w:rsidRDefault="001A5BF9">
      <w:pPr>
        <w:pStyle w:val="FootnoteText"/>
        <w:rPr>
          <w:rFonts w:ascii="Arial" w:hAnsi="Arial" w:cs="Arial"/>
          <w:sz w:val="20"/>
          <w:szCs w:val="20"/>
          <w:lang w:val="en-US"/>
        </w:rPr>
      </w:pPr>
      <w:r w:rsidRPr="00DB723B">
        <w:rPr>
          <w:rStyle w:val="FootnoteReference"/>
          <w:rFonts w:ascii="Arial" w:hAnsi="Arial" w:cs="Arial"/>
          <w:sz w:val="20"/>
          <w:szCs w:val="20"/>
        </w:rPr>
        <w:footnoteRef/>
      </w:r>
      <w:r w:rsidRPr="00DB723B">
        <w:rPr>
          <w:rFonts w:ascii="Arial" w:hAnsi="Arial" w:cs="Arial"/>
          <w:sz w:val="20"/>
          <w:szCs w:val="20"/>
        </w:rPr>
        <w:t xml:space="preserve"> </w:t>
      </w:r>
      <w:r>
        <w:rPr>
          <w:rFonts w:ascii="Arial" w:hAnsi="Arial"/>
          <w:sz w:val="20"/>
          <w:szCs w:val="20"/>
        </w:rPr>
        <w:t>Ibid, commentary to Guideline 4.5.3.</w:t>
      </w:r>
    </w:p>
  </w:footnote>
  <w:footnote w:id="205">
    <w:p w14:paraId="0AE7A84D" w14:textId="27EE1C1C" w:rsidR="001A5BF9" w:rsidRPr="007808A8" w:rsidRDefault="001A5BF9" w:rsidP="0072363E">
      <w:pPr>
        <w:pStyle w:val="FootnoteText"/>
        <w:rPr>
          <w:rFonts w:ascii="Arial" w:hAnsi="Arial"/>
          <w:sz w:val="20"/>
          <w:szCs w:val="20"/>
          <w:lang w:val="en-US"/>
        </w:rPr>
      </w:pPr>
      <w:r w:rsidRPr="007808A8">
        <w:rPr>
          <w:rStyle w:val="FootnoteReference"/>
          <w:rFonts w:ascii="Arial" w:hAnsi="Arial"/>
          <w:sz w:val="20"/>
          <w:szCs w:val="20"/>
        </w:rPr>
        <w:footnoteRef/>
      </w:r>
      <w:r w:rsidRPr="007808A8">
        <w:rPr>
          <w:rFonts w:ascii="Arial" w:hAnsi="Arial"/>
          <w:sz w:val="20"/>
          <w:szCs w:val="20"/>
        </w:rPr>
        <w:t xml:space="preserve"> </w:t>
      </w:r>
      <w:r>
        <w:rPr>
          <w:rFonts w:ascii="Arial" w:hAnsi="Arial"/>
          <w:sz w:val="20"/>
          <w:szCs w:val="20"/>
        </w:rPr>
        <w:t xml:space="preserve">Thirlway </w:t>
      </w:r>
      <w:r w:rsidRPr="00767BE1">
        <w:rPr>
          <w:rFonts w:ascii="Arial" w:hAnsi="Arial"/>
          <w:sz w:val="20"/>
          <w:szCs w:val="20"/>
        </w:rPr>
        <w:t>(n 196), p</w:t>
      </w:r>
      <w:r>
        <w:rPr>
          <w:rFonts w:ascii="Arial" w:hAnsi="Arial"/>
          <w:sz w:val="20"/>
          <w:szCs w:val="20"/>
        </w:rPr>
        <w:t xml:space="preserve"> 42.</w:t>
      </w:r>
    </w:p>
  </w:footnote>
  <w:footnote w:id="206">
    <w:p w14:paraId="74305122" w14:textId="3486B8D4" w:rsidR="001A5BF9" w:rsidRPr="00017701" w:rsidRDefault="001A5BF9" w:rsidP="0072363E">
      <w:pPr>
        <w:pStyle w:val="FootnoteText"/>
        <w:rPr>
          <w:rFonts w:ascii="Arial" w:hAnsi="Arial"/>
          <w:sz w:val="20"/>
          <w:szCs w:val="20"/>
          <w:lang w:val="en-US"/>
        </w:rPr>
      </w:pPr>
      <w:r w:rsidRPr="00017701">
        <w:rPr>
          <w:rStyle w:val="FootnoteReference"/>
          <w:rFonts w:ascii="Arial" w:hAnsi="Arial"/>
          <w:sz w:val="20"/>
          <w:szCs w:val="20"/>
        </w:rPr>
        <w:footnoteRef/>
      </w:r>
      <w:r w:rsidRPr="00017701">
        <w:rPr>
          <w:rFonts w:ascii="Arial" w:hAnsi="Arial"/>
          <w:sz w:val="20"/>
          <w:szCs w:val="20"/>
        </w:rPr>
        <w:t xml:space="preserve"> </w:t>
      </w:r>
      <w:r>
        <w:rPr>
          <w:rFonts w:ascii="Arial" w:hAnsi="Arial"/>
          <w:sz w:val="20"/>
          <w:szCs w:val="20"/>
        </w:rPr>
        <w:t>ILC Guide 2011, Guideline 4.5.3, para. 2.</w:t>
      </w:r>
    </w:p>
  </w:footnote>
  <w:footnote w:id="207">
    <w:p w14:paraId="5A79122F" w14:textId="016844FB" w:rsidR="001A5BF9" w:rsidRPr="00855DFA" w:rsidRDefault="001A5BF9" w:rsidP="0072363E">
      <w:pPr>
        <w:pStyle w:val="FootnoteText"/>
        <w:rPr>
          <w:rFonts w:ascii="Arial" w:hAnsi="Arial" w:cs="Arial"/>
          <w:sz w:val="20"/>
          <w:szCs w:val="20"/>
          <w:lang w:val="en-US"/>
        </w:rPr>
      </w:pPr>
      <w:r w:rsidRPr="00855DFA">
        <w:rPr>
          <w:rStyle w:val="FootnoteReference"/>
          <w:rFonts w:ascii="Arial" w:hAnsi="Arial" w:cs="Arial"/>
          <w:sz w:val="20"/>
          <w:szCs w:val="20"/>
        </w:rPr>
        <w:footnoteRef/>
      </w:r>
      <w:r w:rsidRPr="00855DFA">
        <w:rPr>
          <w:rFonts w:ascii="Arial" w:hAnsi="Arial" w:cs="Arial"/>
          <w:sz w:val="20"/>
          <w:szCs w:val="20"/>
        </w:rPr>
        <w:t xml:space="preserve"> </w:t>
      </w:r>
      <w:r>
        <w:rPr>
          <w:rFonts w:ascii="Arial" w:hAnsi="Arial" w:cs="Arial"/>
          <w:sz w:val="20"/>
          <w:szCs w:val="20"/>
        </w:rPr>
        <w:t xml:space="preserve">Rodley </w:t>
      </w:r>
      <w:r w:rsidRPr="006A0BF0">
        <w:rPr>
          <w:rFonts w:ascii="Arial" w:hAnsi="Arial" w:cs="Arial"/>
          <w:sz w:val="20"/>
          <w:szCs w:val="20"/>
        </w:rPr>
        <w:t>(n 82),</w:t>
      </w:r>
      <w:r>
        <w:rPr>
          <w:rFonts w:ascii="Arial" w:hAnsi="Arial" w:cs="Arial"/>
          <w:sz w:val="20"/>
          <w:szCs w:val="20"/>
        </w:rPr>
        <w:t xml:space="preserve"> p 94.</w:t>
      </w:r>
    </w:p>
  </w:footnote>
  <w:footnote w:id="208">
    <w:p w14:paraId="71BB6A44" w14:textId="6396A134" w:rsidR="001A5BF9" w:rsidRPr="00EA1736" w:rsidRDefault="001A5BF9" w:rsidP="0072363E">
      <w:pPr>
        <w:pStyle w:val="FootnoteText"/>
        <w:rPr>
          <w:rFonts w:ascii="Arial" w:hAnsi="Arial" w:cs="Arial"/>
          <w:sz w:val="20"/>
          <w:szCs w:val="20"/>
          <w:lang w:val="en-US"/>
        </w:rPr>
      </w:pPr>
      <w:r w:rsidRPr="00EA1736">
        <w:rPr>
          <w:rStyle w:val="FootnoteReference"/>
          <w:rFonts w:ascii="Arial" w:hAnsi="Arial" w:cs="Arial"/>
          <w:sz w:val="20"/>
          <w:szCs w:val="20"/>
        </w:rPr>
        <w:footnoteRef/>
      </w:r>
      <w:r w:rsidRPr="00EA1736">
        <w:rPr>
          <w:rFonts w:ascii="Arial" w:hAnsi="Arial" w:cs="Arial"/>
          <w:sz w:val="20"/>
          <w:szCs w:val="20"/>
        </w:rPr>
        <w:t xml:space="preserve"> </w:t>
      </w:r>
      <w:r w:rsidRPr="00EA1736">
        <w:rPr>
          <w:rFonts w:ascii="Arial" w:hAnsi="Arial" w:cs="Arial"/>
          <w:sz w:val="20"/>
          <w:szCs w:val="20"/>
          <w:lang w:val="en-US"/>
        </w:rPr>
        <w:t xml:space="preserve">Report of the Working Group on Reservations, UN Doc. HRI/MC/2007/5: the State </w:t>
      </w:r>
      <w:r>
        <w:rPr>
          <w:rFonts w:ascii="Arial" w:hAnsi="Arial" w:cs="Arial"/>
          <w:sz w:val="20"/>
          <w:szCs w:val="20"/>
          <w:lang w:val="en-US"/>
        </w:rPr>
        <w:t>is still party to the treaty</w:t>
      </w:r>
      <w:r w:rsidRPr="00EA1736">
        <w:rPr>
          <w:rFonts w:ascii="Arial" w:hAnsi="Arial" w:cs="Arial"/>
          <w:sz w:val="20"/>
          <w:szCs w:val="20"/>
          <w:lang w:val="en-US"/>
        </w:rPr>
        <w:t xml:space="preserve"> without benefit of the reservation, ‘unless i</w:t>
      </w:r>
      <w:r>
        <w:rPr>
          <w:rFonts w:ascii="Arial" w:hAnsi="Arial" w:cs="Arial"/>
          <w:sz w:val="20"/>
          <w:szCs w:val="20"/>
          <w:lang w:val="en-US"/>
        </w:rPr>
        <w:t>ts contrary intention is incon</w:t>
      </w:r>
      <w:r w:rsidRPr="00EA1736">
        <w:rPr>
          <w:rFonts w:ascii="Arial" w:hAnsi="Arial" w:cs="Arial"/>
          <w:sz w:val="20"/>
          <w:szCs w:val="20"/>
          <w:lang w:val="en-US"/>
        </w:rPr>
        <w:t>trovertibly established’ (page 7, recommendation 70).  </w:t>
      </w:r>
    </w:p>
  </w:footnote>
  <w:footnote w:id="209">
    <w:p w14:paraId="3DE8A0B3" w14:textId="77777777" w:rsidR="001A5BF9" w:rsidRPr="008D349E" w:rsidRDefault="001A5BF9" w:rsidP="0072363E">
      <w:pPr>
        <w:pStyle w:val="FootnoteText"/>
        <w:rPr>
          <w:rFonts w:ascii="Arial" w:hAnsi="Arial" w:cs="Arial"/>
          <w:sz w:val="20"/>
          <w:szCs w:val="20"/>
          <w:lang w:val="en-US"/>
        </w:rPr>
      </w:pPr>
      <w:r w:rsidRPr="008D349E">
        <w:rPr>
          <w:rStyle w:val="FootnoteReference"/>
          <w:rFonts w:ascii="Arial" w:hAnsi="Arial" w:cs="Arial"/>
          <w:sz w:val="20"/>
          <w:szCs w:val="20"/>
        </w:rPr>
        <w:footnoteRef/>
      </w:r>
      <w:r w:rsidRPr="008D349E">
        <w:rPr>
          <w:rFonts w:ascii="Arial" w:hAnsi="Arial" w:cs="Arial"/>
          <w:sz w:val="20"/>
          <w:szCs w:val="20"/>
        </w:rPr>
        <w:t xml:space="preserve"> </w:t>
      </w:r>
      <w:r w:rsidRPr="008D349E">
        <w:rPr>
          <w:rFonts w:ascii="Arial" w:hAnsi="Arial" w:cs="Arial"/>
          <w:sz w:val="20"/>
          <w:szCs w:val="20"/>
          <w:lang w:val="en-US"/>
        </w:rPr>
        <w:t>ILC, Guide to Practice on Reservations, UN Doc. A/66/10 (2011), para. 75, Guideline  4.5.3, para. 2, emphasis added.  </w:t>
      </w:r>
    </w:p>
  </w:footnote>
  <w:footnote w:id="210">
    <w:p w14:paraId="1BC862B3" w14:textId="2337C07A" w:rsidR="001A5BF9" w:rsidRPr="00855DFA" w:rsidRDefault="001A5BF9" w:rsidP="007540BB">
      <w:pPr>
        <w:pStyle w:val="FootnoteText"/>
        <w:rPr>
          <w:rFonts w:ascii="Arial" w:hAnsi="Arial" w:cs="Arial"/>
          <w:sz w:val="20"/>
          <w:szCs w:val="20"/>
          <w:lang w:val="en-US"/>
        </w:rPr>
      </w:pPr>
      <w:r w:rsidRPr="00855DFA">
        <w:rPr>
          <w:rStyle w:val="FootnoteReference"/>
          <w:rFonts w:ascii="Arial" w:hAnsi="Arial" w:cs="Arial"/>
          <w:sz w:val="20"/>
          <w:szCs w:val="20"/>
        </w:rPr>
        <w:footnoteRef/>
      </w:r>
      <w:r w:rsidRPr="00855DFA">
        <w:rPr>
          <w:rFonts w:ascii="Arial" w:hAnsi="Arial" w:cs="Arial"/>
          <w:sz w:val="20"/>
          <w:szCs w:val="20"/>
        </w:rPr>
        <w:t xml:space="preserve"> </w:t>
      </w:r>
      <w:r>
        <w:rPr>
          <w:rFonts w:ascii="Arial" w:hAnsi="Arial" w:cs="Arial"/>
          <w:sz w:val="20"/>
          <w:szCs w:val="20"/>
        </w:rPr>
        <w:t xml:space="preserve">Rodley </w:t>
      </w:r>
      <w:r w:rsidRPr="00DB2C5F">
        <w:rPr>
          <w:rFonts w:ascii="Arial" w:hAnsi="Arial" w:cs="Arial"/>
          <w:sz w:val="20"/>
          <w:szCs w:val="20"/>
        </w:rPr>
        <w:t>(n 82),</w:t>
      </w:r>
      <w:r>
        <w:rPr>
          <w:rFonts w:ascii="Arial" w:hAnsi="Arial" w:cs="Arial"/>
          <w:sz w:val="20"/>
          <w:szCs w:val="20"/>
        </w:rPr>
        <w:t xml:space="preserve"> p 94.</w:t>
      </w:r>
    </w:p>
  </w:footnote>
  <w:footnote w:id="211">
    <w:p w14:paraId="71C2E594" w14:textId="0A6E3AC5" w:rsidR="001A5BF9" w:rsidRPr="003225A6" w:rsidRDefault="001A5BF9">
      <w:pPr>
        <w:pStyle w:val="FootnoteText"/>
        <w:rPr>
          <w:rFonts w:ascii="Arial" w:hAnsi="Arial" w:cs="Arial"/>
          <w:sz w:val="20"/>
          <w:szCs w:val="20"/>
          <w:lang w:val="en-US"/>
        </w:rPr>
      </w:pPr>
      <w:r w:rsidRPr="003225A6">
        <w:rPr>
          <w:rStyle w:val="FootnoteReference"/>
          <w:rFonts w:ascii="Arial" w:hAnsi="Arial" w:cs="Arial"/>
          <w:sz w:val="20"/>
          <w:szCs w:val="20"/>
        </w:rPr>
        <w:footnoteRef/>
      </w:r>
      <w:r w:rsidRPr="003225A6">
        <w:rPr>
          <w:rFonts w:ascii="Arial" w:hAnsi="Arial" w:cs="Arial"/>
          <w:sz w:val="20"/>
          <w:szCs w:val="20"/>
        </w:rPr>
        <w:t xml:space="preserve"> </w:t>
      </w:r>
      <w:r>
        <w:rPr>
          <w:rFonts w:ascii="Arial" w:hAnsi="Arial" w:cs="Arial"/>
          <w:sz w:val="20"/>
          <w:szCs w:val="20"/>
        </w:rPr>
        <w:t>ILC Guide 2011, Guideline 3.3.3.</w:t>
      </w:r>
    </w:p>
  </w:footnote>
  <w:footnote w:id="212">
    <w:p w14:paraId="1A8965ED" w14:textId="701AE1B9" w:rsidR="001A5BF9" w:rsidRPr="008E7000" w:rsidRDefault="001A5BF9">
      <w:pPr>
        <w:pStyle w:val="FootnoteText"/>
        <w:rPr>
          <w:rFonts w:ascii="Arial" w:hAnsi="Arial" w:cs="Arial"/>
          <w:sz w:val="20"/>
          <w:szCs w:val="20"/>
          <w:lang w:val="en-US"/>
        </w:rPr>
      </w:pPr>
      <w:r w:rsidRPr="008E7000">
        <w:rPr>
          <w:rStyle w:val="FootnoteReference"/>
          <w:rFonts w:ascii="Arial" w:hAnsi="Arial" w:cs="Arial"/>
          <w:sz w:val="20"/>
          <w:szCs w:val="20"/>
        </w:rPr>
        <w:footnoteRef/>
      </w:r>
      <w:r w:rsidRPr="008E7000">
        <w:rPr>
          <w:rFonts w:ascii="Arial" w:hAnsi="Arial" w:cs="Arial"/>
          <w:sz w:val="20"/>
          <w:szCs w:val="20"/>
        </w:rPr>
        <w:t xml:space="preserve"> </w:t>
      </w:r>
      <w:r w:rsidRPr="00EB5CD9">
        <w:rPr>
          <w:rFonts w:ascii="Arial" w:hAnsi="Arial" w:cs="Arial"/>
          <w:sz w:val="20"/>
          <w:szCs w:val="20"/>
          <w:lang w:val="en-US"/>
        </w:rPr>
        <w:t xml:space="preserve">See </w:t>
      </w:r>
      <w:r>
        <w:rPr>
          <w:rFonts w:ascii="Arial" w:hAnsi="Arial" w:cs="Arial"/>
          <w:sz w:val="20"/>
          <w:szCs w:val="20"/>
          <w:lang w:val="en-US"/>
        </w:rPr>
        <w:t>N. Rodley</w:t>
      </w:r>
      <w:r w:rsidRPr="00EB5CD9">
        <w:rPr>
          <w:rFonts w:ascii="Arial" w:hAnsi="Arial" w:cs="Arial"/>
          <w:sz w:val="20"/>
          <w:szCs w:val="20"/>
          <w:lang w:val="en-US"/>
        </w:rPr>
        <w:t>, address to the 100th session of the Human Rights Committee,</w:t>
      </w:r>
      <w:r>
        <w:rPr>
          <w:rFonts w:ascii="Arial" w:hAnsi="Arial" w:cs="Arial"/>
          <w:sz w:val="20"/>
          <w:szCs w:val="20"/>
          <w:lang w:val="en-US"/>
        </w:rPr>
        <w:t xml:space="preserve"> </w:t>
      </w:r>
      <w:r>
        <w:rPr>
          <w:rFonts w:ascii="Arial" w:hAnsi="Arial" w:cs="Arial"/>
          <w:sz w:val="20"/>
          <w:szCs w:val="20"/>
        </w:rPr>
        <w:t xml:space="preserve">UN Doc. </w:t>
      </w:r>
      <w:r>
        <w:rPr>
          <w:rFonts w:ascii="Arial" w:hAnsi="Arial" w:cs="Arial"/>
          <w:sz w:val="20"/>
          <w:szCs w:val="20"/>
          <w:lang w:val="en-US"/>
        </w:rPr>
        <w:t>CCPR/C/SR.2752/Add.1 (2010)</w:t>
      </w:r>
      <w:r>
        <w:rPr>
          <w:rFonts w:ascii="Arial" w:hAnsi="Arial" w:cs="Arial"/>
          <w:sz w:val="20"/>
          <w:szCs w:val="20"/>
        </w:rPr>
        <w:t>, para 15.</w:t>
      </w:r>
    </w:p>
  </w:footnote>
  <w:footnote w:id="213">
    <w:p w14:paraId="1D448B83" w14:textId="28923A97" w:rsidR="001A5BF9" w:rsidRPr="000E3105" w:rsidRDefault="001A5BF9">
      <w:pPr>
        <w:pStyle w:val="FootnoteText"/>
        <w:rPr>
          <w:rFonts w:ascii="Arial" w:hAnsi="Arial" w:cs="Arial"/>
          <w:sz w:val="20"/>
          <w:szCs w:val="20"/>
          <w:lang w:val="en-US"/>
        </w:rPr>
      </w:pPr>
      <w:r w:rsidRPr="000E3105">
        <w:rPr>
          <w:rStyle w:val="FootnoteReference"/>
          <w:rFonts w:ascii="Arial" w:hAnsi="Arial" w:cs="Arial"/>
          <w:sz w:val="20"/>
          <w:szCs w:val="20"/>
        </w:rPr>
        <w:footnoteRef/>
      </w:r>
      <w:r w:rsidRPr="000E3105">
        <w:rPr>
          <w:rFonts w:ascii="Arial" w:hAnsi="Arial" w:cs="Arial"/>
          <w:sz w:val="20"/>
          <w:szCs w:val="20"/>
        </w:rPr>
        <w:t xml:space="preserve"> </w:t>
      </w:r>
      <w:r>
        <w:rPr>
          <w:rFonts w:ascii="Arial" w:hAnsi="Arial" w:cs="Arial"/>
          <w:sz w:val="20"/>
          <w:szCs w:val="20"/>
        </w:rPr>
        <w:t>Ibid.</w:t>
      </w:r>
    </w:p>
  </w:footnote>
  <w:footnote w:id="214">
    <w:p w14:paraId="37386782" w14:textId="3D400D69" w:rsidR="001A5BF9" w:rsidRPr="00027887" w:rsidRDefault="001A5BF9">
      <w:pPr>
        <w:pStyle w:val="FootnoteText"/>
        <w:rPr>
          <w:rFonts w:ascii="Arial" w:hAnsi="Arial" w:cs="Arial"/>
          <w:sz w:val="20"/>
          <w:szCs w:val="20"/>
          <w:lang w:val="en-US"/>
        </w:rPr>
      </w:pPr>
      <w:r w:rsidRPr="00027887">
        <w:rPr>
          <w:rStyle w:val="FootnoteReference"/>
          <w:rFonts w:ascii="Arial" w:hAnsi="Arial" w:cs="Arial"/>
          <w:sz w:val="20"/>
          <w:szCs w:val="20"/>
        </w:rPr>
        <w:footnoteRef/>
      </w:r>
      <w:r w:rsidRPr="00027887">
        <w:rPr>
          <w:rFonts w:ascii="Arial" w:hAnsi="Arial" w:cs="Arial"/>
          <w:sz w:val="20"/>
          <w:szCs w:val="20"/>
        </w:rPr>
        <w:t xml:space="preserve"> </w:t>
      </w:r>
      <w:r w:rsidRPr="00027887">
        <w:rPr>
          <w:rFonts w:ascii="Arial" w:hAnsi="Arial" w:cs="Arial"/>
          <w:sz w:val="20"/>
          <w:szCs w:val="20"/>
          <w:lang w:val="en-US"/>
        </w:rPr>
        <w:t>R</w:t>
      </w:r>
      <w:r>
        <w:rPr>
          <w:rFonts w:ascii="Arial" w:hAnsi="Arial" w:cs="Arial"/>
          <w:sz w:val="20"/>
          <w:szCs w:val="20"/>
          <w:lang w:val="en-US"/>
        </w:rPr>
        <w:t>.</w:t>
      </w:r>
      <w:r w:rsidRPr="00027887">
        <w:rPr>
          <w:rFonts w:ascii="Arial" w:hAnsi="Arial" w:cs="Arial"/>
          <w:sz w:val="20"/>
          <w:szCs w:val="20"/>
          <w:lang w:val="en-US"/>
        </w:rPr>
        <w:t xml:space="preserve"> Baratta, ‘Should Invalid Reservations to Human Rights Treaties be Disregarded?’  (2000) 11(2) </w:t>
      </w:r>
      <w:r w:rsidRPr="00027887">
        <w:rPr>
          <w:rFonts w:ascii="Arial" w:hAnsi="Arial" w:cs="Arial"/>
          <w:i/>
          <w:sz w:val="20"/>
          <w:szCs w:val="20"/>
          <w:lang w:val="en-US"/>
        </w:rPr>
        <w:t>EJIL</w:t>
      </w:r>
      <w:r w:rsidRPr="00027887">
        <w:rPr>
          <w:rFonts w:ascii="Arial" w:hAnsi="Arial" w:cs="Arial"/>
          <w:sz w:val="20"/>
          <w:szCs w:val="20"/>
          <w:lang w:val="en-US"/>
        </w:rPr>
        <w:t>, 416.  </w:t>
      </w:r>
    </w:p>
  </w:footnote>
  <w:footnote w:id="215">
    <w:p w14:paraId="18E29E9C" w14:textId="5C0B8A6F" w:rsidR="001A5BF9" w:rsidRPr="00637C4B" w:rsidRDefault="001A5BF9">
      <w:pPr>
        <w:pStyle w:val="FootnoteText"/>
        <w:rPr>
          <w:rFonts w:ascii="Arial" w:hAnsi="Arial" w:cs="Arial"/>
          <w:sz w:val="20"/>
          <w:szCs w:val="20"/>
          <w:lang w:val="en-US"/>
        </w:rPr>
      </w:pPr>
      <w:r w:rsidRPr="00637C4B">
        <w:rPr>
          <w:rStyle w:val="FootnoteReference"/>
          <w:rFonts w:ascii="Arial" w:hAnsi="Arial" w:cs="Arial"/>
          <w:sz w:val="20"/>
          <w:szCs w:val="20"/>
        </w:rPr>
        <w:footnoteRef/>
      </w:r>
      <w:r w:rsidRPr="00637C4B">
        <w:rPr>
          <w:rFonts w:ascii="Arial" w:hAnsi="Arial" w:cs="Arial"/>
          <w:sz w:val="20"/>
          <w:szCs w:val="20"/>
        </w:rPr>
        <w:t xml:space="preserve"> </w:t>
      </w:r>
      <w:r w:rsidRPr="00637C4B">
        <w:rPr>
          <w:rFonts w:ascii="Arial" w:hAnsi="Arial" w:cs="Arial"/>
          <w:sz w:val="20"/>
          <w:szCs w:val="20"/>
          <w:lang w:val="en-US"/>
        </w:rPr>
        <w:t>R</w:t>
      </w:r>
      <w:r>
        <w:rPr>
          <w:rFonts w:ascii="Arial" w:hAnsi="Arial" w:cs="Arial"/>
          <w:sz w:val="20"/>
          <w:szCs w:val="20"/>
          <w:lang w:val="en-US"/>
        </w:rPr>
        <w:t>.</w:t>
      </w:r>
      <w:r w:rsidRPr="00637C4B">
        <w:rPr>
          <w:rFonts w:ascii="Arial" w:hAnsi="Arial" w:cs="Arial"/>
          <w:sz w:val="20"/>
          <w:szCs w:val="20"/>
          <w:lang w:val="en-US"/>
        </w:rPr>
        <w:t xml:space="preserve"> Edwards Jr</w:t>
      </w:r>
      <w:r>
        <w:rPr>
          <w:rFonts w:ascii="Arial" w:hAnsi="Arial" w:cs="Arial"/>
          <w:sz w:val="20"/>
          <w:szCs w:val="20"/>
          <w:lang w:val="en-US"/>
        </w:rPr>
        <w:t>.</w:t>
      </w:r>
      <w:r w:rsidRPr="00637C4B">
        <w:rPr>
          <w:rFonts w:ascii="Arial" w:hAnsi="Arial" w:cs="Arial"/>
          <w:sz w:val="20"/>
          <w:szCs w:val="20"/>
          <w:lang w:val="en-US"/>
        </w:rPr>
        <w:t xml:space="preserve">, ‘Reservations to Treaties’ (1989) 10 </w:t>
      </w:r>
      <w:r>
        <w:rPr>
          <w:rFonts w:ascii="Arial" w:hAnsi="Arial" w:cs="Arial"/>
          <w:i/>
          <w:sz w:val="20"/>
          <w:szCs w:val="20"/>
          <w:lang w:val="en-US"/>
        </w:rPr>
        <w:t>MJIL</w:t>
      </w:r>
      <w:r w:rsidRPr="00637C4B">
        <w:rPr>
          <w:rFonts w:ascii="Arial" w:hAnsi="Arial" w:cs="Arial"/>
          <w:sz w:val="20"/>
          <w:szCs w:val="20"/>
          <w:lang w:val="en-US"/>
        </w:rPr>
        <w:t xml:space="preserve"> 362, 378.  </w:t>
      </w:r>
    </w:p>
  </w:footnote>
  <w:footnote w:id="216">
    <w:p w14:paraId="64D130F0" w14:textId="4E3A9803" w:rsidR="001A5BF9" w:rsidRPr="008060AC" w:rsidRDefault="001A5BF9" w:rsidP="00DE4554">
      <w:pPr>
        <w:pStyle w:val="FootnoteText"/>
        <w:rPr>
          <w:rFonts w:ascii="Arial" w:hAnsi="Arial" w:cs="Arial"/>
          <w:color w:val="FF0000"/>
          <w:sz w:val="20"/>
          <w:szCs w:val="20"/>
          <w:lang w:val="en-US"/>
        </w:rPr>
      </w:pPr>
      <w:r w:rsidRPr="00751D3C">
        <w:rPr>
          <w:rStyle w:val="FootnoteReference"/>
          <w:rFonts w:ascii="Arial" w:hAnsi="Arial" w:cs="Arial"/>
          <w:sz w:val="20"/>
          <w:szCs w:val="20"/>
        </w:rPr>
        <w:footnoteRef/>
      </w:r>
      <w:r w:rsidRPr="00751D3C">
        <w:rPr>
          <w:rFonts w:ascii="Arial" w:hAnsi="Arial" w:cs="Arial"/>
          <w:sz w:val="20"/>
          <w:szCs w:val="20"/>
        </w:rPr>
        <w:t xml:space="preserve"> </w:t>
      </w:r>
      <w:r w:rsidRPr="00681922">
        <w:rPr>
          <w:rFonts w:ascii="Arial" w:hAnsi="Arial" w:cs="Arial"/>
          <w:sz w:val="20"/>
          <w:szCs w:val="20"/>
        </w:rPr>
        <w:t>Ibid.</w:t>
      </w:r>
    </w:p>
  </w:footnote>
  <w:footnote w:id="217">
    <w:p w14:paraId="39098B9A" w14:textId="6513E8BC" w:rsidR="001A5BF9" w:rsidRPr="00825BDD" w:rsidRDefault="001A5BF9">
      <w:pPr>
        <w:pStyle w:val="FootnoteText"/>
        <w:rPr>
          <w:rFonts w:ascii="Arial" w:hAnsi="Arial" w:cs="Arial"/>
          <w:sz w:val="20"/>
          <w:szCs w:val="20"/>
          <w:lang w:val="en-US"/>
        </w:rPr>
      </w:pPr>
      <w:r w:rsidRPr="00825BDD">
        <w:rPr>
          <w:rStyle w:val="FootnoteReference"/>
          <w:rFonts w:ascii="Arial" w:hAnsi="Arial" w:cs="Arial"/>
          <w:sz w:val="20"/>
          <w:szCs w:val="20"/>
        </w:rPr>
        <w:footnoteRef/>
      </w:r>
      <w:r w:rsidRPr="00825BDD">
        <w:rPr>
          <w:rFonts w:ascii="Arial" w:hAnsi="Arial" w:cs="Arial"/>
          <w:sz w:val="20"/>
          <w:szCs w:val="20"/>
        </w:rPr>
        <w:t xml:space="preserve"> </w:t>
      </w:r>
      <w:r w:rsidRPr="004736B0">
        <w:rPr>
          <w:rFonts w:ascii="Arial" w:hAnsi="Arial" w:cs="Arial"/>
          <w:sz w:val="20"/>
          <w:szCs w:val="20"/>
          <w:lang w:val="en-US"/>
        </w:rPr>
        <w:t>Greig (n 53),</w:t>
      </w:r>
      <w:r>
        <w:rPr>
          <w:rFonts w:ascii="Arial" w:hAnsi="Arial" w:cs="Arial"/>
          <w:sz w:val="20"/>
          <w:szCs w:val="20"/>
          <w:lang w:val="en-US"/>
        </w:rPr>
        <w:t xml:space="preserve"> 295–403, at 328. </w:t>
      </w:r>
    </w:p>
  </w:footnote>
  <w:footnote w:id="218">
    <w:p w14:paraId="500B1E5E" w14:textId="4812D58C" w:rsidR="001A5BF9" w:rsidRPr="001309B4" w:rsidRDefault="001A5BF9">
      <w:pPr>
        <w:pStyle w:val="FootnoteText"/>
        <w:rPr>
          <w:rFonts w:ascii="Arial" w:hAnsi="Arial" w:cs="Arial"/>
          <w:sz w:val="20"/>
          <w:szCs w:val="20"/>
          <w:lang w:val="en-US"/>
        </w:rPr>
      </w:pPr>
      <w:r w:rsidRPr="001309B4">
        <w:rPr>
          <w:rStyle w:val="FootnoteReference"/>
          <w:rFonts w:ascii="Arial" w:hAnsi="Arial" w:cs="Arial"/>
          <w:sz w:val="20"/>
          <w:szCs w:val="20"/>
        </w:rPr>
        <w:footnoteRef/>
      </w:r>
      <w:r w:rsidRPr="001309B4">
        <w:rPr>
          <w:rFonts w:ascii="Arial" w:hAnsi="Arial" w:cs="Arial"/>
          <w:sz w:val="20"/>
          <w:szCs w:val="20"/>
        </w:rPr>
        <w:t xml:space="preserve"> </w:t>
      </w:r>
      <w:r>
        <w:rPr>
          <w:rFonts w:ascii="Arial" w:hAnsi="Arial" w:cs="Arial"/>
          <w:i/>
          <w:sz w:val="20"/>
          <w:szCs w:val="20"/>
        </w:rPr>
        <w:t xml:space="preserve">General Comment No. </w:t>
      </w:r>
      <w:r w:rsidRPr="00F80E02">
        <w:rPr>
          <w:rFonts w:ascii="Arial" w:hAnsi="Arial" w:cs="Arial"/>
          <w:i/>
          <w:sz w:val="20"/>
          <w:szCs w:val="20"/>
        </w:rPr>
        <w:t xml:space="preserve">24 </w:t>
      </w:r>
      <w:r w:rsidRPr="00F80E02">
        <w:rPr>
          <w:rFonts w:ascii="Arial" w:hAnsi="Arial" w:cs="Arial"/>
          <w:sz w:val="20"/>
          <w:szCs w:val="20"/>
        </w:rPr>
        <w:t>(n 67).</w:t>
      </w:r>
    </w:p>
  </w:footnote>
  <w:footnote w:id="219">
    <w:p w14:paraId="19FFC7F9" w14:textId="29C6DA81" w:rsidR="001A5BF9" w:rsidRPr="00EA2ED3" w:rsidRDefault="001A5BF9">
      <w:pPr>
        <w:pStyle w:val="FootnoteText"/>
        <w:rPr>
          <w:rFonts w:ascii="Arial" w:hAnsi="Arial" w:cs="Arial"/>
          <w:sz w:val="20"/>
          <w:szCs w:val="20"/>
          <w:lang w:val="en-US"/>
        </w:rPr>
      </w:pPr>
      <w:r w:rsidRPr="00EA2ED3">
        <w:rPr>
          <w:rStyle w:val="FootnoteReference"/>
          <w:rFonts w:ascii="Arial" w:hAnsi="Arial" w:cs="Arial"/>
          <w:sz w:val="20"/>
          <w:szCs w:val="20"/>
        </w:rPr>
        <w:footnoteRef/>
      </w:r>
      <w:r w:rsidRPr="00EA2ED3">
        <w:rPr>
          <w:rFonts w:ascii="Arial" w:hAnsi="Arial" w:cs="Arial"/>
          <w:sz w:val="20"/>
          <w:szCs w:val="20"/>
        </w:rPr>
        <w:t xml:space="preserve"> </w:t>
      </w:r>
      <w:r w:rsidRPr="00291743">
        <w:rPr>
          <w:rFonts w:ascii="Arial" w:hAnsi="Arial" w:cs="Arial"/>
          <w:sz w:val="20"/>
          <w:szCs w:val="20"/>
          <w:lang w:val="en-US"/>
        </w:rPr>
        <w:t xml:space="preserve">Reproduced in 107 </w:t>
      </w:r>
      <w:r w:rsidRPr="00291743">
        <w:rPr>
          <w:rFonts w:ascii="Arial" w:hAnsi="Arial" w:cs="Arial"/>
          <w:i/>
          <w:iCs/>
          <w:sz w:val="20"/>
          <w:szCs w:val="20"/>
          <w:lang w:val="en-US"/>
        </w:rPr>
        <w:t xml:space="preserve">International Law Reports </w:t>
      </w:r>
      <w:r>
        <w:rPr>
          <w:rFonts w:ascii="Arial" w:hAnsi="Arial" w:cs="Arial"/>
          <w:sz w:val="20"/>
          <w:szCs w:val="20"/>
          <w:lang w:val="en-US"/>
        </w:rPr>
        <w:t xml:space="preserve">64. </w:t>
      </w:r>
    </w:p>
  </w:footnote>
  <w:footnote w:id="220">
    <w:p w14:paraId="0898323D" w14:textId="181CD8C5" w:rsidR="001A5BF9" w:rsidRPr="00A91C92" w:rsidRDefault="001A5BF9">
      <w:pPr>
        <w:pStyle w:val="FootnoteText"/>
        <w:rPr>
          <w:rFonts w:ascii="Arial" w:hAnsi="Arial" w:cs="Arial"/>
          <w:sz w:val="20"/>
          <w:szCs w:val="20"/>
          <w:lang w:val="en-US"/>
        </w:rPr>
      </w:pPr>
      <w:r w:rsidRPr="00A91C92">
        <w:rPr>
          <w:rStyle w:val="FootnoteReference"/>
          <w:rFonts w:ascii="Arial" w:hAnsi="Arial" w:cs="Arial"/>
          <w:sz w:val="20"/>
          <w:szCs w:val="20"/>
        </w:rPr>
        <w:footnoteRef/>
      </w:r>
      <w:r w:rsidRPr="00A91C92">
        <w:rPr>
          <w:rFonts w:ascii="Arial" w:hAnsi="Arial" w:cs="Arial"/>
          <w:sz w:val="20"/>
          <w:szCs w:val="20"/>
        </w:rPr>
        <w:t xml:space="preserve"> </w:t>
      </w:r>
      <w:r w:rsidRPr="00291743">
        <w:rPr>
          <w:rFonts w:ascii="Arial" w:hAnsi="Arial" w:cs="Arial"/>
          <w:sz w:val="20"/>
          <w:szCs w:val="20"/>
          <w:lang w:val="en-US"/>
        </w:rPr>
        <w:t xml:space="preserve">The </w:t>
      </w:r>
      <w:r>
        <w:rPr>
          <w:rFonts w:ascii="Arial" w:hAnsi="Arial" w:cs="Arial"/>
          <w:sz w:val="20"/>
          <w:szCs w:val="20"/>
          <w:lang w:val="en-US"/>
        </w:rPr>
        <w:t>hostile</w:t>
      </w:r>
      <w:r w:rsidRPr="00291743">
        <w:rPr>
          <w:rFonts w:ascii="Arial" w:hAnsi="Arial" w:cs="Arial"/>
          <w:sz w:val="20"/>
          <w:szCs w:val="20"/>
          <w:lang w:val="en-US"/>
        </w:rPr>
        <w:t xml:space="preserve"> </w:t>
      </w:r>
      <w:r>
        <w:rPr>
          <w:rFonts w:ascii="Arial" w:hAnsi="Arial" w:cs="Arial"/>
          <w:sz w:val="20"/>
          <w:szCs w:val="20"/>
          <w:lang w:val="en-US"/>
        </w:rPr>
        <w:t>reaction</w:t>
      </w:r>
      <w:r w:rsidRPr="00291743">
        <w:rPr>
          <w:rFonts w:ascii="Arial" w:hAnsi="Arial" w:cs="Arial"/>
          <w:sz w:val="20"/>
          <w:szCs w:val="20"/>
          <w:lang w:val="en-US"/>
        </w:rPr>
        <w:t xml:space="preserve"> of the </w:t>
      </w:r>
      <w:r>
        <w:rPr>
          <w:rFonts w:ascii="Arial" w:hAnsi="Arial" w:cs="Arial"/>
          <w:sz w:val="20"/>
          <w:szCs w:val="20"/>
          <w:lang w:val="en-US"/>
        </w:rPr>
        <w:t>UK</w:t>
      </w:r>
      <w:r w:rsidRPr="00291743">
        <w:rPr>
          <w:rFonts w:ascii="Arial" w:hAnsi="Arial" w:cs="Arial"/>
          <w:sz w:val="20"/>
          <w:szCs w:val="20"/>
          <w:lang w:val="en-US"/>
        </w:rPr>
        <w:t xml:space="preserve"> government is re</w:t>
      </w:r>
      <w:r>
        <w:rPr>
          <w:rFonts w:ascii="Arial" w:hAnsi="Arial" w:cs="Arial"/>
          <w:sz w:val="20"/>
          <w:szCs w:val="20"/>
          <w:lang w:val="en-US"/>
        </w:rPr>
        <w:t>corded</w:t>
      </w:r>
      <w:r w:rsidRPr="00291743">
        <w:rPr>
          <w:rFonts w:ascii="Arial" w:hAnsi="Arial" w:cs="Arial"/>
          <w:sz w:val="20"/>
          <w:szCs w:val="20"/>
          <w:lang w:val="en-US"/>
        </w:rPr>
        <w:t xml:space="preserve"> in 66 </w:t>
      </w:r>
      <w:r w:rsidRPr="00291743">
        <w:rPr>
          <w:rFonts w:ascii="Arial" w:hAnsi="Arial" w:cs="Arial"/>
          <w:i/>
          <w:iCs/>
          <w:sz w:val="20"/>
          <w:szCs w:val="20"/>
          <w:lang w:val="en-US"/>
        </w:rPr>
        <w:t xml:space="preserve">British Yearbook of International Law </w:t>
      </w:r>
      <w:r w:rsidRPr="00291743">
        <w:rPr>
          <w:rFonts w:ascii="Arial" w:hAnsi="Arial" w:cs="Arial"/>
          <w:sz w:val="20"/>
          <w:szCs w:val="20"/>
          <w:lang w:val="en-US"/>
        </w:rPr>
        <w:t>(1995), 655–660. For more, see Simma</w:t>
      </w:r>
      <w:r>
        <w:rPr>
          <w:rFonts w:ascii="Arial" w:hAnsi="Arial" w:cs="Arial"/>
          <w:sz w:val="20"/>
          <w:szCs w:val="20"/>
          <w:lang w:val="en-US"/>
        </w:rPr>
        <w:t xml:space="preserve"> </w:t>
      </w:r>
      <w:r w:rsidRPr="00387C66">
        <w:rPr>
          <w:rFonts w:ascii="Arial" w:hAnsi="Arial" w:cs="Arial"/>
          <w:sz w:val="20"/>
          <w:szCs w:val="20"/>
          <w:lang w:val="en-US"/>
        </w:rPr>
        <w:t>(n 13),</w:t>
      </w:r>
      <w:r>
        <w:rPr>
          <w:rFonts w:ascii="Arial" w:hAnsi="Arial" w:cs="Arial"/>
          <w:sz w:val="20"/>
          <w:szCs w:val="20"/>
          <w:lang w:val="en-US"/>
        </w:rPr>
        <w:t xml:space="preserve"> </w:t>
      </w:r>
      <w:r w:rsidRPr="00291743">
        <w:rPr>
          <w:rFonts w:ascii="Arial" w:hAnsi="Arial" w:cs="Arial"/>
          <w:sz w:val="20"/>
          <w:szCs w:val="20"/>
          <w:lang w:val="en-US"/>
        </w:rPr>
        <w:t xml:space="preserve">659–682, esp. at 666–667. </w:t>
      </w:r>
    </w:p>
  </w:footnote>
  <w:footnote w:id="221">
    <w:p w14:paraId="3AA16AD4" w14:textId="16779798" w:rsidR="001A5BF9" w:rsidRPr="002E5C10" w:rsidRDefault="001A5BF9">
      <w:pPr>
        <w:pStyle w:val="FootnoteText"/>
        <w:rPr>
          <w:rFonts w:ascii="Arial" w:hAnsi="Arial" w:cs="Arial"/>
          <w:sz w:val="20"/>
          <w:szCs w:val="20"/>
          <w:lang w:val="en-US"/>
        </w:rPr>
      </w:pPr>
      <w:r w:rsidRPr="002E5C10">
        <w:rPr>
          <w:rStyle w:val="FootnoteReference"/>
          <w:rFonts w:ascii="Arial" w:hAnsi="Arial" w:cs="Arial"/>
          <w:sz w:val="20"/>
          <w:szCs w:val="20"/>
        </w:rPr>
        <w:footnoteRef/>
      </w:r>
      <w:r w:rsidRPr="002E5C10">
        <w:rPr>
          <w:rFonts w:ascii="Arial" w:hAnsi="Arial" w:cs="Arial"/>
          <w:sz w:val="20"/>
          <w:szCs w:val="20"/>
        </w:rPr>
        <w:t xml:space="preserve"> </w:t>
      </w:r>
      <w:r>
        <w:rPr>
          <w:rFonts w:ascii="Arial" w:hAnsi="Arial" w:cs="Arial"/>
          <w:sz w:val="20"/>
          <w:szCs w:val="20"/>
        </w:rPr>
        <w:t xml:space="preserve">Klabbers </w:t>
      </w:r>
      <w:r w:rsidRPr="00E80B21">
        <w:rPr>
          <w:rFonts w:ascii="Arial" w:hAnsi="Arial" w:cs="Arial"/>
          <w:sz w:val="20"/>
          <w:szCs w:val="20"/>
        </w:rPr>
        <w:t>(n 14),</w:t>
      </w:r>
      <w:r>
        <w:rPr>
          <w:rFonts w:ascii="Arial" w:hAnsi="Arial" w:cs="Arial"/>
          <w:sz w:val="20"/>
          <w:szCs w:val="20"/>
        </w:rPr>
        <w:t xml:space="preserve"> p 191.</w:t>
      </w:r>
    </w:p>
  </w:footnote>
  <w:footnote w:id="222">
    <w:p w14:paraId="1AD04564" w14:textId="2C18EC2E" w:rsidR="001A5BF9" w:rsidRPr="00CB78F1" w:rsidRDefault="001A5BF9">
      <w:pPr>
        <w:pStyle w:val="FootnoteText"/>
        <w:rPr>
          <w:rFonts w:ascii="Arial" w:hAnsi="Arial" w:cs="Arial"/>
          <w:sz w:val="20"/>
          <w:szCs w:val="20"/>
          <w:lang w:val="en-US"/>
        </w:rPr>
      </w:pPr>
      <w:r w:rsidRPr="00CB78F1">
        <w:rPr>
          <w:rStyle w:val="FootnoteReference"/>
          <w:rFonts w:ascii="Arial" w:hAnsi="Arial" w:cs="Arial"/>
          <w:sz w:val="20"/>
          <w:szCs w:val="20"/>
        </w:rPr>
        <w:footnoteRef/>
      </w:r>
      <w:r w:rsidRPr="00CB78F1">
        <w:rPr>
          <w:rFonts w:ascii="Arial" w:hAnsi="Arial" w:cs="Arial"/>
          <w:sz w:val="20"/>
          <w:szCs w:val="20"/>
        </w:rPr>
        <w:t xml:space="preserve"> Scheinin</w:t>
      </w:r>
      <w:r>
        <w:rPr>
          <w:rFonts w:ascii="Arial" w:hAnsi="Arial" w:cs="Arial"/>
          <w:sz w:val="20"/>
          <w:szCs w:val="20"/>
        </w:rPr>
        <w:t xml:space="preserve"> </w:t>
      </w:r>
      <w:r w:rsidRPr="00153043">
        <w:rPr>
          <w:rFonts w:ascii="Arial" w:hAnsi="Arial" w:cs="Arial"/>
          <w:sz w:val="20"/>
          <w:szCs w:val="20"/>
        </w:rPr>
        <w:t>(n 72),</w:t>
      </w:r>
      <w:r w:rsidRPr="00CB78F1">
        <w:rPr>
          <w:rFonts w:ascii="Arial" w:hAnsi="Arial" w:cs="Arial"/>
          <w:sz w:val="20"/>
          <w:szCs w:val="20"/>
        </w:rPr>
        <w:t xml:space="preserve"> p 4</w:t>
      </w:r>
      <w:r>
        <w:rPr>
          <w:rFonts w:ascii="Arial" w:hAnsi="Arial" w:cs="Arial"/>
          <w:sz w:val="20"/>
          <w:szCs w:val="20"/>
        </w:rPr>
        <w:t>3</w:t>
      </w:r>
      <w:r w:rsidRPr="00CB78F1">
        <w:rPr>
          <w:rFonts w:ascii="Arial" w:hAnsi="Arial" w:cs="Arial"/>
          <w:sz w:val="20"/>
          <w:szCs w:val="20"/>
        </w:rPr>
        <w:t>.</w:t>
      </w:r>
    </w:p>
  </w:footnote>
  <w:footnote w:id="223">
    <w:p w14:paraId="4C806351" w14:textId="5073336F" w:rsidR="001A5BF9" w:rsidRPr="001D497A" w:rsidRDefault="001A5BF9">
      <w:pPr>
        <w:pStyle w:val="FootnoteText"/>
        <w:rPr>
          <w:rFonts w:ascii="Arial" w:hAnsi="Arial" w:cs="Arial"/>
          <w:sz w:val="20"/>
          <w:szCs w:val="20"/>
          <w:lang w:val="en-US"/>
        </w:rPr>
      </w:pPr>
      <w:r w:rsidRPr="001D497A">
        <w:rPr>
          <w:rStyle w:val="FootnoteReference"/>
          <w:rFonts w:ascii="Arial" w:hAnsi="Arial" w:cs="Arial"/>
          <w:sz w:val="20"/>
          <w:szCs w:val="20"/>
        </w:rPr>
        <w:footnoteRef/>
      </w:r>
      <w:r w:rsidRPr="001D497A">
        <w:rPr>
          <w:rFonts w:ascii="Arial" w:hAnsi="Arial" w:cs="Arial"/>
          <w:sz w:val="20"/>
          <w:szCs w:val="20"/>
        </w:rPr>
        <w:t xml:space="preserve"> </w:t>
      </w:r>
      <w:r w:rsidRPr="00750D00">
        <w:rPr>
          <w:rFonts w:ascii="Arial" w:hAnsi="Arial" w:cs="Arial"/>
          <w:sz w:val="20"/>
          <w:szCs w:val="20"/>
        </w:rPr>
        <w:t>Vienna Convention, Art. 4.</w:t>
      </w:r>
    </w:p>
  </w:footnote>
  <w:footnote w:id="224">
    <w:p w14:paraId="35271CEE" w14:textId="3B30A3C5" w:rsidR="001A5BF9" w:rsidRPr="005931BB" w:rsidRDefault="001A5BF9">
      <w:pPr>
        <w:pStyle w:val="FootnoteText"/>
        <w:rPr>
          <w:rFonts w:ascii="Arial" w:hAnsi="Arial" w:cs="Arial"/>
          <w:sz w:val="20"/>
          <w:szCs w:val="20"/>
          <w:lang w:val="en-US"/>
        </w:rPr>
      </w:pPr>
      <w:r w:rsidRPr="005931BB">
        <w:rPr>
          <w:rStyle w:val="FootnoteReference"/>
          <w:rFonts w:ascii="Arial" w:hAnsi="Arial" w:cs="Arial"/>
          <w:sz w:val="20"/>
          <w:szCs w:val="20"/>
        </w:rPr>
        <w:footnoteRef/>
      </w:r>
      <w:r w:rsidRPr="005931BB">
        <w:rPr>
          <w:rFonts w:ascii="Arial" w:hAnsi="Arial" w:cs="Arial"/>
          <w:sz w:val="20"/>
          <w:szCs w:val="20"/>
        </w:rPr>
        <w:t xml:space="preserve"> Ibid.</w:t>
      </w:r>
    </w:p>
  </w:footnote>
  <w:footnote w:id="225">
    <w:p w14:paraId="52A963D2" w14:textId="78D1A94F" w:rsidR="001A5BF9" w:rsidRPr="005931BB" w:rsidRDefault="001A5BF9" w:rsidP="007E2A92">
      <w:pPr>
        <w:pStyle w:val="FootnoteText"/>
        <w:rPr>
          <w:rFonts w:ascii="Arial" w:hAnsi="Arial" w:cs="Arial"/>
          <w:color w:val="FF0000"/>
          <w:sz w:val="20"/>
          <w:szCs w:val="20"/>
          <w:lang w:val="en-US"/>
        </w:rPr>
      </w:pPr>
      <w:r w:rsidRPr="005931BB">
        <w:rPr>
          <w:rStyle w:val="FootnoteReference"/>
          <w:rFonts w:ascii="Arial" w:hAnsi="Arial" w:cs="Arial"/>
          <w:sz w:val="20"/>
          <w:szCs w:val="20"/>
        </w:rPr>
        <w:footnoteRef/>
      </w:r>
      <w:r w:rsidRPr="005931BB">
        <w:rPr>
          <w:rFonts w:ascii="Arial" w:hAnsi="Arial" w:cs="Arial"/>
          <w:sz w:val="20"/>
          <w:szCs w:val="20"/>
        </w:rPr>
        <w:t xml:space="preserve"> </w:t>
      </w:r>
      <w:r>
        <w:rPr>
          <w:rFonts w:ascii="Arial" w:hAnsi="Arial" w:cs="Arial"/>
          <w:sz w:val="20"/>
          <w:szCs w:val="20"/>
        </w:rPr>
        <w:t xml:space="preserve">The International Covenant on Civil and Political Rights (ICCPR) 999 UNTS 171 and 1057 UNTS 407 / [1980] ATS 23 / 6 ILM 368 (1967), </w:t>
      </w:r>
      <w:r w:rsidRPr="00750D00">
        <w:rPr>
          <w:rFonts w:ascii="Arial" w:hAnsi="Arial" w:cs="Arial"/>
          <w:sz w:val="20"/>
          <w:szCs w:val="20"/>
        </w:rPr>
        <w:t>Optional Protocol 1.</w:t>
      </w:r>
    </w:p>
  </w:footnote>
  <w:footnote w:id="226">
    <w:p w14:paraId="28C0ACE9" w14:textId="77669AE0" w:rsidR="001A5BF9" w:rsidRPr="0084366F" w:rsidRDefault="001A5BF9">
      <w:pPr>
        <w:pStyle w:val="FootnoteText"/>
        <w:rPr>
          <w:rFonts w:ascii="Arial" w:hAnsi="Arial" w:cs="Arial"/>
          <w:sz w:val="20"/>
          <w:szCs w:val="20"/>
          <w:lang w:val="en-US"/>
        </w:rPr>
      </w:pPr>
      <w:r w:rsidRPr="0084366F">
        <w:rPr>
          <w:rStyle w:val="FootnoteReference"/>
          <w:rFonts w:ascii="Arial" w:hAnsi="Arial" w:cs="Arial"/>
          <w:sz w:val="20"/>
          <w:szCs w:val="20"/>
        </w:rPr>
        <w:footnoteRef/>
      </w:r>
      <w:r w:rsidRPr="0084366F">
        <w:rPr>
          <w:rFonts w:ascii="Arial" w:hAnsi="Arial" w:cs="Arial"/>
          <w:sz w:val="20"/>
          <w:szCs w:val="20"/>
        </w:rPr>
        <w:t xml:space="preserve"> </w:t>
      </w:r>
      <w:r w:rsidRPr="00CB78F1">
        <w:rPr>
          <w:rFonts w:ascii="Arial" w:hAnsi="Arial" w:cs="Arial"/>
          <w:sz w:val="20"/>
          <w:szCs w:val="20"/>
        </w:rPr>
        <w:t>Scheinin</w:t>
      </w:r>
      <w:r>
        <w:rPr>
          <w:rFonts w:ascii="Arial" w:hAnsi="Arial" w:cs="Arial"/>
          <w:sz w:val="20"/>
          <w:szCs w:val="20"/>
        </w:rPr>
        <w:t xml:space="preserve"> </w:t>
      </w:r>
      <w:r w:rsidRPr="00153043">
        <w:rPr>
          <w:rFonts w:ascii="Arial" w:hAnsi="Arial" w:cs="Arial"/>
          <w:sz w:val="20"/>
          <w:szCs w:val="20"/>
        </w:rPr>
        <w:t>(n 72), p</w:t>
      </w:r>
      <w:r>
        <w:rPr>
          <w:rFonts w:ascii="Arial" w:hAnsi="Arial" w:cs="Arial"/>
          <w:sz w:val="20"/>
          <w:szCs w:val="20"/>
        </w:rPr>
        <w:t xml:space="preserve"> 44.</w:t>
      </w:r>
    </w:p>
  </w:footnote>
  <w:footnote w:id="227">
    <w:p w14:paraId="5BACADA5" w14:textId="176849A9" w:rsidR="001A5BF9" w:rsidRPr="00276BFF" w:rsidRDefault="001A5BF9">
      <w:pPr>
        <w:pStyle w:val="FootnoteText"/>
        <w:rPr>
          <w:rFonts w:ascii="Arial" w:hAnsi="Arial" w:cs="Arial"/>
          <w:sz w:val="20"/>
          <w:szCs w:val="20"/>
          <w:lang w:val="en-US"/>
        </w:rPr>
      </w:pPr>
      <w:r w:rsidRPr="00276BFF">
        <w:rPr>
          <w:rStyle w:val="FootnoteReference"/>
          <w:rFonts w:ascii="Arial" w:hAnsi="Arial" w:cs="Arial"/>
          <w:sz w:val="20"/>
          <w:szCs w:val="20"/>
        </w:rPr>
        <w:footnoteRef/>
      </w:r>
      <w:r w:rsidRPr="00276BFF">
        <w:rPr>
          <w:rFonts w:ascii="Arial" w:hAnsi="Arial" w:cs="Arial"/>
          <w:sz w:val="20"/>
          <w:szCs w:val="20"/>
        </w:rPr>
        <w:t xml:space="preserve"> </w:t>
      </w:r>
      <w:r w:rsidRPr="00750D00">
        <w:rPr>
          <w:rFonts w:ascii="Arial" w:hAnsi="Arial" w:cs="Arial"/>
          <w:sz w:val="20"/>
          <w:szCs w:val="20"/>
        </w:rPr>
        <w:t>Vienna Convention, Art. 20(3).</w:t>
      </w:r>
    </w:p>
  </w:footnote>
  <w:footnote w:id="228">
    <w:p w14:paraId="073A28BF" w14:textId="3E811364" w:rsidR="001A5BF9" w:rsidRPr="00463002" w:rsidRDefault="001A5BF9">
      <w:pPr>
        <w:pStyle w:val="FootnoteText"/>
        <w:rPr>
          <w:rFonts w:ascii="Arial" w:hAnsi="Arial" w:cs="Arial"/>
          <w:sz w:val="20"/>
          <w:szCs w:val="20"/>
          <w:lang w:val="en-US"/>
        </w:rPr>
      </w:pPr>
      <w:r w:rsidRPr="00463002">
        <w:rPr>
          <w:rStyle w:val="FootnoteReference"/>
          <w:rFonts w:ascii="Arial" w:hAnsi="Arial" w:cs="Arial"/>
          <w:sz w:val="20"/>
          <w:szCs w:val="20"/>
        </w:rPr>
        <w:footnoteRef/>
      </w:r>
      <w:r w:rsidRPr="00463002">
        <w:rPr>
          <w:rFonts w:ascii="Arial" w:hAnsi="Arial" w:cs="Arial"/>
          <w:sz w:val="20"/>
          <w:szCs w:val="20"/>
        </w:rPr>
        <w:t xml:space="preserve"> </w:t>
      </w:r>
      <w:r>
        <w:rPr>
          <w:rFonts w:ascii="Arial" w:hAnsi="Arial" w:cs="Arial"/>
          <w:sz w:val="20"/>
          <w:szCs w:val="20"/>
        </w:rPr>
        <w:t xml:space="preserve">ICCPR (n 71), </w:t>
      </w:r>
      <w:r w:rsidRPr="00750D00">
        <w:rPr>
          <w:rFonts w:ascii="Arial" w:hAnsi="Arial" w:cs="Arial"/>
          <w:sz w:val="20"/>
          <w:szCs w:val="20"/>
        </w:rPr>
        <w:t>Optional Protocols 1 &amp; 2.</w:t>
      </w:r>
    </w:p>
  </w:footnote>
  <w:footnote w:id="229">
    <w:p w14:paraId="75E13C9F" w14:textId="4B4485F5" w:rsidR="001A5BF9" w:rsidRPr="008D42F2" w:rsidRDefault="001A5BF9">
      <w:pPr>
        <w:pStyle w:val="FootnoteText"/>
        <w:rPr>
          <w:lang w:val="en-US"/>
        </w:rPr>
      </w:pPr>
      <w:r w:rsidRPr="008D42F2">
        <w:rPr>
          <w:rStyle w:val="FootnoteReference"/>
          <w:rFonts w:ascii="Arial" w:hAnsi="Arial" w:cs="Arial"/>
          <w:sz w:val="20"/>
          <w:szCs w:val="20"/>
        </w:rPr>
        <w:footnoteRef/>
      </w:r>
      <w:r w:rsidRPr="008D42F2">
        <w:rPr>
          <w:rFonts w:ascii="Arial" w:hAnsi="Arial" w:cs="Arial"/>
          <w:sz w:val="20"/>
          <w:szCs w:val="20"/>
        </w:rPr>
        <w:t xml:space="preserve"> Scheinin</w:t>
      </w:r>
      <w:r>
        <w:rPr>
          <w:rFonts w:ascii="Arial" w:hAnsi="Arial" w:cs="Arial"/>
          <w:sz w:val="20"/>
          <w:szCs w:val="20"/>
        </w:rPr>
        <w:t xml:space="preserve"> </w:t>
      </w:r>
      <w:r w:rsidRPr="00153043">
        <w:rPr>
          <w:rFonts w:ascii="Arial" w:hAnsi="Arial" w:cs="Arial"/>
          <w:sz w:val="20"/>
          <w:szCs w:val="20"/>
        </w:rPr>
        <w:t>(n 72),</w:t>
      </w:r>
      <w:r>
        <w:rPr>
          <w:rFonts w:ascii="Arial" w:hAnsi="Arial" w:cs="Arial"/>
          <w:sz w:val="20"/>
          <w:szCs w:val="20"/>
        </w:rPr>
        <w:t xml:space="preserve"> p 44.</w:t>
      </w:r>
    </w:p>
  </w:footnote>
  <w:footnote w:id="230">
    <w:p w14:paraId="39161596" w14:textId="6DD4F1E6" w:rsidR="001A5BF9" w:rsidRPr="00B4248F" w:rsidRDefault="001A5BF9">
      <w:pPr>
        <w:pStyle w:val="FootnoteText"/>
        <w:rPr>
          <w:rFonts w:ascii="Arial" w:hAnsi="Arial" w:cs="Arial"/>
          <w:sz w:val="20"/>
          <w:szCs w:val="20"/>
          <w:lang w:val="en-US"/>
        </w:rPr>
      </w:pPr>
      <w:r w:rsidRPr="00A50E43">
        <w:rPr>
          <w:rStyle w:val="FootnoteReference"/>
          <w:rFonts w:ascii="Arial" w:hAnsi="Arial" w:cs="Arial"/>
          <w:sz w:val="20"/>
          <w:szCs w:val="20"/>
        </w:rPr>
        <w:footnoteRef/>
      </w:r>
      <w:r w:rsidRPr="00A50E43">
        <w:rPr>
          <w:rFonts w:ascii="Arial" w:hAnsi="Arial" w:cs="Arial"/>
          <w:sz w:val="20"/>
          <w:szCs w:val="20"/>
        </w:rPr>
        <w:t xml:space="preserve"> </w:t>
      </w:r>
      <w:r w:rsidRPr="00B4248F">
        <w:rPr>
          <w:rFonts w:ascii="Arial" w:hAnsi="Arial" w:cs="Arial"/>
          <w:sz w:val="20"/>
          <w:szCs w:val="20"/>
        </w:rPr>
        <w:t>Vienna Convention, Art. 19.</w:t>
      </w:r>
    </w:p>
  </w:footnote>
  <w:footnote w:id="231">
    <w:p w14:paraId="530ABDDC" w14:textId="48419772" w:rsidR="001A5BF9" w:rsidRPr="00B4248F" w:rsidRDefault="001A5BF9" w:rsidP="002B1A7D">
      <w:pPr>
        <w:pStyle w:val="FootnoteText"/>
        <w:rPr>
          <w:rFonts w:ascii="Arial" w:hAnsi="Arial" w:cs="Arial"/>
          <w:sz w:val="20"/>
          <w:szCs w:val="20"/>
          <w:lang w:val="en-US"/>
        </w:rPr>
      </w:pPr>
      <w:r w:rsidRPr="00B4248F">
        <w:rPr>
          <w:rStyle w:val="FootnoteReference"/>
          <w:rFonts w:ascii="Arial" w:hAnsi="Arial" w:cs="Arial"/>
          <w:sz w:val="20"/>
          <w:szCs w:val="20"/>
        </w:rPr>
        <w:footnoteRef/>
      </w:r>
      <w:r w:rsidRPr="00B4248F">
        <w:rPr>
          <w:rFonts w:ascii="Arial" w:hAnsi="Arial" w:cs="Arial"/>
          <w:sz w:val="20"/>
          <w:szCs w:val="20"/>
        </w:rPr>
        <w:t xml:space="preserve"> Vienna Convention, Art. 21(1).</w:t>
      </w:r>
    </w:p>
  </w:footnote>
  <w:footnote w:id="232">
    <w:p w14:paraId="6EA2B329" w14:textId="3A702E7F" w:rsidR="001A5BF9" w:rsidRPr="00B4248F" w:rsidRDefault="001A5BF9" w:rsidP="002B1A7D">
      <w:pPr>
        <w:pStyle w:val="FootnoteText"/>
        <w:rPr>
          <w:rFonts w:ascii="Arial" w:hAnsi="Arial" w:cs="Arial"/>
          <w:sz w:val="20"/>
          <w:szCs w:val="20"/>
          <w:lang w:val="en-US"/>
        </w:rPr>
      </w:pPr>
      <w:r w:rsidRPr="00B4248F">
        <w:rPr>
          <w:rStyle w:val="FootnoteReference"/>
          <w:rFonts w:ascii="Arial" w:hAnsi="Arial" w:cs="Arial"/>
          <w:sz w:val="20"/>
          <w:szCs w:val="20"/>
        </w:rPr>
        <w:footnoteRef/>
      </w:r>
      <w:r w:rsidRPr="00B4248F">
        <w:rPr>
          <w:rFonts w:ascii="Arial" w:hAnsi="Arial" w:cs="Arial"/>
          <w:sz w:val="20"/>
          <w:szCs w:val="20"/>
        </w:rPr>
        <w:t xml:space="preserve"> Vienna Convention, Art. 20.</w:t>
      </w:r>
    </w:p>
  </w:footnote>
  <w:footnote w:id="233">
    <w:p w14:paraId="2A001E22" w14:textId="37BE3D6A" w:rsidR="001A5BF9" w:rsidRPr="001842DF" w:rsidRDefault="001A5BF9" w:rsidP="00E665F5">
      <w:pPr>
        <w:pStyle w:val="FootnoteText"/>
        <w:rPr>
          <w:lang w:val="en-US"/>
        </w:rPr>
      </w:pPr>
      <w:r w:rsidRPr="00B4248F">
        <w:rPr>
          <w:rStyle w:val="FootnoteReference"/>
          <w:rFonts w:ascii="Arial" w:hAnsi="Arial" w:cs="Arial"/>
          <w:sz w:val="20"/>
          <w:szCs w:val="20"/>
        </w:rPr>
        <w:footnoteRef/>
      </w:r>
      <w:r w:rsidRPr="00B4248F">
        <w:rPr>
          <w:rFonts w:ascii="Arial" w:hAnsi="Arial" w:cs="Arial"/>
          <w:sz w:val="20"/>
          <w:szCs w:val="20"/>
        </w:rPr>
        <w:t xml:space="preserve"> Vienna Convention, Art. 19(c).</w:t>
      </w:r>
    </w:p>
  </w:footnote>
  <w:footnote w:id="234">
    <w:p w14:paraId="668A85D3" w14:textId="43F5F156" w:rsidR="001A5BF9" w:rsidRPr="008D42F2" w:rsidRDefault="001A5BF9" w:rsidP="00C962FD">
      <w:pPr>
        <w:pStyle w:val="FootnoteText"/>
        <w:rPr>
          <w:lang w:val="en-US"/>
        </w:rPr>
      </w:pPr>
      <w:r w:rsidRPr="008D42F2">
        <w:rPr>
          <w:rStyle w:val="FootnoteReference"/>
          <w:rFonts w:ascii="Arial" w:hAnsi="Arial" w:cs="Arial"/>
          <w:sz w:val="20"/>
          <w:szCs w:val="20"/>
        </w:rPr>
        <w:footnoteRef/>
      </w:r>
      <w:r w:rsidRPr="008D42F2">
        <w:rPr>
          <w:rFonts w:ascii="Arial" w:hAnsi="Arial" w:cs="Arial"/>
          <w:sz w:val="20"/>
          <w:szCs w:val="20"/>
        </w:rPr>
        <w:t xml:space="preserve"> Scheinin</w:t>
      </w:r>
      <w:r w:rsidRPr="00153043">
        <w:rPr>
          <w:rFonts w:ascii="Arial" w:hAnsi="Arial" w:cs="Arial"/>
          <w:sz w:val="20"/>
          <w:szCs w:val="20"/>
        </w:rPr>
        <w:t xml:space="preserve"> (n 72), p </w:t>
      </w:r>
      <w:r>
        <w:rPr>
          <w:rFonts w:ascii="Arial" w:hAnsi="Arial" w:cs="Arial"/>
          <w:sz w:val="20"/>
          <w:szCs w:val="20"/>
        </w:rPr>
        <w:t>45.</w:t>
      </w:r>
    </w:p>
  </w:footnote>
  <w:footnote w:id="235">
    <w:p w14:paraId="111828BA" w14:textId="380E6C22" w:rsidR="001A5BF9" w:rsidRPr="00BD1AFB" w:rsidRDefault="001A5BF9" w:rsidP="00576132">
      <w:pPr>
        <w:pStyle w:val="FootnoteText"/>
        <w:rPr>
          <w:lang w:val="en-US"/>
        </w:rPr>
      </w:pPr>
      <w:r w:rsidRPr="00BD1AFB">
        <w:rPr>
          <w:rStyle w:val="FootnoteReference"/>
          <w:rFonts w:ascii="Arial" w:hAnsi="Arial" w:cs="Arial"/>
          <w:sz w:val="20"/>
          <w:szCs w:val="20"/>
        </w:rPr>
        <w:footnoteRef/>
      </w:r>
      <w:r w:rsidRPr="00BD1AFB">
        <w:rPr>
          <w:rFonts w:ascii="Arial" w:hAnsi="Arial" w:cs="Arial"/>
          <w:sz w:val="20"/>
          <w:szCs w:val="20"/>
        </w:rPr>
        <w:t xml:space="preserve"> </w:t>
      </w:r>
      <w:r w:rsidRPr="00ED065C">
        <w:rPr>
          <w:rFonts w:ascii="Arial" w:hAnsi="Arial" w:cs="Arial"/>
          <w:sz w:val="20"/>
          <w:szCs w:val="20"/>
        </w:rPr>
        <w:t xml:space="preserve">M. Milanovic &amp; </w:t>
      </w:r>
      <w:r w:rsidRPr="00ED065C">
        <w:rPr>
          <w:rFonts w:ascii="Arial" w:hAnsi="Arial" w:cs="Arial"/>
          <w:sz w:val="20"/>
          <w:szCs w:val="20"/>
          <w:lang w:val="en-US"/>
        </w:rPr>
        <w:t xml:space="preserve">L-A. </w:t>
      </w:r>
      <w:r w:rsidRPr="005F18D0">
        <w:rPr>
          <w:rFonts w:ascii="Arial" w:hAnsi="Arial" w:cs="Arial"/>
          <w:sz w:val="20"/>
          <w:szCs w:val="20"/>
          <w:lang w:val="en-US"/>
        </w:rPr>
        <w:t>Sicilianos (n 40),</w:t>
      </w:r>
      <w:r>
        <w:rPr>
          <w:rFonts w:ascii="Arial" w:hAnsi="Arial" w:cs="Arial"/>
          <w:sz w:val="20"/>
          <w:szCs w:val="20"/>
          <w:lang w:val="en-US"/>
        </w:rPr>
        <w:t xml:space="preserve"> at 1056</w:t>
      </w:r>
      <w:r w:rsidRPr="003C2C5A">
        <w:rPr>
          <w:rFonts w:ascii="Arial" w:hAnsi="Arial" w:cs="Arial"/>
          <w:sz w:val="20"/>
          <w:szCs w:val="20"/>
          <w:lang w:val="en-US"/>
        </w:rPr>
        <w:t>.</w:t>
      </w:r>
    </w:p>
  </w:footnote>
  <w:footnote w:id="236">
    <w:p w14:paraId="66DF20BD" w14:textId="661478C0" w:rsidR="001A5BF9" w:rsidRPr="00933D40" w:rsidRDefault="001A5BF9" w:rsidP="00BA4C7F">
      <w:pPr>
        <w:pStyle w:val="FootnoteText"/>
        <w:rPr>
          <w:rFonts w:ascii="Arial" w:hAnsi="Arial" w:cs="Arial"/>
          <w:sz w:val="20"/>
          <w:szCs w:val="20"/>
          <w:lang w:val="en-US"/>
        </w:rPr>
      </w:pPr>
      <w:r w:rsidRPr="00933D40">
        <w:rPr>
          <w:rStyle w:val="FootnoteReference"/>
          <w:rFonts w:ascii="Arial" w:hAnsi="Arial" w:cs="Arial"/>
          <w:sz w:val="20"/>
          <w:szCs w:val="20"/>
        </w:rPr>
        <w:footnoteRef/>
      </w:r>
      <w:r w:rsidRPr="00933D40">
        <w:rPr>
          <w:rFonts w:ascii="Arial" w:hAnsi="Arial" w:cs="Arial"/>
          <w:sz w:val="20"/>
          <w:szCs w:val="20"/>
        </w:rPr>
        <w:t xml:space="preserve"> </w:t>
      </w:r>
      <w:r w:rsidRPr="00933D40">
        <w:rPr>
          <w:rFonts w:ascii="Arial" w:hAnsi="Arial" w:cs="Arial"/>
          <w:i/>
          <w:iCs/>
          <w:sz w:val="20"/>
          <w:szCs w:val="20"/>
          <w:lang w:val="en-US"/>
        </w:rPr>
        <w:t>Reservations to the Genocide Convention</w:t>
      </w:r>
      <w:r>
        <w:rPr>
          <w:rFonts w:ascii="Arial" w:hAnsi="Arial" w:cs="Arial"/>
          <w:sz w:val="20"/>
          <w:szCs w:val="20"/>
          <w:lang w:val="en-US"/>
        </w:rPr>
        <w:t xml:space="preserve"> </w:t>
      </w:r>
      <w:r w:rsidRPr="004C788F">
        <w:rPr>
          <w:rFonts w:ascii="Arial" w:hAnsi="Arial" w:cs="Arial"/>
          <w:iCs/>
          <w:sz w:val="20"/>
          <w:szCs w:val="20"/>
          <w:lang w:val="en-US"/>
        </w:rPr>
        <w:t>(n 21)</w:t>
      </w:r>
      <w:r w:rsidRPr="004C788F">
        <w:rPr>
          <w:rFonts w:ascii="Arial" w:hAnsi="Arial" w:cs="Arial"/>
          <w:sz w:val="20"/>
          <w:szCs w:val="20"/>
          <w:lang w:val="en-US"/>
        </w:rPr>
        <w:t>,</w:t>
      </w:r>
      <w:r w:rsidRPr="00933D40">
        <w:rPr>
          <w:rFonts w:ascii="Arial" w:hAnsi="Arial" w:cs="Arial"/>
          <w:sz w:val="20"/>
          <w:szCs w:val="20"/>
          <w:lang w:val="en-US"/>
        </w:rPr>
        <w:t xml:space="preserve"> at 24: ‘The object and purpose of the Convention thus limit both the freedom of making reservations and that of objecting to them. It follows that it is the compatibility of a reservation with the object and purpose of the Convention that must furnish the criterion for the attitude of a State in making the reservation on accession as well as for the appraisal by a State in objecting to the reservation. Such is the rule of conduct which must guide every State in the appraisal which it must make, individually and from its own standpoint, of the admissibility of any reservation. Any other view would lead either to the acceptance of reservations which frustrate the purposes which the General Assembly and the contracting parties had in mind, or to recognition that the parties to the Convention have the power of excluding from it the author of a reservation, even a minor one, which may be quite compatible with those purposes.’  </w:t>
      </w:r>
    </w:p>
  </w:footnote>
  <w:footnote w:id="237">
    <w:p w14:paraId="5CDB6E3B" w14:textId="09D14E62" w:rsidR="001A5BF9" w:rsidRPr="008568C7" w:rsidRDefault="001A5BF9" w:rsidP="001F59CC">
      <w:pPr>
        <w:pStyle w:val="FootnoteText"/>
        <w:rPr>
          <w:rFonts w:ascii="Arial" w:hAnsi="Arial" w:cs="Arial"/>
          <w:sz w:val="20"/>
          <w:szCs w:val="20"/>
          <w:lang w:val="en-US"/>
        </w:rPr>
      </w:pPr>
      <w:r w:rsidRPr="008568C7">
        <w:rPr>
          <w:rStyle w:val="FootnoteReference"/>
          <w:rFonts w:ascii="Arial" w:hAnsi="Arial" w:cs="Arial"/>
          <w:sz w:val="20"/>
          <w:szCs w:val="20"/>
        </w:rPr>
        <w:footnoteRef/>
      </w:r>
      <w:r w:rsidRPr="008568C7">
        <w:rPr>
          <w:rFonts w:ascii="Arial" w:hAnsi="Arial" w:cs="Arial"/>
          <w:sz w:val="20"/>
          <w:szCs w:val="20"/>
        </w:rPr>
        <w:t xml:space="preserve"> </w:t>
      </w:r>
      <w:r>
        <w:rPr>
          <w:rFonts w:ascii="Arial" w:hAnsi="Arial" w:cs="Arial"/>
          <w:sz w:val="20"/>
          <w:szCs w:val="20"/>
          <w:lang w:val="en-US"/>
        </w:rPr>
        <w:t xml:space="preserve">The </w:t>
      </w:r>
      <w:r w:rsidRPr="001F59CC">
        <w:rPr>
          <w:rFonts w:ascii="Arial" w:hAnsi="Arial" w:cs="Arial"/>
          <w:sz w:val="20"/>
          <w:szCs w:val="20"/>
          <w:lang w:val="en-US"/>
        </w:rPr>
        <w:t xml:space="preserve">Convention on the Elimination of All Forms </w:t>
      </w:r>
      <w:r>
        <w:rPr>
          <w:rFonts w:ascii="Arial" w:hAnsi="Arial" w:cs="Arial"/>
          <w:sz w:val="20"/>
          <w:szCs w:val="20"/>
          <w:lang w:val="en-US"/>
        </w:rPr>
        <w:t xml:space="preserve">of Racial Discrimination </w:t>
      </w:r>
      <w:r w:rsidRPr="005F49AF">
        <w:rPr>
          <w:rFonts w:ascii="Arial" w:hAnsi="Arial" w:cs="Arial"/>
          <w:sz w:val="20"/>
          <w:szCs w:val="20"/>
        </w:rPr>
        <w:t>UNTS 660,</w:t>
      </w:r>
      <w:r>
        <w:rPr>
          <w:rFonts w:ascii="Arial" w:hAnsi="Arial" w:cs="Arial"/>
        </w:rPr>
        <w:t xml:space="preserve"> </w:t>
      </w:r>
      <w:r>
        <w:rPr>
          <w:rFonts w:ascii="Arial" w:hAnsi="Arial" w:cs="Arial"/>
          <w:sz w:val="20"/>
          <w:szCs w:val="20"/>
          <w:lang w:val="en-US"/>
        </w:rPr>
        <w:t>Art. 20(2).</w:t>
      </w:r>
    </w:p>
  </w:footnote>
  <w:footnote w:id="238">
    <w:p w14:paraId="08CE59D1" w14:textId="5728DF1B" w:rsidR="001A5BF9" w:rsidRPr="00CD4B20" w:rsidRDefault="001A5BF9">
      <w:pPr>
        <w:pStyle w:val="FootnoteText"/>
        <w:rPr>
          <w:rFonts w:ascii="Arial" w:hAnsi="Arial" w:cs="Arial"/>
          <w:sz w:val="20"/>
          <w:szCs w:val="20"/>
          <w:lang w:val="en-US"/>
        </w:rPr>
      </w:pPr>
      <w:r w:rsidRPr="00CD4B20">
        <w:rPr>
          <w:rStyle w:val="FootnoteReference"/>
          <w:rFonts w:ascii="Arial" w:hAnsi="Arial" w:cs="Arial"/>
          <w:sz w:val="20"/>
          <w:szCs w:val="20"/>
        </w:rPr>
        <w:footnoteRef/>
      </w:r>
      <w:r w:rsidRPr="00CD4B20">
        <w:rPr>
          <w:rFonts w:ascii="Arial" w:hAnsi="Arial" w:cs="Arial"/>
          <w:sz w:val="20"/>
          <w:szCs w:val="20"/>
        </w:rPr>
        <w:t xml:space="preserve"> </w:t>
      </w:r>
      <w:r w:rsidRPr="00C143BB">
        <w:rPr>
          <w:rFonts w:ascii="Arial" w:hAnsi="Arial" w:cs="Arial"/>
          <w:i/>
          <w:sz w:val="20"/>
          <w:szCs w:val="20"/>
        </w:rPr>
        <w:t xml:space="preserve">General Comment </w:t>
      </w:r>
      <w:r>
        <w:rPr>
          <w:rFonts w:ascii="Arial" w:hAnsi="Arial" w:cs="Arial"/>
          <w:i/>
          <w:sz w:val="20"/>
          <w:szCs w:val="20"/>
        </w:rPr>
        <w:t xml:space="preserve">No. </w:t>
      </w:r>
      <w:r w:rsidRPr="00AC298D">
        <w:rPr>
          <w:rFonts w:ascii="Arial" w:hAnsi="Arial" w:cs="Arial"/>
          <w:i/>
          <w:sz w:val="20"/>
          <w:szCs w:val="20"/>
        </w:rPr>
        <w:t>24</w:t>
      </w:r>
      <w:r w:rsidRPr="00AC298D">
        <w:rPr>
          <w:rFonts w:ascii="Arial" w:hAnsi="Arial" w:cs="Arial"/>
          <w:sz w:val="20"/>
          <w:szCs w:val="20"/>
        </w:rPr>
        <w:t xml:space="preserve"> (n 67).</w:t>
      </w:r>
    </w:p>
  </w:footnote>
  <w:footnote w:id="239">
    <w:p w14:paraId="18F7E335" w14:textId="77777777" w:rsidR="001A5BF9" w:rsidRPr="00E55A88" w:rsidRDefault="001A5BF9" w:rsidP="00576132">
      <w:pPr>
        <w:pStyle w:val="FootnoteText"/>
        <w:rPr>
          <w:rFonts w:ascii="Arial" w:hAnsi="Arial"/>
          <w:sz w:val="20"/>
          <w:szCs w:val="20"/>
          <w:lang w:val="en-US"/>
        </w:rPr>
      </w:pPr>
      <w:r w:rsidRPr="00E55A88">
        <w:rPr>
          <w:rStyle w:val="FootnoteReference"/>
          <w:rFonts w:ascii="Arial" w:hAnsi="Arial"/>
          <w:sz w:val="20"/>
          <w:szCs w:val="20"/>
        </w:rPr>
        <w:footnoteRef/>
      </w:r>
      <w:r>
        <w:rPr>
          <w:rFonts w:ascii="Arial" w:hAnsi="Arial"/>
          <w:sz w:val="20"/>
          <w:szCs w:val="20"/>
        </w:rPr>
        <w:t xml:space="preserve"> A. </w:t>
      </w:r>
      <w:r w:rsidRPr="00032173">
        <w:rPr>
          <w:rFonts w:ascii="Arial" w:hAnsi="Arial"/>
          <w:sz w:val="20"/>
          <w:szCs w:val="20"/>
          <w:lang w:val="en-US"/>
        </w:rPr>
        <w:t>Pellet, ‘The ILC Guide to Practice on Reservations to Treaties: A General Presenta</w:t>
      </w:r>
      <w:r>
        <w:rPr>
          <w:rFonts w:ascii="Arial" w:hAnsi="Arial"/>
          <w:sz w:val="20"/>
          <w:szCs w:val="20"/>
          <w:lang w:val="en-US"/>
        </w:rPr>
        <w:t xml:space="preserve">tion by the Special Rapporteur’, </w:t>
      </w:r>
      <w:r w:rsidRPr="00032173">
        <w:rPr>
          <w:rFonts w:ascii="Arial" w:hAnsi="Arial"/>
          <w:i/>
          <w:iCs/>
          <w:sz w:val="20"/>
          <w:szCs w:val="20"/>
          <w:lang w:val="en-US"/>
        </w:rPr>
        <w:t xml:space="preserve">EJIL </w:t>
      </w:r>
      <w:r>
        <w:rPr>
          <w:rFonts w:ascii="Arial" w:hAnsi="Arial"/>
          <w:sz w:val="20"/>
          <w:szCs w:val="20"/>
          <w:lang w:val="en-US"/>
        </w:rPr>
        <w:t>24:4 (2013)</w:t>
      </w:r>
      <w:r>
        <w:rPr>
          <w:rFonts w:ascii="Arial" w:hAnsi="Arial"/>
          <w:sz w:val="20"/>
          <w:szCs w:val="20"/>
        </w:rPr>
        <w:t>, at 1061, 1079.</w:t>
      </w:r>
    </w:p>
  </w:footnote>
  <w:footnote w:id="240">
    <w:p w14:paraId="78D414FC" w14:textId="581DD944" w:rsidR="001A5BF9" w:rsidRPr="00ED065C" w:rsidRDefault="001A5BF9" w:rsidP="00576132">
      <w:pPr>
        <w:pStyle w:val="FootnoteText"/>
        <w:rPr>
          <w:rFonts w:ascii="Arial" w:hAnsi="Arial" w:cs="Arial"/>
          <w:sz w:val="20"/>
          <w:szCs w:val="20"/>
          <w:lang w:val="en-US"/>
        </w:rPr>
      </w:pPr>
      <w:r w:rsidRPr="00ED065C">
        <w:rPr>
          <w:rStyle w:val="FootnoteReference"/>
          <w:rFonts w:ascii="Arial" w:hAnsi="Arial" w:cs="Arial"/>
          <w:sz w:val="20"/>
          <w:szCs w:val="20"/>
        </w:rPr>
        <w:footnoteRef/>
      </w:r>
      <w:r w:rsidRPr="00ED065C">
        <w:rPr>
          <w:rFonts w:ascii="Arial" w:hAnsi="Arial" w:cs="Arial"/>
          <w:sz w:val="20"/>
          <w:szCs w:val="20"/>
        </w:rPr>
        <w:t xml:space="preserve"> M. Milanovic &amp; </w:t>
      </w:r>
      <w:r w:rsidRPr="00ED065C">
        <w:rPr>
          <w:rFonts w:ascii="Arial" w:hAnsi="Arial" w:cs="Arial"/>
          <w:sz w:val="20"/>
          <w:szCs w:val="20"/>
          <w:lang w:val="en-US"/>
        </w:rPr>
        <w:t>L-A. Sicilianos</w:t>
      </w:r>
      <w:r>
        <w:rPr>
          <w:rFonts w:ascii="Arial" w:hAnsi="Arial" w:cs="Arial"/>
          <w:sz w:val="20"/>
          <w:szCs w:val="20"/>
          <w:lang w:val="en-US"/>
        </w:rPr>
        <w:t xml:space="preserve"> </w:t>
      </w:r>
      <w:r w:rsidRPr="005F18D0">
        <w:rPr>
          <w:rFonts w:ascii="Arial" w:hAnsi="Arial" w:cs="Arial"/>
          <w:sz w:val="20"/>
          <w:szCs w:val="20"/>
          <w:lang w:val="en-US"/>
        </w:rPr>
        <w:t>(n 40), at</w:t>
      </w:r>
      <w:r w:rsidRPr="003C2C5A">
        <w:rPr>
          <w:rFonts w:ascii="Arial" w:hAnsi="Arial" w:cs="Arial"/>
          <w:sz w:val="20"/>
          <w:szCs w:val="20"/>
          <w:lang w:val="en-US"/>
        </w:rPr>
        <w:t xml:space="preserve"> 1057.</w:t>
      </w:r>
    </w:p>
  </w:footnote>
  <w:footnote w:id="241">
    <w:p w14:paraId="7B35F23E" w14:textId="77777777" w:rsidR="001A5BF9" w:rsidRPr="0047477A" w:rsidRDefault="001A5BF9" w:rsidP="00576132">
      <w:pPr>
        <w:pStyle w:val="FootnoteText"/>
        <w:rPr>
          <w:rFonts w:ascii="Arial" w:hAnsi="Arial" w:cs="Arial"/>
          <w:sz w:val="20"/>
          <w:szCs w:val="20"/>
          <w:lang w:val="en-US"/>
        </w:rPr>
      </w:pPr>
      <w:r w:rsidRPr="0047477A">
        <w:rPr>
          <w:rStyle w:val="FootnoteReference"/>
          <w:rFonts w:ascii="Arial" w:hAnsi="Arial" w:cs="Arial"/>
          <w:sz w:val="20"/>
          <w:szCs w:val="20"/>
        </w:rPr>
        <w:footnoteRef/>
      </w:r>
      <w:r w:rsidRPr="0047477A">
        <w:rPr>
          <w:rFonts w:ascii="Arial" w:hAnsi="Arial" w:cs="Arial"/>
          <w:sz w:val="20"/>
          <w:szCs w:val="20"/>
        </w:rPr>
        <w:t xml:space="preserve"> </w:t>
      </w:r>
      <w:r>
        <w:rPr>
          <w:rFonts w:ascii="Arial" w:hAnsi="Arial" w:cs="Arial"/>
          <w:sz w:val="20"/>
          <w:szCs w:val="20"/>
        </w:rPr>
        <w:t>Ibid, at 1058.</w:t>
      </w:r>
    </w:p>
  </w:footnote>
  <w:footnote w:id="242">
    <w:p w14:paraId="35FD7CD4" w14:textId="759D889C" w:rsidR="001A5BF9" w:rsidRPr="00BC3499" w:rsidRDefault="001A5BF9" w:rsidP="003C1F0A">
      <w:pPr>
        <w:pStyle w:val="FootnoteText"/>
        <w:rPr>
          <w:rFonts w:ascii="Arial" w:hAnsi="Arial" w:cs="Arial"/>
          <w:sz w:val="20"/>
          <w:szCs w:val="20"/>
          <w:lang w:val="en-US"/>
        </w:rPr>
      </w:pPr>
      <w:r w:rsidRPr="00BC3499">
        <w:rPr>
          <w:rStyle w:val="FootnoteReference"/>
          <w:rFonts w:ascii="Arial" w:hAnsi="Arial" w:cs="Arial"/>
          <w:sz w:val="20"/>
          <w:szCs w:val="20"/>
        </w:rPr>
        <w:footnoteRef/>
      </w:r>
      <w:r w:rsidRPr="00BC3499">
        <w:rPr>
          <w:rFonts w:ascii="Arial" w:hAnsi="Arial" w:cs="Arial"/>
          <w:sz w:val="20"/>
          <w:szCs w:val="20"/>
        </w:rPr>
        <w:t xml:space="preserve"> </w:t>
      </w:r>
      <w:r>
        <w:rPr>
          <w:rFonts w:ascii="Arial" w:hAnsi="Arial" w:cs="Arial"/>
          <w:sz w:val="20"/>
          <w:szCs w:val="20"/>
        </w:rPr>
        <w:t xml:space="preserve">ILC Guide, </w:t>
      </w:r>
      <w:r w:rsidRPr="0047477A">
        <w:rPr>
          <w:rFonts w:ascii="Arial" w:hAnsi="Arial" w:cs="Arial"/>
          <w:sz w:val="20"/>
          <w:szCs w:val="20"/>
          <w:lang w:val="en-US"/>
        </w:rPr>
        <w:t>Guideline 3.</w:t>
      </w:r>
      <w:r>
        <w:rPr>
          <w:rFonts w:ascii="Arial" w:hAnsi="Arial" w:cs="Arial"/>
          <w:sz w:val="20"/>
          <w:szCs w:val="20"/>
          <w:lang w:val="en-US"/>
        </w:rPr>
        <w:t>4</w:t>
      </w:r>
      <w:r w:rsidRPr="0047477A">
        <w:rPr>
          <w:rFonts w:ascii="Arial" w:hAnsi="Arial" w:cs="Arial"/>
          <w:sz w:val="20"/>
          <w:szCs w:val="20"/>
          <w:lang w:val="en-US"/>
        </w:rPr>
        <w:t>.</w:t>
      </w:r>
      <w:r>
        <w:rPr>
          <w:rFonts w:ascii="Arial" w:hAnsi="Arial" w:cs="Arial"/>
          <w:sz w:val="20"/>
          <w:szCs w:val="20"/>
          <w:lang w:val="en-US"/>
        </w:rPr>
        <w:t>2.</w:t>
      </w:r>
      <w:r w:rsidRPr="00BC3499">
        <w:rPr>
          <w:rFonts w:ascii="Arial" w:hAnsi="Arial" w:cs="Arial"/>
          <w:sz w:val="20"/>
          <w:szCs w:val="20"/>
          <w:lang w:val="en-US"/>
        </w:rPr>
        <w:t xml:space="preserve"> </w:t>
      </w:r>
    </w:p>
  </w:footnote>
  <w:footnote w:id="243">
    <w:p w14:paraId="122CE37A" w14:textId="6309D8F5" w:rsidR="001A5BF9" w:rsidRPr="00065C1C" w:rsidRDefault="001A5BF9">
      <w:pPr>
        <w:pStyle w:val="FootnoteText"/>
        <w:rPr>
          <w:rFonts w:ascii="Arial" w:hAnsi="Arial" w:cs="Arial"/>
          <w:sz w:val="20"/>
          <w:szCs w:val="20"/>
          <w:lang w:val="en-US"/>
        </w:rPr>
      </w:pPr>
      <w:r w:rsidRPr="00065C1C">
        <w:rPr>
          <w:rStyle w:val="FootnoteReference"/>
          <w:rFonts w:ascii="Arial" w:hAnsi="Arial" w:cs="Arial"/>
          <w:sz w:val="20"/>
          <w:szCs w:val="20"/>
        </w:rPr>
        <w:footnoteRef/>
      </w:r>
      <w:r w:rsidRPr="00065C1C">
        <w:rPr>
          <w:rFonts w:ascii="Arial" w:hAnsi="Arial" w:cs="Arial"/>
          <w:sz w:val="20"/>
          <w:szCs w:val="20"/>
        </w:rPr>
        <w:t xml:space="preserve"> See ILC Guide 2011, Annex: Conclusions on the Reservations Dialogue.</w:t>
      </w:r>
    </w:p>
  </w:footnote>
  <w:footnote w:id="244">
    <w:p w14:paraId="5F9B2789" w14:textId="77777777" w:rsidR="001A5BF9" w:rsidRPr="0047477A" w:rsidRDefault="001A5BF9" w:rsidP="00576132">
      <w:pPr>
        <w:pStyle w:val="FootnoteText"/>
        <w:rPr>
          <w:rFonts w:ascii="Arial" w:hAnsi="Arial" w:cs="Arial"/>
          <w:sz w:val="20"/>
          <w:szCs w:val="20"/>
          <w:lang w:val="en-US"/>
        </w:rPr>
      </w:pPr>
      <w:r w:rsidRPr="0047477A">
        <w:rPr>
          <w:rStyle w:val="FootnoteReference"/>
          <w:rFonts w:ascii="Arial" w:hAnsi="Arial" w:cs="Arial"/>
          <w:sz w:val="20"/>
          <w:szCs w:val="20"/>
        </w:rPr>
        <w:footnoteRef/>
      </w:r>
      <w:r w:rsidRPr="0047477A">
        <w:rPr>
          <w:rFonts w:ascii="Arial" w:hAnsi="Arial" w:cs="Arial"/>
          <w:sz w:val="20"/>
          <w:szCs w:val="20"/>
        </w:rPr>
        <w:t xml:space="preserve"> </w:t>
      </w:r>
      <w:r>
        <w:rPr>
          <w:rFonts w:ascii="Arial" w:hAnsi="Arial" w:cs="Arial"/>
          <w:sz w:val="20"/>
          <w:szCs w:val="20"/>
        </w:rPr>
        <w:t xml:space="preserve">ILC Guide, </w:t>
      </w:r>
      <w:r w:rsidRPr="0047477A">
        <w:rPr>
          <w:rFonts w:ascii="Arial" w:hAnsi="Arial" w:cs="Arial"/>
          <w:sz w:val="20"/>
          <w:szCs w:val="20"/>
          <w:lang w:val="en-US"/>
        </w:rPr>
        <w:t xml:space="preserve">Guideline 3.2.1. </w:t>
      </w:r>
      <w:r>
        <w:rPr>
          <w:rFonts w:ascii="Arial" w:hAnsi="Arial" w:cs="Arial"/>
          <w:sz w:val="20"/>
          <w:szCs w:val="20"/>
          <w:lang w:val="en-US"/>
        </w:rPr>
        <w:t>See also</w:t>
      </w:r>
      <w:r w:rsidRPr="0047477A">
        <w:rPr>
          <w:rFonts w:ascii="Arial" w:hAnsi="Arial" w:cs="Arial"/>
          <w:sz w:val="20"/>
          <w:szCs w:val="20"/>
          <w:lang w:val="en-US"/>
        </w:rPr>
        <w:t xml:space="preserve"> K.L. McCall-Smith, ‘Reservations and the Determinative Function of the Human Rights Treaty Bodies’, 54 </w:t>
      </w:r>
      <w:r>
        <w:rPr>
          <w:rFonts w:ascii="Arial" w:hAnsi="Arial" w:cs="Arial"/>
          <w:i/>
          <w:iCs/>
          <w:sz w:val="20"/>
          <w:szCs w:val="20"/>
          <w:lang w:val="en-US"/>
        </w:rPr>
        <w:t>GYIL</w:t>
      </w:r>
      <w:r w:rsidRPr="0047477A">
        <w:rPr>
          <w:rFonts w:ascii="Arial" w:hAnsi="Arial" w:cs="Arial"/>
          <w:i/>
          <w:iCs/>
          <w:sz w:val="20"/>
          <w:szCs w:val="20"/>
          <w:lang w:val="en-US"/>
        </w:rPr>
        <w:t xml:space="preserve"> </w:t>
      </w:r>
      <w:r w:rsidRPr="0047477A">
        <w:rPr>
          <w:rFonts w:ascii="Arial" w:hAnsi="Arial" w:cs="Arial"/>
          <w:sz w:val="20"/>
          <w:szCs w:val="20"/>
          <w:lang w:val="en-US"/>
        </w:rPr>
        <w:t>(2012) 521.  </w:t>
      </w:r>
    </w:p>
  </w:footnote>
  <w:footnote w:id="245">
    <w:p w14:paraId="5E48AC14" w14:textId="77777777" w:rsidR="001A5BF9" w:rsidRPr="009F39DB" w:rsidRDefault="001A5BF9" w:rsidP="00576132">
      <w:pPr>
        <w:pStyle w:val="FootnoteText"/>
        <w:rPr>
          <w:rFonts w:ascii="Arial" w:hAnsi="Arial" w:cs="Arial"/>
          <w:sz w:val="20"/>
          <w:szCs w:val="20"/>
          <w:lang w:val="en-US"/>
        </w:rPr>
      </w:pPr>
      <w:r w:rsidRPr="009F39DB">
        <w:rPr>
          <w:rStyle w:val="FootnoteReference"/>
          <w:rFonts w:ascii="Arial" w:hAnsi="Arial" w:cs="Arial"/>
          <w:sz w:val="20"/>
          <w:szCs w:val="20"/>
        </w:rPr>
        <w:footnoteRef/>
      </w:r>
      <w:r w:rsidRPr="009F39DB">
        <w:rPr>
          <w:rFonts w:ascii="Arial" w:hAnsi="Arial" w:cs="Arial"/>
          <w:sz w:val="20"/>
          <w:szCs w:val="20"/>
        </w:rPr>
        <w:t xml:space="preserve"> </w:t>
      </w:r>
      <w:r>
        <w:rPr>
          <w:rFonts w:ascii="Arial" w:hAnsi="Arial" w:cs="Arial"/>
          <w:sz w:val="20"/>
          <w:szCs w:val="20"/>
        </w:rPr>
        <w:t xml:space="preserve">ILC Guide, </w:t>
      </w:r>
      <w:r w:rsidRPr="009F39DB">
        <w:rPr>
          <w:rFonts w:ascii="Arial" w:hAnsi="Arial" w:cs="Arial"/>
          <w:sz w:val="20"/>
          <w:szCs w:val="20"/>
          <w:lang w:val="en-US"/>
        </w:rPr>
        <w:t>Guideline 4.5.3.4.  </w:t>
      </w:r>
    </w:p>
  </w:footnote>
  <w:footnote w:id="246">
    <w:p w14:paraId="33A5B0EC" w14:textId="77777777" w:rsidR="001A5BF9" w:rsidRPr="00F748D0" w:rsidRDefault="001A5BF9" w:rsidP="00A5218F">
      <w:pPr>
        <w:pStyle w:val="FootnoteText"/>
        <w:rPr>
          <w:rFonts w:ascii="Arial" w:hAnsi="Arial" w:cs="Arial"/>
          <w:sz w:val="20"/>
          <w:szCs w:val="20"/>
          <w:lang w:val="en-US"/>
        </w:rPr>
      </w:pPr>
      <w:r w:rsidRPr="00F748D0">
        <w:rPr>
          <w:rStyle w:val="FootnoteReference"/>
          <w:rFonts w:ascii="Arial" w:hAnsi="Arial" w:cs="Arial"/>
          <w:sz w:val="20"/>
          <w:szCs w:val="20"/>
        </w:rPr>
        <w:footnoteRef/>
      </w:r>
      <w:r w:rsidRPr="00F748D0">
        <w:rPr>
          <w:rFonts w:ascii="Arial" w:hAnsi="Arial" w:cs="Arial"/>
          <w:sz w:val="20"/>
          <w:szCs w:val="20"/>
        </w:rPr>
        <w:t xml:space="preserve"> </w:t>
      </w:r>
      <w:r w:rsidRPr="00025D92">
        <w:rPr>
          <w:rFonts w:ascii="Arial" w:hAnsi="Arial" w:cs="Arial"/>
          <w:sz w:val="20"/>
          <w:szCs w:val="20"/>
          <w:lang w:val="en-US"/>
        </w:rPr>
        <w:t>Recommendation No. R (99) 13 of the Committee of Ministers to member states on responses to inadmissible reservations to international treaties, adopted on 18 May 1999. The background to the Council of Europe’s interest is sketched in F</w:t>
      </w:r>
      <w:r>
        <w:rPr>
          <w:rFonts w:ascii="Arial" w:hAnsi="Arial" w:cs="Arial"/>
          <w:sz w:val="20"/>
          <w:szCs w:val="20"/>
          <w:lang w:val="en-US"/>
        </w:rPr>
        <w:t>.</w:t>
      </w:r>
      <w:r w:rsidRPr="00025D92">
        <w:rPr>
          <w:rFonts w:ascii="Arial" w:hAnsi="Arial" w:cs="Arial"/>
          <w:sz w:val="20"/>
          <w:szCs w:val="20"/>
          <w:lang w:val="en-US"/>
        </w:rPr>
        <w:t xml:space="preserve"> Cede, “European Responses to Questionable Reservations”, in W</w:t>
      </w:r>
      <w:r>
        <w:rPr>
          <w:rFonts w:ascii="Arial" w:hAnsi="Arial" w:cs="Arial"/>
          <w:sz w:val="20"/>
          <w:szCs w:val="20"/>
          <w:lang w:val="en-US"/>
        </w:rPr>
        <w:t>.</w:t>
      </w:r>
      <w:r w:rsidRPr="00025D92">
        <w:rPr>
          <w:rFonts w:ascii="Arial" w:hAnsi="Arial" w:cs="Arial"/>
          <w:sz w:val="20"/>
          <w:szCs w:val="20"/>
          <w:lang w:val="en-US"/>
        </w:rPr>
        <w:t xml:space="preserve"> Benedek et al. (eds.), </w:t>
      </w:r>
      <w:r w:rsidRPr="00025D92">
        <w:rPr>
          <w:rFonts w:ascii="Arial" w:hAnsi="Arial" w:cs="Arial"/>
          <w:i/>
          <w:iCs/>
          <w:sz w:val="20"/>
          <w:szCs w:val="20"/>
          <w:lang w:val="en-US"/>
        </w:rPr>
        <w:t xml:space="preserve">Development and Developing International and European Law: Essays in Honour of Konrad Ginther on the Occasion of his 65th Birthday </w:t>
      </w:r>
      <w:r w:rsidRPr="00025D92">
        <w:rPr>
          <w:rFonts w:ascii="Arial" w:hAnsi="Arial" w:cs="Arial"/>
          <w:sz w:val="20"/>
          <w:szCs w:val="20"/>
          <w:lang w:val="en-US"/>
        </w:rPr>
        <w:t>(Peter Lang, Fr</w:t>
      </w:r>
      <w:r>
        <w:rPr>
          <w:rFonts w:ascii="Arial" w:hAnsi="Arial" w:cs="Arial"/>
          <w:sz w:val="20"/>
          <w:szCs w:val="20"/>
          <w:lang w:val="en-US"/>
        </w:rPr>
        <w:t>ankfurt am Main, 1999), at 27.</w:t>
      </w:r>
    </w:p>
  </w:footnote>
  <w:footnote w:id="247">
    <w:p w14:paraId="76810C72" w14:textId="68B870A7" w:rsidR="001A5BF9" w:rsidRPr="00A50E43" w:rsidRDefault="001A5BF9" w:rsidP="00A5218F">
      <w:pPr>
        <w:pStyle w:val="FootnoteText"/>
        <w:rPr>
          <w:rFonts w:ascii="Arial" w:hAnsi="Arial" w:cs="Arial"/>
          <w:sz w:val="20"/>
          <w:szCs w:val="20"/>
          <w:lang w:val="en-US"/>
        </w:rPr>
      </w:pPr>
      <w:r w:rsidRPr="00A50E43">
        <w:rPr>
          <w:rStyle w:val="FootnoteReference"/>
          <w:rFonts w:ascii="Arial" w:hAnsi="Arial" w:cs="Arial"/>
          <w:sz w:val="20"/>
          <w:szCs w:val="20"/>
        </w:rPr>
        <w:footnoteRef/>
      </w:r>
      <w:r w:rsidRPr="00A50E43">
        <w:rPr>
          <w:rFonts w:ascii="Arial" w:hAnsi="Arial" w:cs="Arial"/>
          <w:sz w:val="20"/>
          <w:szCs w:val="20"/>
        </w:rPr>
        <w:t xml:space="preserve"> </w:t>
      </w:r>
      <w:r>
        <w:rPr>
          <w:rFonts w:ascii="Arial" w:hAnsi="Arial" w:cs="Arial"/>
          <w:sz w:val="20"/>
          <w:szCs w:val="20"/>
        </w:rPr>
        <w:t xml:space="preserve">Klabbers </w:t>
      </w:r>
      <w:r w:rsidRPr="005736BB">
        <w:rPr>
          <w:rFonts w:ascii="Arial" w:hAnsi="Arial" w:cs="Arial"/>
          <w:sz w:val="20"/>
          <w:szCs w:val="20"/>
        </w:rPr>
        <w:t>(n 14),</w:t>
      </w:r>
      <w:r>
        <w:rPr>
          <w:rFonts w:ascii="Arial" w:hAnsi="Arial" w:cs="Arial"/>
          <w:sz w:val="20"/>
          <w:szCs w:val="20"/>
        </w:rPr>
        <w:t xml:space="preserve"> p 186.</w:t>
      </w:r>
    </w:p>
  </w:footnote>
  <w:footnote w:id="248">
    <w:p w14:paraId="318F69DF" w14:textId="7C7BD2AC" w:rsidR="001A5BF9" w:rsidRPr="00BC0B2B" w:rsidRDefault="001A5BF9" w:rsidP="00A5218F">
      <w:pPr>
        <w:pStyle w:val="FootnoteText"/>
        <w:rPr>
          <w:rFonts w:ascii="Arial" w:hAnsi="Arial"/>
          <w:sz w:val="20"/>
          <w:szCs w:val="20"/>
          <w:lang w:val="en-US"/>
        </w:rPr>
      </w:pPr>
      <w:r w:rsidRPr="00BC0B2B">
        <w:rPr>
          <w:rStyle w:val="FootnoteReference"/>
          <w:rFonts w:ascii="Arial" w:hAnsi="Arial"/>
          <w:sz w:val="20"/>
          <w:szCs w:val="20"/>
        </w:rPr>
        <w:footnoteRef/>
      </w:r>
      <w:r w:rsidRPr="00BC0B2B">
        <w:rPr>
          <w:rFonts w:ascii="Arial" w:hAnsi="Arial"/>
          <w:sz w:val="20"/>
          <w:szCs w:val="20"/>
        </w:rPr>
        <w:t xml:space="preserve"> </w:t>
      </w:r>
      <w:r w:rsidRPr="00A32CE7">
        <w:rPr>
          <w:rFonts w:ascii="Arial" w:hAnsi="Arial"/>
          <w:sz w:val="20"/>
          <w:szCs w:val="20"/>
          <w:lang w:val="en-US"/>
        </w:rPr>
        <w:t>Simma</w:t>
      </w:r>
      <w:r>
        <w:rPr>
          <w:rFonts w:ascii="Arial" w:hAnsi="Arial"/>
          <w:sz w:val="20"/>
          <w:szCs w:val="20"/>
          <w:lang w:val="en-US"/>
        </w:rPr>
        <w:t xml:space="preserve"> </w:t>
      </w:r>
      <w:r w:rsidRPr="00241B2C">
        <w:rPr>
          <w:rFonts w:ascii="Arial" w:hAnsi="Arial"/>
          <w:sz w:val="20"/>
          <w:szCs w:val="20"/>
          <w:lang w:val="en-US"/>
        </w:rPr>
        <w:t xml:space="preserve">(n 13), </w:t>
      </w:r>
      <w:r>
        <w:rPr>
          <w:rFonts w:ascii="Arial" w:hAnsi="Arial"/>
          <w:sz w:val="20"/>
          <w:szCs w:val="20"/>
          <w:lang w:val="en-US"/>
        </w:rPr>
        <w:t xml:space="preserve">659–682, esp. at 666–667. </w:t>
      </w:r>
    </w:p>
  </w:footnote>
  <w:footnote w:id="249">
    <w:p w14:paraId="0FA20831" w14:textId="7CAA177B" w:rsidR="001A5BF9" w:rsidRPr="00C075B5" w:rsidRDefault="001A5BF9">
      <w:pPr>
        <w:pStyle w:val="FootnoteText"/>
        <w:rPr>
          <w:rFonts w:ascii="Arial" w:hAnsi="Arial" w:cs="Arial"/>
          <w:sz w:val="20"/>
          <w:szCs w:val="20"/>
          <w:lang w:val="en-US"/>
        </w:rPr>
      </w:pPr>
      <w:r w:rsidRPr="00C075B5">
        <w:rPr>
          <w:rStyle w:val="FootnoteReference"/>
          <w:rFonts w:ascii="Arial" w:hAnsi="Arial" w:cs="Arial"/>
          <w:sz w:val="20"/>
          <w:szCs w:val="20"/>
        </w:rPr>
        <w:footnoteRef/>
      </w:r>
      <w:r w:rsidRPr="00C075B5">
        <w:rPr>
          <w:rFonts w:ascii="Arial" w:hAnsi="Arial" w:cs="Arial"/>
          <w:sz w:val="20"/>
          <w:szCs w:val="20"/>
        </w:rPr>
        <w:t xml:space="preserve"> </w:t>
      </w:r>
      <w:r w:rsidRPr="00C075B5">
        <w:rPr>
          <w:rFonts w:ascii="Arial" w:hAnsi="Arial" w:cs="Arial"/>
          <w:sz w:val="20"/>
          <w:szCs w:val="20"/>
          <w:lang w:val="en-US"/>
        </w:rPr>
        <w:t>See R</w:t>
      </w:r>
      <w:r>
        <w:rPr>
          <w:rFonts w:ascii="Arial" w:hAnsi="Arial" w:cs="Arial"/>
          <w:sz w:val="20"/>
          <w:szCs w:val="20"/>
          <w:lang w:val="en-US"/>
        </w:rPr>
        <w:t>.</w:t>
      </w:r>
      <w:r w:rsidRPr="00C075B5">
        <w:rPr>
          <w:rFonts w:ascii="Arial" w:hAnsi="Arial" w:cs="Arial"/>
          <w:sz w:val="20"/>
          <w:szCs w:val="20"/>
          <w:lang w:val="en-US"/>
        </w:rPr>
        <w:t xml:space="preserve"> O. Keohane, “Reciprocity i</w:t>
      </w:r>
      <w:r>
        <w:rPr>
          <w:rFonts w:ascii="Arial" w:hAnsi="Arial" w:cs="Arial"/>
          <w:sz w:val="20"/>
          <w:szCs w:val="20"/>
          <w:lang w:val="en-US"/>
        </w:rPr>
        <w:t>n International Relations”, re-</w:t>
      </w:r>
      <w:r w:rsidRPr="00C075B5">
        <w:rPr>
          <w:rFonts w:ascii="Arial" w:hAnsi="Arial" w:cs="Arial"/>
          <w:sz w:val="20"/>
          <w:szCs w:val="20"/>
          <w:lang w:val="en-US"/>
        </w:rPr>
        <w:t xml:space="preserve">produced in his </w:t>
      </w:r>
      <w:r w:rsidRPr="00C075B5">
        <w:rPr>
          <w:rFonts w:ascii="Arial" w:hAnsi="Arial" w:cs="Arial"/>
          <w:i/>
          <w:iCs/>
          <w:sz w:val="20"/>
          <w:szCs w:val="20"/>
          <w:lang w:val="en-US"/>
        </w:rPr>
        <w:t xml:space="preserve">International Institutions and State Power: Essays in International Relations Theory </w:t>
      </w:r>
      <w:r w:rsidRPr="00C075B5">
        <w:rPr>
          <w:rFonts w:ascii="Arial" w:hAnsi="Arial" w:cs="Arial"/>
          <w:sz w:val="20"/>
          <w:szCs w:val="20"/>
          <w:lang w:val="en-US"/>
        </w:rPr>
        <w:t>(Westview</w:t>
      </w:r>
      <w:r>
        <w:rPr>
          <w:rFonts w:ascii="Arial" w:hAnsi="Arial" w:cs="Arial"/>
          <w:sz w:val="20"/>
          <w:szCs w:val="20"/>
          <w:lang w:val="en-US"/>
        </w:rPr>
        <w:t xml:space="preserve">, Boulder, CO, 1989), 132–157; </w:t>
      </w:r>
      <w:r w:rsidRPr="00C075B5">
        <w:rPr>
          <w:rFonts w:ascii="Arial" w:hAnsi="Arial" w:cs="Arial"/>
          <w:sz w:val="20"/>
          <w:szCs w:val="20"/>
          <w:lang w:val="en-US"/>
        </w:rPr>
        <w:t>see P-H</w:t>
      </w:r>
      <w:r>
        <w:rPr>
          <w:rFonts w:ascii="Arial" w:hAnsi="Arial" w:cs="Arial"/>
          <w:sz w:val="20"/>
          <w:szCs w:val="20"/>
          <w:lang w:val="en-US"/>
        </w:rPr>
        <w:t xml:space="preserve">. </w:t>
      </w:r>
      <w:r w:rsidRPr="00C075B5">
        <w:rPr>
          <w:rFonts w:ascii="Arial" w:hAnsi="Arial" w:cs="Arial"/>
          <w:sz w:val="20"/>
          <w:szCs w:val="20"/>
          <w:lang w:val="en-US"/>
        </w:rPr>
        <w:t xml:space="preserve">Imbert, </w:t>
      </w:r>
      <w:r w:rsidRPr="00F178CC">
        <w:rPr>
          <w:rFonts w:ascii="Arial" w:hAnsi="Arial" w:cs="Arial"/>
          <w:i/>
          <w:iCs/>
          <w:sz w:val="20"/>
          <w:szCs w:val="20"/>
          <w:lang w:val="en-US"/>
        </w:rPr>
        <w:t>Les r</w:t>
      </w:r>
      <w:r w:rsidRPr="00F178CC">
        <w:rPr>
          <w:rFonts w:ascii="Lucida Grande" w:hAnsi="Lucida Grande" w:cs="Lucida Grande"/>
          <w:i/>
          <w:color w:val="000000"/>
          <w:sz w:val="20"/>
          <w:szCs w:val="20"/>
        </w:rPr>
        <w:t>é</w:t>
      </w:r>
      <w:r w:rsidRPr="00F178CC">
        <w:rPr>
          <w:rFonts w:ascii="Arial" w:hAnsi="Arial" w:cs="Arial"/>
          <w:i/>
          <w:iCs/>
          <w:sz w:val="20"/>
          <w:szCs w:val="20"/>
          <w:lang w:val="en-US"/>
        </w:rPr>
        <w:t>serves aux trait</w:t>
      </w:r>
      <w:r w:rsidRPr="00F178CC">
        <w:rPr>
          <w:rFonts w:ascii="Lucida Grande" w:hAnsi="Lucida Grande" w:cs="Lucida Grande"/>
          <w:i/>
          <w:color w:val="000000"/>
          <w:sz w:val="20"/>
          <w:szCs w:val="20"/>
        </w:rPr>
        <w:t>é</w:t>
      </w:r>
      <w:r w:rsidRPr="00F178CC">
        <w:rPr>
          <w:rFonts w:ascii="Arial" w:hAnsi="Arial" w:cs="Arial"/>
          <w:i/>
          <w:iCs/>
          <w:sz w:val="20"/>
          <w:szCs w:val="20"/>
          <w:lang w:val="en-US"/>
        </w:rPr>
        <w:t>s</w:t>
      </w:r>
      <w:r w:rsidRPr="00C075B5">
        <w:rPr>
          <w:rFonts w:ascii="Arial" w:hAnsi="Arial" w:cs="Arial"/>
          <w:i/>
          <w:iCs/>
          <w:sz w:val="20"/>
          <w:szCs w:val="20"/>
          <w:lang w:val="en-US"/>
        </w:rPr>
        <w:t xml:space="preserve"> multilateraux </w:t>
      </w:r>
      <w:r>
        <w:rPr>
          <w:rFonts w:ascii="Arial" w:hAnsi="Arial" w:cs="Arial"/>
          <w:sz w:val="20"/>
          <w:szCs w:val="20"/>
          <w:lang w:val="en-US"/>
        </w:rPr>
        <w:t xml:space="preserve">(Paris: Pedone 1979), at 152-153. </w:t>
      </w:r>
    </w:p>
  </w:footnote>
  <w:footnote w:id="250">
    <w:p w14:paraId="17F86A3E" w14:textId="0F20692C" w:rsidR="001A5BF9" w:rsidRPr="009662CE" w:rsidRDefault="001A5BF9">
      <w:pPr>
        <w:pStyle w:val="FootnoteText"/>
        <w:rPr>
          <w:rFonts w:ascii="Arial" w:hAnsi="Arial" w:cs="Arial"/>
          <w:sz w:val="20"/>
          <w:szCs w:val="20"/>
          <w:lang w:val="en-US"/>
        </w:rPr>
      </w:pPr>
      <w:r w:rsidRPr="009662CE">
        <w:rPr>
          <w:rStyle w:val="FootnoteReference"/>
          <w:rFonts w:ascii="Arial" w:hAnsi="Arial" w:cs="Arial"/>
          <w:sz w:val="20"/>
          <w:szCs w:val="20"/>
        </w:rPr>
        <w:footnoteRef/>
      </w:r>
      <w:r w:rsidRPr="009662CE">
        <w:rPr>
          <w:rFonts w:ascii="Arial" w:hAnsi="Arial" w:cs="Arial"/>
          <w:sz w:val="20"/>
          <w:szCs w:val="20"/>
        </w:rPr>
        <w:t xml:space="preserve"> </w:t>
      </w:r>
      <w:r w:rsidRPr="005736BB">
        <w:rPr>
          <w:rFonts w:ascii="Arial" w:hAnsi="Arial" w:cs="Arial"/>
          <w:sz w:val="20"/>
          <w:szCs w:val="20"/>
        </w:rPr>
        <w:t>Klabbers (n 14), p</w:t>
      </w:r>
      <w:r>
        <w:rPr>
          <w:rFonts w:ascii="Arial" w:hAnsi="Arial" w:cs="Arial"/>
          <w:sz w:val="20"/>
          <w:szCs w:val="20"/>
        </w:rPr>
        <w:t xml:space="preserve"> 192.</w:t>
      </w:r>
    </w:p>
  </w:footnote>
  <w:footnote w:id="251">
    <w:p w14:paraId="233F5EDD" w14:textId="246152DB" w:rsidR="001A5BF9" w:rsidRPr="00855FDF" w:rsidRDefault="001A5BF9">
      <w:pPr>
        <w:pStyle w:val="FootnoteText"/>
        <w:rPr>
          <w:rFonts w:ascii="Arial" w:hAnsi="Arial" w:cs="Arial"/>
          <w:sz w:val="20"/>
          <w:szCs w:val="20"/>
          <w:lang w:val="en-US"/>
        </w:rPr>
      </w:pPr>
      <w:r w:rsidRPr="00855FDF">
        <w:rPr>
          <w:rStyle w:val="FootnoteReference"/>
          <w:rFonts w:ascii="Arial" w:hAnsi="Arial" w:cs="Arial"/>
          <w:sz w:val="20"/>
          <w:szCs w:val="20"/>
        </w:rPr>
        <w:footnoteRef/>
      </w:r>
      <w:r w:rsidRPr="00855FDF">
        <w:rPr>
          <w:rFonts w:ascii="Arial" w:hAnsi="Arial" w:cs="Arial"/>
          <w:sz w:val="20"/>
          <w:szCs w:val="20"/>
        </w:rPr>
        <w:t xml:space="preserve"> </w:t>
      </w:r>
      <w:r>
        <w:rPr>
          <w:rFonts w:ascii="Arial" w:hAnsi="Arial" w:cs="Arial"/>
          <w:sz w:val="20"/>
          <w:szCs w:val="20"/>
        </w:rPr>
        <w:t>Ibid.</w:t>
      </w:r>
    </w:p>
  </w:footnote>
  <w:footnote w:id="252">
    <w:p w14:paraId="743531ED" w14:textId="29718FF4" w:rsidR="001A5BF9" w:rsidRPr="00682AB2" w:rsidRDefault="001A5BF9">
      <w:pPr>
        <w:pStyle w:val="FootnoteText"/>
        <w:rPr>
          <w:rFonts w:ascii="Arial" w:hAnsi="Arial" w:cs="Arial"/>
          <w:sz w:val="20"/>
          <w:szCs w:val="20"/>
          <w:lang w:val="en-US"/>
        </w:rPr>
      </w:pPr>
      <w:r w:rsidRPr="00682AB2">
        <w:rPr>
          <w:rStyle w:val="FootnoteReference"/>
          <w:rFonts w:ascii="Arial" w:hAnsi="Arial" w:cs="Arial"/>
          <w:sz w:val="20"/>
          <w:szCs w:val="20"/>
        </w:rPr>
        <w:footnoteRef/>
      </w:r>
      <w:r w:rsidRPr="00682AB2">
        <w:rPr>
          <w:rFonts w:ascii="Arial" w:hAnsi="Arial" w:cs="Arial"/>
          <w:sz w:val="20"/>
          <w:szCs w:val="20"/>
        </w:rPr>
        <w:t xml:space="preserve"> </w:t>
      </w:r>
      <w:r>
        <w:rPr>
          <w:rFonts w:ascii="Arial" w:hAnsi="Arial" w:cs="Arial"/>
          <w:sz w:val="20"/>
          <w:szCs w:val="20"/>
        </w:rPr>
        <w:t>See ILC Guide 2011, Annex: Conclusions on the Reservations Dialogue.</w:t>
      </w:r>
    </w:p>
  </w:footnote>
  <w:footnote w:id="253">
    <w:p w14:paraId="65DD7011" w14:textId="77777777" w:rsidR="001A5BF9" w:rsidRPr="00C45599" w:rsidRDefault="001A5BF9" w:rsidP="00A5218F">
      <w:pPr>
        <w:pStyle w:val="FootnoteText"/>
        <w:rPr>
          <w:rFonts w:ascii="Arial" w:hAnsi="Arial" w:cs="Arial"/>
          <w:sz w:val="20"/>
          <w:szCs w:val="20"/>
          <w:lang w:val="en-US"/>
        </w:rPr>
      </w:pPr>
      <w:r w:rsidRPr="00C45599">
        <w:rPr>
          <w:rStyle w:val="FootnoteReference"/>
          <w:rFonts w:ascii="Arial" w:hAnsi="Arial" w:cs="Arial"/>
          <w:sz w:val="20"/>
          <w:szCs w:val="20"/>
        </w:rPr>
        <w:footnoteRef/>
      </w:r>
      <w:r w:rsidRPr="00C45599">
        <w:rPr>
          <w:rFonts w:ascii="Arial" w:hAnsi="Arial" w:cs="Arial"/>
          <w:sz w:val="20"/>
          <w:szCs w:val="20"/>
        </w:rPr>
        <w:t xml:space="preserve"> </w:t>
      </w:r>
      <w:r>
        <w:rPr>
          <w:rFonts w:ascii="Arial" w:hAnsi="Arial" w:cs="Arial"/>
          <w:sz w:val="20"/>
          <w:szCs w:val="20"/>
        </w:rPr>
        <w:t>T</w:t>
      </w:r>
      <w:r w:rsidRPr="00C45599">
        <w:rPr>
          <w:rFonts w:ascii="Arial" w:hAnsi="Arial" w:cs="Arial"/>
          <w:sz w:val="20"/>
          <w:szCs w:val="20"/>
          <w:lang w:val="en-US"/>
        </w:rPr>
        <w:t>he Report of the International Law Commission on its 48th session, General Assembly Official Records D</w:t>
      </w:r>
      <w:r>
        <w:rPr>
          <w:rFonts w:ascii="Arial" w:hAnsi="Arial" w:cs="Arial"/>
          <w:sz w:val="20"/>
          <w:szCs w:val="20"/>
          <w:lang w:val="en-US"/>
        </w:rPr>
        <w:t>oc. A/51/10, para</w:t>
      </w:r>
      <w:r w:rsidRPr="00C45599">
        <w:rPr>
          <w:rFonts w:ascii="Arial" w:hAnsi="Arial" w:cs="Arial"/>
          <w:sz w:val="20"/>
          <w:szCs w:val="20"/>
          <w:lang w:val="en-US"/>
        </w:rPr>
        <w:t xml:space="preserve"> 125. </w:t>
      </w:r>
    </w:p>
  </w:footnote>
  <w:footnote w:id="254">
    <w:p w14:paraId="7B213721" w14:textId="7356EF3E" w:rsidR="001A5BF9" w:rsidRPr="00320710" w:rsidRDefault="001A5BF9" w:rsidP="00A5218F">
      <w:pPr>
        <w:pStyle w:val="FootnoteText"/>
        <w:rPr>
          <w:rFonts w:ascii="Arial" w:hAnsi="Arial" w:cs="Arial"/>
          <w:sz w:val="20"/>
          <w:szCs w:val="20"/>
          <w:lang w:val="en-US"/>
        </w:rPr>
      </w:pPr>
      <w:r w:rsidRPr="00320710">
        <w:rPr>
          <w:rStyle w:val="FootnoteReference"/>
          <w:rFonts w:ascii="Arial" w:hAnsi="Arial" w:cs="Arial"/>
          <w:sz w:val="20"/>
          <w:szCs w:val="20"/>
        </w:rPr>
        <w:footnoteRef/>
      </w:r>
      <w:r w:rsidRPr="00320710">
        <w:rPr>
          <w:rFonts w:ascii="Arial" w:hAnsi="Arial" w:cs="Arial"/>
          <w:sz w:val="20"/>
          <w:szCs w:val="20"/>
        </w:rPr>
        <w:t xml:space="preserve"> </w:t>
      </w:r>
      <w:r>
        <w:rPr>
          <w:rFonts w:ascii="Arial" w:hAnsi="Arial" w:cs="Arial"/>
          <w:sz w:val="20"/>
          <w:szCs w:val="20"/>
        </w:rPr>
        <w:t xml:space="preserve">Klabbers </w:t>
      </w:r>
      <w:r w:rsidRPr="005736BB">
        <w:rPr>
          <w:rFonts w:ascii="Arial" w:hAnsi="Arial" w:cs="Arial"/>
          <w:sz w:val="20"/>
          <w:szCs w:val="20"/>
        </w:rPr>
        <w:t>(n 14),</w:t>
      </w:r>
      <w:r>
        <w:rPr>
          <w:rFonts w:ascii="Arial" w:hAnsi="Arial" w:cs="Arial"/>
          <w:sz w:val="20"/>
          <w:szCs w:val="20"/>
        </w:rPr>
        <w:t xml:space="preserve"> p 191.</w:t>
      </w:r>
    </w:p>
  </w:footnote>
  <w:footnote w:id="255">
    <w:p w14:paraId="24CE539A" w14:textId="477A35DD" w:rsidR="001A5BF9" w:rsidRPr="00D50645" w:rsidRDefault="001A5BF9">
      <w:pPr>
        <w:pStyle w:val="FootnoteText"/>
        <w:rPr>
          <w:rFonts w:ascii="Arial" w:hAnsi="Arial" w:cs="Arial"/>
          <w:sz w:val="20"/>
          <w:szCs w:val="20"/>
          <w:lang w:val="en-US"/>
        </w:rPr>
      </w:pPr>
      <w:r w:rsidRPr="00D50645">
        <w:rPr>
          <w:rStyle w:val="FootnoteReference"/>
          <w:rFonts w:ascii="Arial" w:hAnsi="Arial" w:cs="Arial"/>
          <w:sz w:val="20"/>
          <w:szCs w:val="20"/>
        </w:rPr>
        <w:footnoteRef/>
      </w:r>
      <w:r w:rsidRPr="00D50645">
        <w:rPr>
          <w:rFonts w:ascii="Arial" w:hAnsi="Arial" w:cs="Arial"/>
          <w:sz w:val="20"/>
          <w:szCs w:val="20"/>
        </w:rPr>
        <w:t xml:space="preserve"> </w:t>
      </w:r>
      <w:r>
        <w:rPr>
          <w:rFonts w:ascii="Arial" w:hAnsi="Arial" w:cs="Arial"/>
          <w:sz w:val="20"/>
          <w:szCs w:val="20"/>
        </w:rPr>
        <w:t>ILC Report</w:t>
      </w:r>
      <w:r>
        <w:rPr>
          <w:rFonts w:ascii="Arial" w:hAnsi="Arial" w:cs="Arial"/>
          <w:sz w:val="20"/>
          <w:szCs w:val="20"/>
          <w:lang w:val="en-US"/>
        </w:rPr>
        <w:t>, para</w:t>
      </w:r>
      <w:r w:rsidRPr="00EA4921">
        <w:rPr>
          <w:rFonts w:ascii="Arial" w:hAnsi="Arial" w:cs="Arial"/>
          <w:sz w:val="20"/>
          <w:szCs w:val="20"/>
          <w:lang w:val="en-US"/>
        </w:rPr>
        <w:t xml:space="preserve"> 157</w:t>
      </w:r>
      <w:r>
        <w:rPr>
          <w:rFonts w:ascii="Arial" w:hAnsi="Arial" w:cs="Arial"/>
          <w:sz w:val="20"/>
          <w:szCs w:val="20"/>
          <w:lang w:val="en-US"/>
        </w:rPr>
        <w:t>;</w:t>
      </w:r>
      <w:r w:rsidRPr="00EA4921">
        <w:rPr>
          <w:rFonts w:ascii="Arial" w:hAnsi="Arial" w:cs="Arial"/>
          <w:sz w:val="20"/>
          <w:szCs w:val="20"/>
          <w:lang w:val="en-US"/>
        </w:rPr>
        <w:t xml:space="preserve"> </w:t>
      </w:r>
      <w:r>
        <w:rPr>
          <w:rFonts w:ascii="Arial" w:hAnsi="Arial" w:cs="Arial"/>
          <w:sz w:val="20"/>
          <w:szCs w:val="20"/>
          <w:lang w:val="en-US"/>
        </w:rPr>
        <w:t xml:space="preserve">Simma </w:t>
      </w:r>
      <w:r w:rsidRPr="00CD7A29">
        <w:rPr>
          <w:rFonts w:ascii="Arial" w:hAnsi="Arial" w:cs="Arial"/>
          <w:sz w:val="20"/>
          <w:szCs w:val="20"/>
          <w:lang w:val="en-US"/>
        </w:rPr>
        <w:t>(n 13).</w:t>
      </w:r>
      <w:r>
        <w:rPr>
          <w:rFonts w:ascii="Arial" w:hAnsi="Arial" w:cs="Arial"/>
          <w:sz w:val="20"/>
          <w:szCs w:val="20"/>
          <w:lang w:val="en-US"/>
        </w:rPr>
        <w:t xml:space="preserve"> </w:t>
      </w:r>
    </w:p>
  </w:footnote>
  <w:footnote w:id="256">
    <w:p w14:paraId="35D631D4" w14:textId="77777777" w:rsidR="001A5BF9" w:rsidRPr="00415499" w:rsidRDefault="001A5BF9" w:rsidP="0055762F">
      <w:pPr>
        <w:pStyle w:val="FootnoteText"/>
        <w:rPr>
          <w:rFonts w:ascii="Arial" w:hAnsi="Arial" w:cs="Arial"/>
          <w:sz w:val="20"/>
          <w:szCs w:val="20"/>
          <w:lang w:val="en-US"/>
        </w:rPr>
      </w:pPr>
      <w:r w:rsidRPr="00415499">
        <w:rPr>
          <w:rStyle w:val="FootnoteReference"/>
          <w:rFonts w:ascii="Arial" w:hAnsi="Arial" w:cs="Arial"/>
          <w:sz w:val="20"/>
          <w:szCs w:val="20"/>
        </w:rPr>
        <w:footnoteRef/>
      </w:r>
      <w:r w:rsidRPr="00415499">
        <w:rPr>
          <w:rFonts w:ascii="Arial" w:hAnsi="Arial" w:cs="Arial"/>
          <w:sz w:val="20"/>
          <w:szCs w:val="20"/>
        </w:rPr>
        <w:t xml:space="preserve"> </w:t>
      </w:r>
      <w:r w:rsidRPr="00415499">
        <w:rPr>
          <w:rFonts w:ascii="Arial" w:hAnsi="Arial" w:cs="Arial"/>
          <w:sz w:val="20"/>
          <w:szCs w:val="20"/>
          <w:lang w:val="en-US"/>
        </w:rPr>
        <w:t>See J</w:t>
      </w:r>
      <w:r>
        <w:rPr>
          <w:rFonts w:ascii="Arial" w:hAnsi="Arial" w:cs="Arial"/>
          <w:sz w:val="20"/>
          <w:szCs w:val="20"/>
          <w:lang w:val="en-US"/>
        </w:rPr>
        <w:t>. A</w:t>
      </w:r>
      <w:r w:rsidRPr="00415499">
        <w:rPr>
          <w:rFonts w:ascii="Arial" w:hAnsi="Arial" w:cs="Arial"/>
          <w:sz w:val="20"/>
          <w:szCs w:val="20"/>
          <w:lang w:val="en-US"/>
        </w:rPr>
        <w:t xml:space="preserve">. Frowein, “Reservations and the International </w:t>
      </w:r>
      <w:r w:rsidRPr="00415499">
        <w:rPr>
          <w:rFonts w:ascii="Arial" w:hAnsi="Arial" w:cs="Arial"/>
          <w:i/>
          <w:iCs/>
          <w:sz w:val="20"/>
          <w:szCs w:val="20"/>
          <w:lang w:val="en-US"/>
        </w:rPr>
        <w:t>ordre public</w:t>
      </w:r>
      <w:r w:rsidRPr="00415499">
        <w:rPr>
          <w:rFonts w:ascii="Arial" w:hAnsi="Arial" w:cs="Arial"/>
          <w:sz w:val="20"/>
          <w:szCs w:val="20"/>
          <w:lang w:val="en-US"/>
        </w:rPr>
        <w:t>”, in J</w:t>
      </w:r>
      <w:r>
        <w:rPr>
          <w:rFonts w:ascii="Arial" w:hAnsi="Arial" w:cs="Arial"/>
          <w:sz w:val="20"/>
          <w:szCs w:val="20"/>
          <w:lang w:val="en-US"/>
        </w:rPr>
        <w:t xml:space="preserve">. </w:t>
      </w:r>
      <w:r w:rsidRPr="00415499">
        <w:rPr>
          <w:rFonts w:ascii="Arial" w:hAnsi="Arial" w:cs="Arial"/>
          <w:sz w:val="20"/>
          <w:szCs w:val="20"/>
          <w:lang w:val="en-US"/>
        </w:rPr>
        <w:t xml:space="preserve">Makarczyk (ed.), </w:t>
      </w:r>
      <w:r w:rsidRPr="00415499">
        <w:rPr>
          <w:rFonts w:ascii="Arial" w:hAnsi="Arial" w:cs="Arial"/>
          <w:i/>
          <w:iCs/>
          <w:sz w:val="20"/>
          <w:szCs w:val="20"/>
          <w:lang w:val="en-US"/>
        </w:rPr>
        <w:t xml:space="preserve">Theory of International Law at the Threshold of the 21st Century: Essays in Honour of Krzysztof Skubiszewski </w:t>
      </w:r>
      <w:r w:rsidRPr="00415499">
        <w:rPr>
          <w:rFonts w:ascii="Arial" w:hAnsi="Arial" w:cs="Arial"/>
          <w:sz w:val="20"/>
          <w:szCs w:val="20"/>
          <w:lang w:val="en-US"/>
        </w:rPr>
        <w:t>(</w:t>
      </w:r>
      <w:r>
        <w:rPr>
          <w:rFonts w:ascii="Arial" w:hAnsi="Arial" w:cs="Arial"/>
          <w:sz w:val="20"/>
          <w:szCs w:val="20"/>
          <w:lang w:val="en-US"/>
        </w:rPr>
        <w:t xml:space="preserve">The Hague: </w:t>
      </w:r>
      <w:r w:rsidRPr="00415499">
        <w:rPr>
          <w:rFonts w:ascii="Arial" w:hAnsi="Arial" w:cs="Arial"/>
          <w:sz w:val="20"/>
          <w:szCs w:val="20"/>
          <w:lang w:val="en-US"/>
        </w:rPr>
        <w:t>Kluw</w:t>
      </w:r>
      <w:r>
        <w:rPr>
          <w:rFonts w:ascii="Arial" w:hAnsi="Arial" w:cs="Arial"/>
          <w:sz w:val="20"/>
          <w:szCs w:val="20"/>
          <w:lang w:val="en-US"/>
        </w:rPr>
        <w:t xml:space="preserve">er Law International, 1996), 403–413, esp. 408–410. </w:t>
      </w:r>
    </w:p>
  </w:footnote>
  <w:footnote w:id="257">
    <w:p w14:paraId="75426449" w14:textId="575AD7E8" w:rsidR="001A5BF9" w:rsidRPr="00415499" w:rsidRDefault="001A5BF9" w:rsidP="0055762F">
      <w:pPr>
        <w:pStyle w:val="FootnoteText"/>
        <w:rPr>
          <w:rFonts w:ascii="Arial" w:hAnsi="Arial" w:cs="Arial"/>
          <w:sz w:val="20"/>
          <w:szCs w:val="20"/>
          <w:lang w:val="en-US"/>
        </w:rPr>
      </w:pPr>
      <w:r w:rsidRPr="00415499">
        <w:rPr>
          <w:rStyle w:val="FootnoteReference"/>
          <w:rFonts w:ascii="Arial" w:hAnsi="Arial" w:cs="Arial"/>
          <w:sz w:val="20"/>
          <w:szCs w:val="20"/>
        </w:rPr>
        <w:footnoteRef/>
      </w:r>
      <w:r w:rsidRPr="00415499">
        <w:rPr>
          <w:rFonts w:ascii="Arial" w:hAnsi="Arial" w:cs="Arial"/>
          <w:sz w:val="20"/>
          <w:szCs w:val="20"/>
        </w:rPr>
        <w:t xml:space="preserve"> </w:t>
      </w:r>
      <w:r w:rsidRPr="0012212C">
        <w:rPr>
          <w:rFonts w:ascii="Arial" w:hAnsi="Arial" w:cs="Arial"/>
          <w:sz w:val="20"/>
          <w:szCs w:val="20"/>
          <w:lang w:val="en-US"/>
        </w:rPr>
        <w:t>See J</w:t>
      </w:r>
      <w:r>
        <w:rPr>
          <w:rFonts w:ascii="Arial" w:hAnsi="Arial" w:cs="Arial"/>
          <w:sz w:val="20"/>
          <w:szCs w:val="20"/>
          <w:lang w:val="en-US"/>
        </w:rPr>
        <w:t>. Klabbers, ‘</w:t>
      </w:r>
      <w:r w:rsidRPr="0012212C">
        <w:rPr>
          <w:rFonts w:ascii="Arial" w:hAnsi="Arial" w:cs="Arial"/>
          <w:sz w:val="20"/>
          <w:szCs w:val="20"/>
          <w:lang w:val="en-US"/>
        </w:rPr>
        <w:t>Re-Inventing the Law of Treaties: Th</w:t>
      </w:r>
      <w:r>
        <w:rPr>
          <w:rFonts w:ascii="Arial" w:hAnsi="Arial" w:cs="Arial"/>
          <w:sz w:val="20"/>
          <w:szCs w:val="20"/>
          <w:lang w:val="en-US"/>
        </w:rPr>
        <w:t>e Contribution of the EC Courts’</w:t>
      </w:r>
      <w:r w:rsidRPr="0012212C">
        <w:rPr>
          <w:rFonts w:ascii="Arial" w:hAnsi="Arial" w:cs="Arial"/>
          <w:sz w:val="20"/>
          <w:szCs w:val="20"/>
          <w:lang w:val="en-US"/>
        </w:rPr>
        <w:t xml:space="preserve">, 30 </w:t>
      </w:r>
      <w:r w:rsidRPr="0012212C">
        <w:rPr>
          <w:rFonts w:ascii="Arial" w:hAnsi="Arial" w:cs="Arial"/>
          <w:i/>
          <w:iCs/>
          <w:sz w:val="20"/>
          <w:szCs w:val="20"/>
          <w:lang w:val="en-US"/>
        </w:rPr>
        <w:t xml:space="preserve">Netherlands Yearbook of International Law </w:t>
      </w:r>
      <w:r w:rsidRPr="00CF22FC">
        <w:rPr>
          <w:rFonts w:ascii="Arial" w:hAnsi="Arial" w:cs="Arial"/>
          <w:sz w:val="20"/>
          <w:szCs w:val="20"/>
          <w:lang w:val="en-US"/>
        </w:rPr>
        <w:t xml:space="preserve">(1999), 45-74. </w:t>
      </w:r>
    </w:p>
  </w:footnote>
  <w:footnote w:id="258">
    <w:p w14:paraId="62E243D3" w14:textId="559FE0E2" w:rsidR="001A5BF9" w:rsidRPr="00A46E99" w:rsidRDefault="001A5BF9">
      <w:pPr>
        <w:pStyle w:val="FootnoteText"/>
        <w:rPr>
          <w:rFonts w:ascii="Arial" w:hAnsi="Arial" w:cs="Arial"/>
          <w:sz w:val="20"/>
          <w:szCs w:val="20"/>
          <w:lang w:val="en-US"/>
        </w:rPr>
      </w:pPr>
      <w:r w:rsidRPr="00A46E99">
        <w:rPr>
          <w:rStyle w:val="FootnoteReference"/>
          <w:rFonts w:ascii="Arial" w:hAnsi="Arial" w:cs="Arial"/>
          <w:sz w:val="20"/>
          <w:szCs w:val="20"/>
        </w:rPr>
        <w:footnoteRef/>
      </w:r>
      <w:r w:rsidRPr="00A46E99">
        <w:rPr>
          <w:rFonts w:ascii="Arial" w:hAnsi="Arial" w:cs="Arial"/>
          <w:sz w:val="20"/>
          <w:szCs w:val="20"/>
        </w:rPr>
        <w:t xml:space="preserve"> </w:t>
      </w:r>
      <w:r>
        <w:rPr>
          <w:rFonts w:ascii="Arial" w:hAnsi="Arial" w:cs="Arial"/>
          <w:sz w:val="20"/>
          <w:szCs w:val="20"/>
        </w:rPr>
        <w:t xml:space="preserve">Bjorge </w:t>
      </w:r>
      <w:r w:rsidRPr="00422810">
        <w:rPr>
          <w:rFonts w:ascii="Arial" w:hAnsi="Arial" w:cs="Arial"/>
          <w:sz w:val="20"/>
          <w:szCs w:val="20"/>
        </w:rPr>
        <w:t>(n 157),</w:t>
      </w:r>
      <w:r>
        <w:rPr>
          <w:rFonts w:ascii="Arial" w:hAnsi="Arial" w:cs="Arial"/>
          <w:sz w:val="20"/>
          <w:szCs w:val="20"/>
        </w:rPr>
        <w:t xml:space="preserve"> pp. 191-3.</w:t>
      </w:r>
    </w:p>
  </w:footnote>
  <w:footnote w:id="259">
    <w:p w14:paraId="29A82095" w14:textId="3C4100E7" w:rsidR="001A5BF9" w:rsidRPr="002A21C1" w:rsidRDefault="001A5BF9">
      <w:pPr>
        <w:pStyle w:val="FootnoteText"/>
        <w:rPr>
          <w:rFonts w:ascii="Arial" w:hAnsi="Arial" w:cs="Arial"/>
          <w:sz w:val="20"/>
          <w:szCs w:val="20"/>
          <w:lang w:val="en-US"/>
        </w:rPr>
      </w:pPr>
      <w:r w:rsidRPr="002A21C1">
        <w:rPr>
          <w:rStyle w:val="FootnoteReference"/>
          <w:rFonts w:ascii="Arial" w:hAnsi="Arial" w:cs="Arial"/>
          <w:sz w:val="20"/>
          <w:szCs w:val="20"/>
        </w:rPr>
        <w:footnoteRef/>
      </w:r>
      <w:r w:rsidRPr="002A21C1">
        <w:rPr>
          <w:rFonts w:ascii="Arial" w:hAnsi="Arial" w:cs="Arial"/>
          <w:sz w:val="20"/>
          <w:szCs w:val="20"/>
        </w:rPr>
        <w:t xml:space="preserve"> </w:t>
      </w:r>
      <w:r>
        <w:rPr>
          <w:rFonts w:ascii="Arial" w:hAnsi="Arial" w:cs="Arial"/>
          <w:i/>
          <w:iCs/>
          <w:sz w:val="20"/>
          <w:szCs w:val="20"/>
          <w:lang w:val="en-US"/>
        </w:rPr>
        <w:t>Convention C</w:t>
      </w:r>
      <w:r w:rsidRPr="002A21C1">
        <w:rPr>
          <w:rFonts w:ascii="Arial" w:hAnsi="Arial" w:cs="Arial"/>
          <w:i/>
          <w:iCs/>
          <w:sz w:val="20"/>
          <w:szCs w:val="20"/>
          <w:lang w:val="en-US"/>
        </w:rPr>
        <w:t xml:space="preserve">oncerning Employment of Women during the Night </w:t>
      </w:r>
      <w:r w:rsidRPr="002A21C1">
        <w:rPr>
          <w:rFonts w:ascii="Arial" w:hAnsi="Arial" w:cs="Arial"/>
          <w:sz w:val="20"/>
          <w:szCs w:val="20"/>
          <w:lang w:val="en-US"/>
        </w:rPr>
        <w:t>PCIJ (1932) Series A/B No. 50, 377.  </w:t>
      </w:r>
    </w:p>
  </w:footnote>
  <w:footnote w:id="260">
    <w:p w14:paraId="671B9989" w14:textId="7D5AC615" w:rsidR="001A5BF9" w:rsidRPr="009F5F2C" w:rsidRDefault="001A5BF9">
      <w:pPr>
        <w:pStyle w:val="FootnoteText"/>
        <w:rPr>
          <w:rFonts w:ascii="Arial" w:hAnsi="Arial"/>
          <w:sz w:val="20"/>
          <w:szCs w:val="20"/>
          <w:lang w:val="en-US"/>
        </w:rPr>
      </w:pPr>
      <w:r w:rsidRPr="00C62095">
        <w:rPr>
          <w:rStyle w:val="FootnoteReference"/>
          <w:rFonts w:ascii="Arial" w:hAnsi="Arial"/>
          <w:sz w:val="20"/>
          <w:szCs w:val="20"/>
        </w:rPr>
        <w:footnoteRef/>
      </w:r>
      <w:r w:rsidRPr="00C62095">
        <w:rPr>
          <w:rFonts w:ascii="Arial" w:hAnsi="Arial"/>
          <w:sz w:val="20"/>
          <w:szCs w:val="20"/>
        </w:rPr>
        <w:t xml:space="preserve"> </w:t>
      </w:r>
      <w:r w:rsidRPr="00C62095">
        <w:rPr>
          <w:rFonts w:ascii="Arial" w:hAnsi="Arial"/>
          <w:sz w:val="20"/>
          <w:szCs w:val="20"/>
          <w:lang w:val="en-US"/>
        </w:rPr>
        <w:t>M. Koskenniemi</w:t>
      </w:r>
      <w:r w:rsidRPr="009F5F2C">
        <w:rPr>
          <w:rFonts w:ascii="Arial" w:hAnsi="Arial"/>
          <w:sz w:val="20"/>
          <w:szCs w:val="20"/>
          <w:lang w:val="en-US"/>
        </w:rPr>
        <w:t>, ‘Fragmentation of International Law: Difficulties Arising from the Diversification and Expansion of International Law’, Report of the Study Group of the International Law Commission</w:t>
      </w:r>
      <w:r>
        <w:rPr>
          <w:rFonts w:ascii="Arial" w:hAnsi="Arial"/>
          <w:sz w:val="20"/>
          <w:szCs w:val="20"/>
          <w:lang w:val="en-US"/>
        </w:rPr>
        <w:t xml:space="preserve"> [hereafter ILC Study Group]</w:t>
      </w:r>
      <w:r w:rsidRPr="009F5F2C">
        <w:rPr>
          <w:rFonts w:ascii="Arial" w:hAnsi="Arial"/>
          <w:sz w:val="20"/>
          <w:szCs w:val="20"/>
          <w:lang w:val="en-US"/>
        </w:rPr>
        <w:t>, finali</w:t>
      </w:r>
      <w:r>
        <w:rPr>
          <w:rFonts w:ascii="Arial" w:hAnsi="Arial"/>
          <w:sz w:val="20"/>
          <w:szCs w:val="20"/>
          <w:lang w:val="en-US"/>
        </w:rPr>
        <w:t>s</w:t>
      </w:r>
      <w:r w:rsidRPr="009F5F2C">
        <w:rPr>
          <w:rFonts w:ascii="Arial" w:hAnsi="Arial"/>
          <w:sz w:val="20"/>
          <w:szCs w:val="20"/>
          <w:lang w:val="en-US"/>
        </w:rPr>
        <w:t>ed by M</w:t>
      </w:r>
      <w:r>
        <w:rPr>
          <w:rFonts w:ascii="Arial" w:hAnsi="Arial"/>
          <w:sz w:val="20"/>
          <w:szCs w:val="20"/>
          <w:lang w:val="en-US"/>
        </w:rPr>
        <w:t>.</w:t>
      </w:r>
      <w:r w:rsidRPr="009F5F2C">
        <w:rPr>
          <w:rFonts w:ascii="Arial" w:hAnsi="Arial"/>
          <w:sz w:val="20"/>
          <w:szCs w:val="20"/>
          <w:lang w:val="en-US"/>
        </w:rPr>
        <w:t xml:space="preserve"> Koskenniemi</w:t>
      </w:r>
      <w:r>
        <w:rPr>
          <w:rFonts w:ascii="Arial" w:hAnsi="Arial"/>
          <w:sz w:val="20"/>
          <w:szCs w:val="20"/>
          <w:lang w:val="en-US"/>
        </w:rPr>
        <w:t xml:space="preserve">, A/CN.4/L.682. See also: J. </w:t>
      </w:r>
      <w:r w:rsidRPr="009F5F2C">
        <w:rPr>
          <w:rFonts w:ascii="Arial" w:hAnsi="Arial"/>
          <w:sz w:val="20"/>
          <w:szCs w:val="20"/>
          <w:lang w:val="en-US"/>
        </w:rPr>
        <w:t xml:space="preserve">Crawford, ‘Chance, Order, Change: The Course of International Law’, in 365 </w:t>
      </w:r>
      <w:r>
        <w:rPr>
          <w:rFonts w:ascii="Arial" w:hAnsi="Arial"/>
          <w:i/>
          <w:iCs/>
          <w:sz w:val="20"/>
          <w:szCs w:val="20"/>
          <w:lang w:val="en-US"/>
        </w:rPr>
        <w:t>Col</w:t>
      </w:r>
      <w:r w:rsidRPr="009F5F2C">
        <w:rPr>
          <w:rFonts w:ascii="Arial" w:hAnsi="Arial"/>
          <w:i/>
          <w:iCs/>
          <w:sz w:val="20"/>
          <w:szCs w:val="20"/>
          <w:lang w:val="en-US"/>
        </w:rPr>
        <w:t xml:space="preserve">lected Courses of The Hague Academy </w:t>
      </w:r>
      <w:r w:rsidRPr="00F0355E">
        <w:rPr>
          <w:rFonts w:ascii="Arial" w:hAnsi="Arial" w:cs="Arial"/>
          <w:i/>
          <w:iCs/>
          <w:sz w:val="20"/>
          <w:szCs w:val="20"/>
          <w:lang w:val="en-US"/>
        </w:rPr>
        <w:t xml:space="preserve">of International Law </w:t>
      </w:r>
      <w:r w:rsidRPr="00F0355E">
        <w:rPr>
          <w:rFonts w:ascii="Arial" w:hAnsi="Arial" w:cs="Arial"/>
          <w:sz w:val="20"/>
          <w:szCs w:val="20"/>
          <w:lang w:val="en-US"/>
        </w:rPr>
        <w:t>(Leiden: Martinus Nijhoff Publishers, 2013), 9, 205–29; M. Andenas, ‘The Centre Reasserting Itself: From Fragmentation to Transformation of International Law’, in M. Derl</w:t>
      </w:r>
      <w:r w:rsidRPr="00F0355E">
        <w:rPr>
          <w:rFonts w:ascii="Arial" w:hAnsi="Arial" w:cs="Arial"/>
          <w:color w:val="000000"/>
          <w:sz w:val="20"/>
          <w:szCs w:val="20"/>
        </w:rPr>
        <w:t>é</w:t>
      </w:r>
      <w:r w:rsidRPr="00F0355E">
        <w:rPr>
          <w:rFonts w:ascii="Arial" w:hAnsi="Arial" w:cs="Arial"/>
          <w:sz w:val="20"/>
          <w:szCs w:val="20"/>
          <w:lang w:val="en-US"/>
        </w:rPr>
        <w:t>n and J. Lindholm</w:t>
      </w:r>
      <w:r>
        <w:rPr>
          <w:rFonts w:ascii="Arial" w:hAnsi="Arial" w:cs="Arial"/>
          <w:sz w:val="20"/>
          <w:szCs w:val="20"/>
          <w:lang w:val="en-US"/>
        </w:rPr>
        <w:t xml:space="preserve"> (eds.),</w:t>
      </w:r>
      <w:r w:rsidRPr="00F0355E">
        <w:rPr>
          <w:rFonts w:ascii="Arial" w:hAnsi="Arial" w:cs="Arial"/>
          <w:i/>
          <w:iCs/>
          <w:sz w:val="20"/>
          <w:szCs w:val="20"/>
          <w:lang w:val="en-US"/>
        </w:rPr>
        <w:t xml:space="preserve"> Volume in Honor of P</w:t>
      </w:r>
      <w:r w:rsidRPr="00F0355E">
        <w:rPr>
          <w:rFonts w:ascii="Arial" w:hAnsi="Arial" w:cs="Arial"/>
          <w:i/>
          <w:color w:val="000000"/>
          <w:sz w:val="20"/>
          <w:szCs w:val="20"/>
        </w:rPr>
        <w:t>ä</w:t>
      </w:r>
      <w:r w:rsidRPr="00F0355E">
        <w:rPr>
          <w:rFonts w:ascii="Arial" w:hAnsi="Arial" w:cs="Arial"/>
          <w:i/>
          <w:iCs/>
          <w:sz w:val="20"/>
          <w:szCs w:val="20"/>
          <w:lang w:val="en-US"/>
        </w:rPr>
        <w:t>r Hallstr</w:t>
      </w:r>
      <w:r w:rsidRPr="00F0355E">
        <w:rPr>
          <w:rFonts w:ascii="Arial" w:hAnsi="Arial" w:cs="Arial"/>
          <w:i/>
          <w:color w:val="000000"/>
          <w:sz w:val="20"/>
          <w:szCs w:val="20"/>
        </w:rPr>
        <w:t>ö</w:t>
      </w:r>
      <w:r w:rsidRPr="00F0355E">
        <w:rPr>
          <w:rFonts w:ascii="Arial" w:hAnsi="Arial" w:cs="Arial"/>
          <w:i/>
          <w:iCs/>
          <w:sz w:val="20"/>
          <w:szCs w:val="20"/>
          <w:lang w:val="en-US"/>
        </w:rPr>
        <w:t>m</w:t>
      </w:r>
      <w:r>
        <w:rPr>
          <w:rFonts w:ascii="Arial" w:hAnsi="Arial" w:cs="Arial"/>
          <w:sz w:val="20"/>
          <w:szCs w:val="20"/>
          <w:lang w:val="en-US"/>
        </w:rPr>
        <w:t xml:space="preserve"> </w:t>
      </w:r>
      <w:r w:rsidRPr="00F0355E">
        <w:rPr>
          <w:rFonts w:ascii="Arial" w:hAnsi="Arial" w:cs="Arial"/>
          <w:sz w:val="20"/>
          <w:szCs w:val="20"/>
          <w:lang w:val="en-US"/>
        </w:rPr>
        <w:t xml:space="preserve">(Uppsala: Iustus, 2012); and P. Webb, </w:t>
      </w:r>
      <w:r w:rsidRPr="00F0355E">
        <w:rPr>
          <w:rFonts w:ascii="Arial" w:hAnsi="Arial" w:cs="Arial"/>
          <w:i/>
          <w:iCs/>
          <w:sz w:val="20"/>
          <w:szCs w:val="20"/>
          <w:lang w:val="en-US"/>
        </w:rPr>
        <w:t xml:space="preserve">International Judicial Integration and Fragmentation </w:t>
      </w:r>
      <w:r w:rsidRPr="00F0355E">
        <w:rPr>
          <w:rFonts w:ascii="Arial" w:hAnsi="Arial" w:cs="Arial"/>
          <w:sz w:val="20"/>
          <w:szCs w:val="20"/>
          <w:lang w:val="en-US"/>
        </w:rPr>
        <w:t>(Oxford: OUP, 2013).  </w:t>
      </w:r>
    </w:p>
  </w:footnote>
  <w:footnote w:id="261">
    <w:p w14:paraId="55BAF1D1" w14:textId="7FA0EB61" w:rsidR="001A5BF9" w:rsidRPr="00855DFA" w:rsidRDefault="001A5BF9" w:rsidP="00E77493">
      <w:pPr>
        <w:pStyle w:val="FootnoteText"/>
        <w:rPr>
          <w:rFonts w:ascii="Arial" w:hAnsi="Arial" w:cs="Arial"/>
          <w:sz w:val="20"/>
          <w:szCs w:val="20"/>
          <w:lang w:val="en-US"/>
        </w:rPr>
      </w:pPr>
      <w:r w:rsidRPr="00855DFA">
        <w:rPr>
          <w:rStyle w:val="FootnoteReference"/>
          <w:rFonts w:ascii="Arial" w:hAnsi="Arial" w:cs="Arial"/>
          <w:sz w:val="20"/>
          <w:szCs w:val="20"/>
        </w:rPr>
        <w:footnoteRef/>
      </w:r>
      <w:r w:rsidRPr="00855DFA">
        <w:rPr>
          <w:rFonts w:ascii="Arial" w:hAnsi="Arial" w:cs="Arial"/>
          <w:sz w:val="20"/>
          <w:szCs w:val="20"/>
        </w:rPr>
        <w:t xml:space="preserve"> </w:t>
      </w:r>
      <w:r w:rsidRPr="006A4A32">
        <w:rPr>
          <w:rFonts w:ascii="Arial" w:hAnsi="Arial" w:cs="Arial"/>
          <w:sz w:val="20"/>
          <w:szCs w:val="20"/>
        </w:rPr>
        <w:t>Rodley (n 82),</w:t>
      </w:r>
      <w:r>
        <w:rPr>
          <w:rFonts w:ascii="Arial" w:hAnsi="Arial" w:cs="Arial"/>
          <w:sz w:val="20"/>
          <w:szCs w:val="20"/>
        </w:rPr>
        <w:t xml:space="preserve"> p 91.</w:t>
      </w:r>
    </w:p>
  </w:footnote>
  <w:footnote w:id="262">
    <w:p w14:paraId="4CDE4375" w14:textId="401C48AA" w:rsidR="001A5BF9" w:rsidRPr="00023787" w:rsidRDefault="001A5BF9" w:rsidP="00023787">
      <w:pPr>
        <w:pStyle w:val="FootnoteText"/>
        <w:rPr>
          <w:rFonts w:ascii="Arial" w:hAnsi="Arial" w:cs="Arial"/>
          <w:sz w:val="20"/>
          <w:szCs w:val="20"/>
          <w:lang w:val="en-US"/>
        </w:rPr>
      </w:pPr>
      <w:r w:rsidRPr="00023787">
        <w:rPr>
          <w:rStyle w:val="FootnoteReference"/>
          <w:rFonts w:ascii="Arial" w:hAnsi="Arial" w:cs="Arial"/>
          <w:sz w:val="20"/>
          <w:szCs w:val="20"/>
        </w:rPr>
        <w:footnoteRef/>
      </w:r>
      <w:r w:rsidRPr="00023787">
        <w:rPr>
          <w:rFonts w:ascii="Arial" w:hAnsi="Arial" w:cs="Arial"/>
          <w:sz w:val="20"/>
          <w:szCs w:val="20"/>
        </w:rPr>
        <w:t xml:space="preserve"> </w:t>
      </w:r>
      <w:r>
        <w:rPr>
          <w:rFonts w:ascii="Arial" w:hAnsi="Arial" w:cs="Arial"/>
          <w:sz w:val="20"/>
          <w:szCs w:val="20"/>
          <w:lang w:val="en-US"/>
        </w:rPr>
        <w:t>Special Rapporteur Sir M.</w:t>
      </w:r>
      <w:r w:rsidRPr="00023787">
        <w:rPr>
          <w:rFonts w:ascii="Arial" w:hAnsi="Arial" w:cs="Arial"/>
          <w:sz w:val="20"/>
          <w:szCs w:val="20"/>
          <w:lang w:val="en-US"/>
        </w:rPr>
        <w:t xml:space="preserve"> Wood, Second Report on Identification of Customary International Law ILC A/CN.4/672 p. 14 at [28].  </w:t>
      </w:r>
    </w:p>
  </w:footnote>
  <w:footnote w:id="263">
    <w:p w14:paraId="2DEF0C7C" w14:textId="151BAFFA" w:rsidR="001A5BF9" w:rsidRPr="002472E7" w:rsidRDefault="001A5BF9">
      <w:pPr>
        <w:pStyle w:val="FootnoteText"/>
        <w:rPr>
          <w:rFonts w:ascii="Arial" w:hAnsi="Arial" w:cs="Arial"/>
          <w:sz w:val="20"/>
          <w:szCs w:val="20"/>
          <w:lang w:val="en-US"/>
        </w:rPr>
      </w:pPr>
      <w:r w:rsidRPr="002472E7">
        <w:rPr>
          <w:rStyle w:val="FootnoteReference"/>
          <w:rFonts w:ascii="Arial" w:hAnsi="Arial" w:cs="Arial"/>
          <w:sz w:val="20"/>
          <w:szCs w:val="20"/>
        </w:rPr>
        <w:footnoteRef/>
      </w:r>
      <w:r w:rsidRPr="002472E7">
        <w:rPr>
          <w:rFonts w:ascii="Arial" w:hAnsi="Arial" w:cs="Arial"/>
          <w:sz w:val="20"/>
          <w:szCs w:val="20"/>
        </w:rPr>
        <w:t xml:space="preserve"> M. Andenas, ‘</w:t>
      </w:r>
      <w:r w:rsidRPr="002472E7">
        <w:rPr>
          <w:rFonts w:ascii="Arial" w:hAnsi="Arial" w:cs="Arial"/>
          <w:bCs/>
          <w:sz w:val="20"/>
          <w:szCs w:val="20"/>
          <w:lang w:val="en-US"/>
        </w:rPr>
        <w:t>Reassertion and transformation of international law’ in Andenas &amp; Bjorge (n 82), p 536.</w:t>
      </w:r>
      <w:r w:rsidRPr="002472E7">
        <w:rPr>
          <w:rFonts w:ascii="Arial" w:hAnsi="Arial" w:cs="Arial"/>
          <w:sz w:val="20"/>
          <w:szCs w:val="20"/>
        </w:rPr>
        <w:t xml:space="preserve"> </w:t>
      </w:r>
    </w:p>
  </w:footnote>
  <w:footnote w:id="264">
    <w:p w14:paraId="298B1DE6" w14:textId="154122AD" w:rsidR="001A5BF9" w:rsidRPr="004862DF" w:rsidRDefault="001A5BF9">
      <w:pPr>
        <w:pStyle w:val="FootnoteText"/>
        <w:rPr>
          <w:rFonts w:ascii="Arial" w:hAnsi="Arial" w:cs="Arial"/>
          <w:sz w:val="20"/>
          <w:szCs w:val="20"/>
          <w:lang w:val="en-US"/>
        </w:rPr>
      </w:pPr>
      <w:r w:rsidRPr="004862DF">
        <w:rPr>
          <w:rStyle w:val="FootnoteReference"/>
          <w:rFonts w:ascii="Arial" w:hAnsi="Arial" w:cs="Arial"/>
          <w:sz w:val="20"/>
          <w:szCs w:val="20"/>
        </w:rPr>
        <w:footnoteRef/>
      </w:r>
      <w:r w:rsidRPr="004862DF">
        <w:rPr>
          <w:rFonts w:ascii="Arial" w:hAnsi="Arial" w:cs="Arial"/>
          <w:sz w:val="20"/>
          <w:szCs w:val="20"/>
        </w:rPr>
        <w:t xml:space="preserve"> </w:t>
      </w:r>
      <w:r>
        <w:rPr>
          <w:rFonts w:ascii="Arial" w:hAnsi="Arial" w:cs="Arial"/>
          <w:sz w:val="20"/>
          <w:szCs w:val="20"/>
        </w:rPr>
        <w:t>Ibid.</w:t>
      </w:r>
    </w:p>
  </w:footnote>
  <w:footnote w:id="265">
    <w:p w14:paraId="635AAF6F" w14:textId="60CDF7BB" w:rsidR="001A5BF9" w:rsidRPr="00EE181E" w:rsidRDefault="001A5BF9">
      <w:pPr>
        <w:pStyle w:val="FootnoteText"/>
        <w:rPr>
          <w:rFonts w:ascii="Arial" w:hAnsi="Arial" w:cs="Arial"/>
          <w:sz w:val="20"/>
          <w:szCs w:val="20"/>
          <w:lang w:val="en-US"/>
        </w:rPr>
      </w:pPr>
      <w:r w:rsidRPr="00EE181E">
        <w:rPr>
          <w:rStyle w:val="FootnoteReference"/>
          <w:rFonts w:ascii="Arial" w:hAnsi="Arial" w:cs="Arial"/>
          <w:sz w:val="20"/>
          <w:szCs w:val="20"/>
        </w:rPr>
        <w:footnoteRef/>
      </w:r>
      <w:r w:rsidRPr="00EE181E">
        <w:rPr>
          <w:rFonts w:ascii="Arial" w:hAnsi="Arial" w:cs="Arial"/>
          <w:sz w:val="20"/>
          <w:szCs w:val="20"/>
        </w:rPr>
        <w:t xml:space="preserve"> </w:t>
      </w:r>
      <w:r>
        <w:rPr>
          <w:rFonts w:ascii="Arial" w:hAnsi="Arial" w:cs="Arial"/>
          <w:sz w:val="20"/>
          <w:szCs w:val="20"/>
        </w:rPr>
        <w:t>Ibid, p 537.</w:t>
      </w:r>
    </w:p>
  </w:footnote>
  <w:footnote w:id="266">
    <w:p w14:paraId="747EC123" w14:textId="31ED303A" w:rsidR="001A5BF9" w:rsidRPr="00864DA5" w:rsidRDefault="001A5BF9">
      <w:pPr>
        <w:pStyle w:val="FootnoteText"/>
        <w:rPr>
          <w:rFonts w:ascii="Arial" w:hAnsi="Arial" w:cs="Arial"/>
          <w:sz w:val="20"/>
          <w:szCs w:val="20"/>
          <w:lang w:val="en-US"/>
        </w:rPr>
      </w:pPr>
      <w:r w:rsidRPr="00864DA5">
        <w:rPr>
          <w:rStyle w:val="FootnoteReference"/>
          <w:rFonts w:ascii="Arial" w:hAnsi="Arial" w:cs="Arial"/>
          <w:sz w:val="20"/>
          <w:szCs w:val="20"/>
        </w:rPr>
        <w:footnoteRef/>
      </w:r>
      <w:r w:rsidRPr="00864DA5">
        <w:rPr>
          <w:rFonts w:ascii="Arial" w:hAnsi="Arial" w:cs="Arial"/>
          <w:sz w:val="20"/>
          <w:szCs w:val="20"/>
        </w:rPr>
        <w:t xml:space="preserve"> </w:t>
      </w:r>
      <w:r w:rsidRPr="00771649">
        <w:rPr>
          <w:rFonts w:ascii="Arial" w:hAnsi="Arial" w:cs="Arial"/>
          <w:sz w:val="20"/>
          <w:szCs w:val="20"/>
        </w:rPr>
        <w:t>ILC Study Group.</w:t>
      </w:r>
    </w:p>
  </w:footnote>
  <w:footnote w:id="267">
    <w:p w14:paraId="6222E64B" w14:textId="24118017" w:rsidR="001A5BF9" w:rsidRPr="00C15A68" w:rsidRDefault="001A5BF9">
      <w:pPr>
        <w:pStyle w:val="FootnoteText"/>
        <w:rPr>
          <w:rFonts w:ascii="Arial" w:hAnsi="Arial" w:cs="Arial"/>
          <w:sz w:val="20"/>
          <w:szCs w:val="20"/>
          <w:lang w:val="en-US"/>
        </w:rPr>
      </w:pPr>
      <w:r w:rsidRPr="00C15A68">
        <w:rPr>
          <w:rStyle w:val="FootnoteReference"/>
          <w:rFonts w:ascii="Arial" w:hAnsi="Arial" w:cs="Arial"/>
          <w:sz w:val="20"/>
          <w:szCs w:val="20"/>
        </w:rPr>
        <w:footnoteRef/>
      </w:r>
      <w:r w:rsidRPr="00C15A68">
        <w:rPr>
          <w:rFonts w:ascii="Arial" w:hAnsi="Arial" w:cs="Arial"/>
          <w:sz w:val="20"/>
          <w:szCs w:val="20"/>
        </w:rPr>
        <w:t xml:space="preserve"> </w:t>
      </w:r>
      <w:r w:rsidRPr="00C15A68">
        <w:rPr>
          <w:rFonts w:ascii="Arial" w:hAnsi="Arial" w:cs="Arial"/>
          <w:sz w:val="20"/>
          <w:szCs w:val="20"/>
          <w:lang w:val="en-US"/>
        </w:rPr>
        <w:t>Vienna Convention</w:t>
      </w:r>
      <w:r>
        <w:rPr>
          <w:rFonts w:ascii="Arial" w:hAnsi="Arial" w:cs="Arial"/>
          <w:sz w:val="20"/>
          <w:szCs w:val="20"/>
          <w:lang w:val="en-US"/>
        </w:rPr>
        <w:t>, Art.</w:t>
      </w:r>
      <w:r w:rsidRPr="00C15A68">
        <w:rPr>
          <w:rFonts w:ascii="Arial" w:hAnsi="Arial" w:cs="Arial"/>
          <w:sz w:val="20"/>
          <w:szCs w:val="20"/>
          <w:lang w:val="en-US"/>
        </w:rPr>
        <w:t xml:space="preserve"> 31(3)(c) </w:t>
      </w:r>
      <w:r>
        <w:rPr>
          <w:rFonts w:ascii="Arial" w:hAnsi="Arial" w:cs="Arial"/>
          <w:sz w:val="20"/>
          <w:szCs w:val="20"/>
          <w:lang w:val="en-US"/>
        </w:rPr>
        <w:t>state</w:t>
      </w:r>
      <w:r w:rsidRPr="00C15A68">
        <w:rPr>
          <w:rFonts w:ascii="Arial" w:hAnsi="Arial" w:cs="Arial"/>
          <w:sz w:val="20"/>
          <w:szCs w:val="20"/>
          <w:lang w:val="en-US"/>
        </w:rPr>
        <w:t>s that when interpreting treaties, ‘[t]here shall be taken into account, together with the context . . . any relevant rules of international law applicable in the relations be</w:t>
      </w:r>
      <w:r>
        <w:rPr>
          <w:rFonts w:ascii="Arial" w:hAnsi="Arial" w:cs="Arial"/>
          <w:sz w:val="20"/>
          <w:szCs w:val="20"/>
          <w:lang w:val="en-US"/>
        </w:rPr>
        <w:t>tween the parties.’ See in par</w:t>
      </w:r>
      <w:r w:rsidRPr="00C15A68">
        <w:rPr>
          <w:rFonts w:ascii="Arial" w:hAnsi="Arial" w:cs="Arial"/>
          <w:sz w:val="20"/>
          <w:szCs w:val="20"/>
          <w:lang w:val="en-US"/>
        </w:rPr>
        <w:t>ticular, C</w:t>
      </w:r>
      <w:r>
        <w:rPr>
          <w:rFonts w:ascii="Arial" w:hAnsi="Arial" w:cs="Arial"/>
          <w:sz w:val="20"/>
          <w:szCs w:val="20"/>
          <w:lang w:val="en-US"/>
        </w:rPr>
        <w:t>.</w:t>
      </w:r>
      <w:r w:rsidRPr="00C15A68">
        <w:rPr>
          <w:rFonts w:ascii="Arial" w:hAnsi="Arial" w:cs="Arial"/>
          <w:sz w:val="20"/>
          <w:szCs w:val="20"/>
          <w:lang w:val="en-US"/>
        </w:rPr>
        <w:t xml:space="preserve"> McLachlan, ‘The Principle of Systemic Integration, and Article 31 (3)(c) of the Vienna Convention’ (2005) 54 </w:t>
      </w:r>
      <w:r>
        <w:rPr>
          <w:rFonts w:ascii="Arial" w:hAnsi="Arial" w:cs="Arial"/>
          <w:i/>
          <w:iCs/>
          <w:sz w:val="20"/>
          <w:szCs w:val="20"/>
          <w:lang w:val="en-US"/>
        </w:rPr>
        <w:t>ICLQ</w:t>
      </w:r>
      <w:r w:rsidRPr="00C15A68">
        <w:rPr>
          <w:rFonts w:ascii="Arial" w:hAnsi="Arial" w:cs="Arial"/>
          <w:i/>
          <w:iCs/>
          <w:sz w:val="20"/>
          <w:szCs w:val="20"/>
          <w:lang w:val="en-US"/>
        </w:rPr>
        <w:t xml:space="preserve"> </w:t>
      </w:r>
      <w:r w:rsidRPr="00C15A68">
        <w:rPr>
          <w:rFonts w:ascii="Arial" w:hAnsi="Arial" w:cs="Arial"/>
          <w:sz w:val="20"/>
          <w:szCs w:val="20"/>
          <w:lang w:val="en-US"/>
        </w:rPr>
        <w:t xml:space="preserve">279– 320, who </w:t>
      </w:r>
      <w:r>
        <w:rPr>
          <w:rFonts w:ascii="Arial" w:hAnsi="Arial" w:cs="Arial"/>
          <w:sz w:val="20"/>
          <w:szCs w:val="20"/>
          <w:lang w:val="en-US"/>
        </w:rPr>
        <w:t>indicated</w:t>
      </w:r>
      <w:r w:rsidRPr="00C15A68">
        <w:rPr>
          <w:rFonts w:ascii="Arial" w:hAnsi="Arial" w:cs="Arial"/>
          <w:sz w:val="20"/>
          <w:szCs w:val="20"/>
          <w:lang w:val="en-US"/>
        </w:rPr>
        <w:t xml:space="preserve"> that ‘until very recently, Article 31(3)(c) languished in . . . obscurity’, and comments on the role of </w:t>
      </w:r>
      <w:r w:rsidRPr="00C15A68">
        <w:rPr>
          <w:rFonts w:ascii="Arial" w:hAnsi="Arial" w:cs="Arial"/>
          <w:i/>
          <w:iCs/>
          <w:sz w:val="20"/>
          <w:szCs w:val="20"/>
          <w:lang w:val="en-US"/>
        </w:rPr>
        <w:t xml:space="preserve">Oil Platforms (Islamic Republic of Iran </w:t>
      </w:r>
      <w:r>
        <w:rPr>
          <w:rFonts w:ascii="Arial" w:hAnsi="Arial" w:cs="Arial"/>
          <w:sz w:val="20"/>
          <w:szCs w:val="20"/>
          <w:lang w:val="en-US"/>
        </w:rPr>
        <w:t>v</w:t>
      </w:r>
      <w:r w:rsidRPr="00C15A68">
        <w:rPr>
          <w:rFonts w:ascii="Arial" w:hAnsi="Arial" w:cs="Arial"/>
          <w:sz w:val="20"/>
          <w:szCs w:val="20"/>
          <w:lang w:val="en-US"/>
        </w:rPr>
        <w:t xml:space="preserve"> </w:t>
      </w:r>
      <w:r w:rsidRPr="00C15A68">
        <w:rPr>
          <w:rFonts w:ascii="Arial" w:hAnsi="Arial" w:cs="Arial"/>
          <w:i/>
          <w:iCs/>
          <w:sz w:val="20"/>
          <w:szCs w:val="20"/>
          <w:lang w:val="en-US"/>
        </w:rPr>
        <w:t xml:space="preserve">United States of </w:t>
      </w:r>
      <w:r w:rsidRPr="00C15A68">
        <w:rPr>
          <w:rFonts w:ascii="Arial" w:hAnsi="Arial" w:cs="Arial"/>
          <w:sz w:val="20"/>
          <w:szCs w:val="20"/>
          <w:lang w:val="en-US"/>
        </w:rPr>
        <w:t> </w:t>
      </w:r>
      <w:r w:rsidRPr="00C15A68">
        <w:rPr>
          <w:rFonts w:ascii="Arial" w:hAnsi="Arial" w:cs="Arial"/>
          <w:i/>
          <w:iCs/>
          <w:sz w:val="20"/>
          <w:szCs w:val="20"/>
          <w:lang w:val="en-US"/>
        </w:rPr>
        <w:t>America)</w:t>
      </w:r>
      <w:r w:rsidRPr="00C15A68">
        <w:rPr>
          <w:rFonts w:ascii="Arial" w:hAnsi="Arial" w:cs="Arial"/>
          <w:sz w:val="20"/>
          <w:szCs w:val="20"/>
          <w:lang w:val="en-US"/>
        </w:rPr>
        <w:t>, Judgment, ICJ Reports 2003, 4 in its revival.  </w:t>
      </w:r>
    </w:p>
  </w:footnote>
  <w:footnote w:id="268">
    <w:p w14:paraId="5E1FDECD" w14:textId="6F0F4C57" w:rsidR="001A5BF9" w:rsidRPr="007B23C3" w:rsidRDefault="001A5BF9" w:rsidP="00D44854">
      <w:pPr>
        <w:pStyle w:val="FootnoteText"/>
        <w:rPr>
          <w:rFonts w:ascii="Arial" w:hAnsi="Arial" w:cs="Arial"/>
          <w:sz w:val="20"/>
          <w:szCs w:val="20"/>
          <w:lang w:val="en-US"/>
        </w:rPr>
      </w:pPr>
      <w:r w:rsidRPr="00EE181E">
        <w:rPr>
          <w:rStyle w:val="FootnoteReference"/>
          <w:rFonts w:ascii="Arial" w:hAnsi="Arial" w:cs="Arial"/>
          <w:sz w:val="20"/>
          <w:szCs w:val="20"/>
        </w:rPr>
        <w:footnoteRef/>
      </w:r>
      <w:r w:rsidRPr="000F06D4">
        <w:rPr>
          <w:rFonts w:ascii="Arial" w:hAnsi="Arial" w:cs="Arial"/>
          <w:sz w:val="20"/>
          <w:szCs w:val="20"/>
        </w:rPr>
        <w:t xml:space="preserve"> </w:t>
      </w:r>
      <w:r>
        <w:rPr>
          <w:rFonts w:ascii="Arial" w:hAnsi="Arial" w:cs="Arial"/>
          <w:sz w:val="20"/>
          <w:szCs w:val="20"/>
        </w:rPr>
        <w:t>M. Andenas &amp; E. Bjorge ‘</w:t>
      </w:r>
      <w:r w:rsidRPr="007810EF">
        <w:rPr>
          <w:rFonts w:ascii="Arial" w:hAnsi="Arial" w:cs="Arial"/>
          <w:sz w:val="20"/>
          <w:szCs w:val="20"/>
          <w:lang w:val="en-US"/>
        </w:rPr>
        <w:t>Introduction: from fragmentation to c</w:t>
      </w:r>
      <w:r>
        <w:rPr>
          <w:rFonts w:ascii="Arial" w:hAnsi="Arial" w:cs="Arial"/>
          <w:sz w:val="20"/>
          <w:szCs w:val="20"/>
          <w:lang w:val="en-US"/>
        </w:rPr>
        <w:t xml:space="preserve">onvergence in international law’ in </w:t>
      </w:r>
      <w:r>
        <w:rPr>
          <w:rFonts w:ascii="Arial" w:hAnsi="Arial" w:cs="Arial"/>
          <w:sz w:val="20"/>
          <w:szCs w:val="20"/>
        </w:rPr>
        <w:t xml:space="preserve">Andenas &amp; Bjorge </w:t>
      </w:r>
      <w:r w:rsidRPr="007B23C3">
        <w:rPr>
          <w:rFonts w:ascii="Arial" w:hAnsi="Arial" w:cs="Arial"/>
          <w:sz w:val="20"/>
          <w:szCs w:val="20"/>
        </w:rPr>
        <w:t>(n 82), p 6.</w:t>
      </w:r>
    </w:p>
  </w:footnote>
  <w:footnote w:id="269">
    <w:p w14:paraId="07B346C7" w14:textId="67C707F1" w:rsidR="001A5BF9" w:rsidRPr="007B23C3" w:rsidRDefault="001A5BF9" w:rsidP="00D44854">
      <w:pPr>
        <w:pStyle w:val="FootnoteText"/>
        <w:rPr>
          <w:rFonts w:ascii="Arial" w:hAnsi="Arial" w:cs="Arial"/>
          <w:sz w:val="20"/>
          <w:szCs w:val="20"/>
          <w:lang w:val="en-US"/>
        </w:rPr>
      </w:pPr>
      <w:r w:rsidRPr="007B23C3">
        <w:rPr>
          <w:rStyle w:val="FootnoteReference"/>
          <w:rFonts w:ascii="Arial" w:hAnsi="Arial" w:cs="Arial"/>
          <w:sz w:val="20"/>
          <w:szCs w:val="20"/>
        </w:rPr>
        <w:footnoteRef/>
      </w:r>
      <w:r w:rsidRPr="007B23C3">
        <w:rPr>
          <w:rFonts w:ascii="Arial" w:hAnsi="Arial" w:cs="Arial"/>
          <w:sz w:val="20"/>
          <w:szCs w:val="20"/>
        </w:rPr>
        <w:t xml:space="preserve"> </w:t>
      </w:r>
      <w:r w:rsidRPr="007B23C3">
        <w:rPr>
          <w:rFonts w:ascii="Arial" w:hAnsi="Arial" w:cs="Arial"/>
          <w:sz w:val="20"/>
          <w:szCs w:val="20"/>
          <w:lang w:val="en-US"/>
        </w:rPr>
        <w:t>Crawford (n 260), 216.  </w:t>
      </w:r>
    </w:p>
  </w:footnote>
  <w:footnote w:id="270">
    <w:p w14:paraId="7FB9D03E" w14:textId="7FA34F92" w:rsidR="001A5BF9" w:rsidRPr="005A27CA" w:rsidRDefault="001A5BF9">
      <w:pPr>
        <w:pStyle w:val="FootnoteText"/>
        <w:rPr>
          <w:rFonts w:ascii="Arial" w:hAnsi="Arial" w:cs="Arial"/>
          <w:sz w:val="20"/>
          <w:szCs w:val="20"/>
          <w:lang w:val="en-US"/>
        </w:rPr>
      </w:pPr>
      <w:r w:rsidRPr="007B23C3">
        <w:rPr>
          <w:rStyle w:val="FootnoteReference"/>
          <w:rFonts w:ascii="Arial" w:hAnsi="Arial" w:cs="Arial"/>
          <w:sz w:val="20"/>
          <w:szCs w:val="20"/>
        </w:rPr>
        <w:footnoteRef/>
      </w:r>
      <w:r w:rsidRPr="007B23C3">
        <w:rPr>
          <w:rFonts w:ascii="Arial" w:hAnsi="Arial" w:cs="Arial"/>
          <w:sz w:val="20"/>
          <w:szCs w:val="20"/>
        </w:rPr>
        <w:t xml:space="preserve"> </w:t>
      </w:r>
      <w:r w:rsidRPr="007B23C3">
        <w:rPr>
          <w:rFonts w:ascii="Arial" w:hAnsi="Arial" w:cs="Arial"/>
          <w:sz w:val="20"/>
          <w:szCs w:val="20"/>
          <w:lang w:val="en-US"/>
        </w:rPr>
        <w:t xml:space="preserve">M. Forowicz, ‘Factors influencing the reception of international law in the ECtHR’s case law: an overview’ in </w:t>
      </w:r>
      <w:r w:rsidRPr="007B23C3">
        <w:rPr>
          <w:rFonts w:ascii="Arial" w:hAnsi="Arial" w:cs="Arial"/>
          <w:sz w:val="20"/>
          <w:szCs w:val="20"/>
        </w:rPr>
        <w:t>Andenas &amp; Bjorge (n 82), p</w:t>
      </w:r>
      <w:r>
        <w:rPr>
          <w:rFonts w:ascii="Arial" w:hAnsi="Arial" w:cs="Arial"/>
          <w:sz w:val="20"/>
          <w:szCs w:val="20"/>
        </w:rPr>
        <w:t xml:space="preserve"> 215.</w:t>
      </w:r>
    </w:p>
  </w:footnote>
  <w:footnote w:id="271">
    <w:p w14:paraId="0C986A7D" w14:textId="77777777" w:rsidR="001A5BF9" w:rsidRPr="00FC4B68" w:rsidRDefault="001A5BF9" w:rsidP="005A27CA">
      <w:pPr>
        <w:pStyle w:val="FootnoteText"/>
        <w:rPr>
          <w:rFonts w:ascii="Arial" w:hAnsi="Arial" w:cs="Arial"/>
          <w:sz w:val="20"/>
          <w:szCs w:val="20"/>
          <w:lang w:val="en-US"/>
        </w:rPr>
      </w:pPr>
      <w:r w:rsidRPr="00FC4B68">
        <w:rPr>
          <w:rStyle w:val="FootnoteReference"/>
          <w:rFonts w:ascii="Arial" w:hAnsi="Arial" w:cs="Arial"/>
          <w:sz w:val="20"/>
          <w:szCs w:val="20"/>
        </w:rPr>
        <w:footnoteRef/>
      </w:r>
      <w:r w:rsidRPr="00FC4B68">
        <w:rPr>
          <w:rFonts w:ascii="Arial" w:hAnsi="Arial" w:cs="Arial"/>
          <w:sz w:val="20"/>
          <w:szCs w:val="20"/>
        </w:rPr>
        <w:t xml:space="preserve"> </w:t>
      </w:r>
      <w:r w:rsidRPr="00FC4B68">
        <w:rPr>
          <w:rFonts w:ascii="Arial" w:hAnsi="Arial" w:cs="Arial"/>
          <w:sz w:val="20"/>
          <w:szCs w:val="20"/>
          <w:lang w:val="en-US"/>
        </w:rPr>
        <w:t>P</w:t>
      </w:r>
      <w:r>
        <w:rPr>
          <w:rFonts w:ascii="Arial" w:hAnsi="Arial" w:cs="Arial"/>
          <w:sz w:val="20"/>
          <w:szCs w:val="20"/>
          <w:lang w:val="en-US"/>
        </w:rPr>
        <w:t xml:space="preserve">-M. </w:t>
      </w:r>
      <w:r w:rsidRPr="00FC4B68">
        <w:rPr>
          <w:rFonts w:ascii="Arial" w:hAnsi="Arial" w:cs="Arial"/>
          <w:sz w:val="20"/>
          <w:szCs w:val="20"/>
          <w:lang w:val="en-US"/>
        </w:rPr>
        <w:t xml:space="preserve">Dupuy, ‘The Danger of Fragmentation or Unification of the International Legal System and the International Court of Justice’, 31 </w:t>
      </w:r>
      <w:r w:rsidRPr="00FC4B68">
        <w:rPr>
          <w:rFonts w:ascii="Arial" w:hAnsi="Arial" w:cs="Arial"/>
          <w:i/>
          <w:sz w:val="20"/>
          <w:szCs w:val="20"/>
          <w:lang w:val="en-US"/>
        </w:rPr>
        <w:t>NYUJILP</w:t>
      </w:r>
      <w:r>
        <w:rPr>
          <w:rFonts w:ascii="Arial" w:hAnsi="Arial" w:cs="Arial"/>
          <w:i/>
          <w:sz w:val="20"/>
          <w:szCs w:val="20"/>
          <w:lang w:val="en-US"/>
        </w:rPr>
        <w:t xml:space="preserve"> </w:t>
      </w:r>
      <w:r w:rsidRPr="00FC4B68">
        <w:rPr>
          <w:rFonts w:ascii="Arial" w:hAnsi="Arial" w:cs="Arial"/>
          <w:sz w:val="20"/>
          <w:szCs w:val="20"/>
          <w:lang w:val="en-US"/>
        </w:rPr>
        <w:t xml:space="preserve">791, 798–801 (1999). </w:t>
      </w:r>
    </w:p>
  </w:footnote>
  <w:footnote w:id="272">
    <w:p w14:paraId="341D87F4" w14:textId="794453DF" w:rsidR="001A5BF9" w:rsidRPr="005C25FE" w:rsidRDefault="001A5BF9">
      <w:pPr>
        <w:pStyle w:val="FootnoteText"/>
        <w:rPr>
          <w:rFonts w:ascii="Arial" w:hAnsi="Arial" w:cs="Arial"/>
          <w:sz w:val="20"/>
          <w:szCs w:val="20"/>
          <w:lang w:val="en-US"/>
        </w:rPr>
      </w:pPr>
      <w:r w:rsidRPr="005C25FE">
        <w:rPr>
          <w:rStyle w:val="FootnoteReference"/>
          <w:rFonts w:ascii="Arial" w:hAnsi="Arial" w:cs="Arial"/>
          <w:sz w:val="20"/>
          <w:szCs w:val="20"/>
        </w:rPr>
        <w:footnoteRef/>
      </w:r>
      <w:r w:rsidRPr="005C25FE">
        <w:rPr>
          <w:rFonts w:ascii="Arial" w:hAnsi="Arial" w:cs="Arial"/>
          <w:sz w:val="20"/>
          <w:szCs w:val="20"/>
        </w:rPr>
        <w:t xml:space="preserve"> </w:t>
      </w:r>
      <w:r w:rsidRPr="005C25FE">
        <w:rPr>
          <w:rFonts w:ascii="Arial" w:hAnsi="Arial" w:cs="Arial"/>
          <w:i/>
          <w:iCs/>
          <w:sz w:val="20"/>
          <w:szCs w:val="20"/>
          <w:lang w:val="en-US"/>
        </w:rPr>
        <w:t>Legal Consequences of the Construction of a Wall in the Occupied Palestinian Territory</w:t>
      </w:r>
      <w:r>
        <w:rPr>
          <w:rFonts w:ascii="Arial" w:hAnsi="Arial" w:cs="Arial"/>
          <w:sz w:val="20"/>
          <w:szCs w:val="20"/>
          <w:lang w:val="en-US"/>
        </w:rPr>
        <w:t xml:space="preserve"> (Advisory Opinion)</w:t>
      </w:r>
      <w:r w:rsidRPr="005C25FE">
        <w:rPr>
          <w:rFonts w:ascii="Arial" w:hAnsi="Arial" w:cs="Arial"/>
          <w:sz w:val="20"/>
          <w:szCs w:val="20"/>
          <w:lang w:val="en-US"/>
        </w:rPr>
        <w:t xml:space="preserve"> 2004, ICJ 136.  </w:t>
      </w:r>
    </w:p>
  </w:footnote>
  <w:footnote w:id="273">
    <w:p w14:paraId="5BCEA414" w14:textId="2BD7FB84" w:rsidR="001A5BF9" w:rsidRPr="00E24D1D" w:rsidRDefault="001A5BF9" w:rsidP="00E24D1D">
      <w:pPr>
        <w:pStyle w:val="FootnoteText"/>
        <w:rPr>
          <w:rFonts w:ascii="Arial" w:hAnsi="Arial" w:cs="Arial"/>
          <w:sz w:val="20"/>
          <w:szCs w:val="20"/>
          <w:lang w:val="en-US"/>
        </w:rPr>
      </w:pPr>
      <w:r w:rsidRPr="00541590">
        <w:rPr>
          <w:rStyle w:val="FootnoteReference"/>
          <w:rFonts w:ascii="Arial" w:hAnsi="Arial" w:cs="Arial"/>
          <w:sz w:val="20"/>
          <w:szCs w:val="20"/>
        </w:rPr>
        <w:footnoteRef/>
      </w:r>
      <w:r w:rsidRPr="00541590">
        <w:rPr>
          <w:rFonts w:ascii="Arial" w:hAnsi="Arial" w:cs="Arial"/>
          <w:sz w:val="20"/>
          <w:szCs w:val="20"/>
        </w:rPr>
        <w:t xml:space="preserve"> </w:t>
      </w:r>
      <w:r w:rsidRPr="00E24D1D">
        <w:rPr>
          <w:rFonts w:ascii="Arial" w:hAnsi="Arial" w:cs="Arial"/>
          <w:i/>
          <w:iCs/>
          <w:sz w:val="20"/>
          <w:szCs w:val="20"/>
          <w:lang w:val="en-US"/>
        </w:rPr>
        <w:t xml:space="preserve">Questions relating to the Obligation to Prosecute or Extradite </w:t>
      </w:r>
      <w:r w:rsidRPr="009512DB">
        <w:rPr>
          <w:rFonts w:ascii="Arial" w:hAnsi="Arial" w:cs="Arial"/>
          <w:i/>
          <w:iCs/>
          <w:sz w:val="20"/>
          <w:szCs w:val="20"/>
          <w:lang w:val="en-US"/>
        </w:rPr>
        <w:t xml:space="preserve">(Belgium </w:t>
      </w:r>
      <w:r w:rsidRPr="009512DB">
        <w:rPr>
          <w:rFonts w:ascii="Arial" w:hAnsi="Arial" w:cs="Arial"/>
          <w:i/>
          <w:sz w:val="20"/>
          <w:szCs w:val="20"/>
          <w:lang w:val="en-US"/>
        </w:rPr>
        <w:t xml:space="preserve">v </w:t>
      </w:r>
      <w:r w:rsidRPr="009512DB">
        <w:rPr>
          <w:rFonts w:ascii="Arial" w:hAnsi="Arial" w:cs="Arial"/>
          <w:i/>
          <w:iCs/>
          <w:sz w:val="20"/>
          <w:szCs w:val="20"/>
          <w:lang w:val="en-US"/>
        </w:rPr>
        <w:t>Senegal) (Hiss</w:t>
      </w:r>
      <w:r w:rsidRPr="009512DB">
        <w:rPr>
          <w:rFonts w:ascii="Arial" w:hAnsi="Arial" w:cs="Arial"/>
          <w:i/>
          <w:color w:val="000000"/>
          <w:sz w:val="20"/>
          <w:szCs w:val="20"/>
        </w:rPr>
        <w:t>è</w:t>
      </w:r>
      <w:r w:rsidRPr="009512DB">
        <w:rPr>
          <w:rFonts w:ascii="Arial" w:hAnsi="Arial" w:cs="Arial"/>
          <w:i/>
          <w:iCs/>
          <w:sz w:val="20"/>
          <w:szCs w:val="20"/>
          <w:lang w:val="en-US"/>
        </w:rPr>
        <w:t>ne Habr</w:t>
      </w:r>
      <w:r w:rsidRPr="009512DB">
        <w:rPr>
          <w:rFonts w:ascii="Arial" w:hAnsi="Arial" w:cs="Arial"/>
          <w:i/>
          <w:color w:val="000000"/>
          <w:sz w:val="20"/>
          <w:szCs w:val="20"/>
        </w:rPr>
        <w:t>é</w:t>
      </w:r>
      <w:r w:rsidRPr="009512DB">
        <w:rPr>
          <w:rFonts w:ascii="Arial" w:hAnsi="Arial" w:cs="Arial"/>
          <w:i/>
          <w:iCs/>
          <w:sz w:val="20"/>
          <w:szCs w:val="20"/>
          <w:lang w:val="en-US"/>
        </w:rPr>
        <w:t>)</w:t>
      </w:r>
      <w:r w:rsidRPr="00DF7E0B">
        <w:rPr>
          <w:rFonts w:ascii="Arial" w:hAnsi="Arial" w:cs="Arial"/>
          <w:i/>
          <w:sz w:val="20"/>
          <w:szCs w:val="20"/>
          <w:lang w:val="en-US"/>
        </w:rPr>
        <w:t>,</w:t>
      </w:r>
      <w:r>
        <w:rPr>
          <w:rFonts w:ascii="Arial" w:hAnsi="Arial" w:cs="Arial"/>
          <w:sz w:val="20"/>
          <w:szCs w:val="20"/>
          <w:lang w:val="en-US"/>
        </w:rPr>
        <w:t xml:space="preserve"> judgment, 2012, ICJ 422; </w:t>
      </w:r>
      <w:r w:rsidRPr="00E24D1D">
        <w:rPr>
          <w:rFonts w:ascii="Arial" w:hAnsi="Arial" w:cs="Arial"/>
          <w:i/>
          <w:iCs/>
          <w:sz w:val="20"/>
          <w:szCs w:val="20"/>
          <w:lang w:val="en-US"/>
        </w:rPr>
        <w:t>Judgment No 2867 of the Administrative Tribunal of the International Labour Organization upon a Complaint Filed against the International Fund for Agricultural Development</w:t>
      </w:r>
      <w:r>
        <w:rPr>
          <w:rFonts w:ascii="Arial" w:hAnsi="Arial" w:cs="Arial"/>
          <w:sz w:val="20"/>
          <w:szCs w:val="20"/>
          <w:lang w:val="en-US"/>
        </w:rPr>
        <w:t xml:space="preserve"> (Advisory Opinion)</w:t>
      </w:r>
      <w:r w:rsidRPr="00E24D1D">
        <w:rPr>
          <w:rFonts w:ascii="Arial" w:hAnsi="Arial" w:cs="Arial"/>
          <w:sz w:val="20"/>
          <w:szCs w:val="20"/>
          <w:lang w:val="en-US"/>
        </w:rPr>
        <w:t xml:space="preserve"> 2012, ICJ 10.  </w:t>
      </w:r>
    </w:p>
  </w:footnote>
  <w:footnote w:id="274">
    <w:p w14:paraId="4505DDFC" w14:textId="7E8D3F33" w:rsidR="001A5BF9" w:rsidRPr="00037566" w:rsidRDefault="001A5BF9">
      <w:pPr>
        <w:pStyle w:val="FootnoteText"/>
        <w:rPr>
          <w:rFonts w:ascii="Arial" w:hAnsi="Arial" w:cs="Arial"/>
          <w:i/>
          <w:iCs/>
          <w:sz w:val="20"/>
          <w:szCs w:val="20"/>
          <w:lang w:val="en-US"/>
        </w:rPr>
      </w:pPr>
      <w:r w:rsidRPr="003041C2">
        <w:rPr>
          <w:rStyle w:val="FootnoteReference"/>
          <w:rFonts w:ascii="Arial" w:hAnsi="Arial" w:cs="Arial"/>
          <w:sz w:val="20"/>
          <w:szCs w:val="20"/>
        </w:rPr>
        <w:footnoteRef/>
      </w:r>
      <w:r w:rsidRPr="003041C2">
        <w:rPr>
          <w:rFonts w:ascii="Arial" w:hAnsi="Arial" w:cs="Arial"/>
          <w:sz w:val="20"/>
          <w:szCs w:val="20"/>
        </w:rPr>
        <w:t xml:space="preserve"> </w:t>
      </w:r>
      <w:r w:rsidRPr="003041C2">
        <w:rPr>
          <w:rFonts w:ascii="Arial" w:hAnsi="Arial" w:cs="Arial"/>
          <w:i/>
          <w:iCs/>
          <w:sz w:val="20"/>
          <w:szCs w:val="20"/>
          <w:lang w:val="en-US"/>
        </w:rPr>
        <w:t>Ahmadou Sadio Diallo</w:t>
      </w:r>
      <w:r>
        <w:rPr>
          <w:rFonts w:ascii="Arial" w:hAnsi="Arial" w:cs="Arial"/>
          <w:i/>
          <w:iCs/>
          <w:sz w:val="20"/>
          <w:szCs w:val="20"/>
          <w:lang w:val="en-US"/>
        </w:rPr>
        <w:t xml:space="preserve"> </w:t>
      </w:r>
      <w:r w:rsidRPr="00037566">
        <w:rPr>
          <w:rFonts w:ascii="Arial" w:hAnsi="Arial" w:cs="Arial"/>
          <w:i/>
          <w:iCs/>
          <w:sz w:val="20"/>
          <w:szCs w:val="20"/>
          <w:lang w:val="en-US"/>
        </w:rPr>
        <w:t xml:space="preserve">(Republic of Guinea </w:t>
      </w:r>
      <w:r w:rsidRPr="00037566">
        <w:rPr>
          <w:rFonts w:ascii="Arial" w:hAnsi="Arial" w:cs="Arial"/>
          <w:iCs/>
          <w:sz w:val="20"/>
          <w:szCs w:val="20"/>
          <w:lang w:val="en-US"/>
        </w:rPr>
        <w:t>v</w:t>
      </w:r>
      <w:r w:rsidRPr="00037566">
        <w:rPr>
          <w:rFonts w:ascii="Arial" w:hAnsi="Arial" w:cs="Arial"/>
          <w:i/>
          <w:iCs/>
          <w:sz w:val="20"/>
          <w:szCs w:val="20"/>
          <w:lang w:val="en-US"/>
        </w:rPr>
        <w:t xml:space="preserve"> De</w:t>
      </w:r>
      <w:r>
        <w:rPr>
          <w:rFonts w:ascii="Arial" w:hAnsi="Arial" w:cs="Arial"/>
          <w:i/>
          <w:iCs/>
          <w:sz w:val="20"/>
          <w:szCs w:val="20"/>
          <w:lang w:val="en-US"/>
        </w:rPr>
        <w:t>mocratic Republic of the Congo)</w:t>
      </w:r>
      <w:r>
        <w:rPr>
          <w:rFonts w:ascii="Arial" w:hAnsi="Arial" w:cs="Arial"/>
          <w:sz w:val="20"/>
          <w:szCs w:val="20"/>
          <w:lang w:val="en-US"/>
        </w:rPr>
        <w:t xml:space="preserve">, </w:t>
      </w:r>
      <w:r w:rsidRPr="003041C2">
        <w:rPr>
          <w:rFonts w:ascii="Arial" w:hAnsi="Arial" w:cs="Arial"/>
          <w:sz w:val="20"/>
          <w:szCs w:val="20"/>
          <w:lang w:val="en-US"/>
        </w:rPr>
        <w:t>merits,</w:t>
      </w:r>
      <w:r>
        <w:rPr>
          <w:rFonts w:ascii="Arial" w:hAnsi="Arial" w:cs="Arial"/>
          <w:sz w:val="20"/>
          <w:szCs w:val="20"/>
          <w:lang w:val="en-US"/>
        </w:rPr>
        <w:t xml:space="preserve"> </w:t>
      </w:r>
      <w:r w:rsidRPr="00037566">
        <w:rPr>
          <w:rFonts w:ascii="Arial" w:hAnsi="Arial" w:cs="Arial"/>
          <w:iCs/>
          <w:sz w:val="20"/>
          <w:szCs w:val="20"/>
          <w:lang w:val="en-US"/>
        </w:rPr>
        <w:t>judgment, 2010, ICJ 639</w:t>
      </w:r>
      <w:r w:rsidRPr="00037566">
        <w:rPr>
          <w:rFonts w:ascii="Arial" w:hAnsi="Arial" w:cs="Arial"/>
          <w:sz w:val="20"/>
          <w:szCs w:val="20"/>
          <w:lang w:val="en-US"/>
        </w:rPr>
        <w:t>,</w:t>
      </w:r>
      <w:r>
        <w:rPr>
          <w:rFonts w:ascii="Arial" w:hAnsi="Arial" w:cs="Arial"/>
          <w:sz w:val="20"/>
          <w:szCs w:val="20"/>
          <w:lang w:val="en-US"/>
        </w:rPr>
        <w:t xml:space="preserve"> at para </w:t>
      </w:r>
      <w:r w:rsidRPr="003041C2">
        <w:rPr>
          <w:rFonts w:ascii="Arial" w:hAnsi="Arial" w:cs="Arial"/>
          <w:sz w:val="20"/>
          <w:szCs w:val="20"/>
          <w:lang w:val="en-US"/>
        </w:rPr>
        <w:t>66</w:t>
      </w:r>
      <w:r>
        <w:rPr>
          <w:rFonts w:ascii="Arial" w:hAnsi="Arial" w:cs="Arial"/>
          <w:sz w:val="20"/>
          <w:szCs w:val="20"/>
          <w:lang w:val="en-US"/>
        </w:rPr>
        <w:t>.</w:t>
      </w:r>
      <w:r w:rsidRPr="003041C2">
        <w:rPr>
          <w:rFonts w:ascii="Arial" w:hAnsi="Arial" w:cs="Arial"/>
          <w:sz w:val="20"/>
          <w:szCs w:val="20"/>
          <w:lang w:val="en-US"/>
        </w:rPr>
        <w:t xml:space="preserve"> See P. R. Ghandhi, ‘Human Rights and the International Court of Justice in the </w:t>
      </w:r>
      <w:r w:rsidRPr="003041C2">
        <w:rPr>
          <w:rFonts w:ascii="Arial" w:hAnsi="Arial" w:cs="Arial"/>
          <w:i/>
          <w:iCs/>
          <w:sz w:val="20"/>
          <w:szCs w:val="20"/>
          <w:lang w:val="en-US"/>
        </w:rPr>
        <w:t xml:space="preserve">Ahmadou Sadio Diallo </w:t>
      </w:r>
      <w:r w:rsidRPr="003041C2">
        <w:rPr>
          <w:rFonts w:ascii="Arial" w:hAnsi="Arial" w:cs="Arial"/>
          <w:sz w:val="20"/>
          <w:szCs w:val="20"/>
          <w:lang w:val="en-US"/>
        </w:rPr>
        <w:t xml:space="preserve">Case’, </w:t>
      </w:r>
      <w:r>
        <w:rPr>
          <w:rFonts w:ascii="Arial" w:hAnsi="Arial" w:cs="Arial"/>
          <w:i/>
          <w:iCs/>
          <w:sz w:val="20"/>
          <w:szCs w:val="20"/>
          <w:lang w:val="en-US"/>
        </w:rPr>
        <w:t>HRLR</w:t>
      </w:r>
      <w:r w:rsidRPr="003041C2">
        <w:rPr>
          <w:rFonts w:ascii="Arial" w:hAnsi="Arial" w:cs="Arial"/>
          <w:i/>
          <w:iCs/>
          <w:sz w:val="20"/>
          <w:szCs w:val="20"/>
          <w:lang w:val="en-US"/>
        </w:rPr>
        <w:t xml:space="preserve"> </w:t>
      </w:r>
      <w:r w:rsidRPr="003041C2">
        <w:rPr>
          <w:rFonts w:ascii="Arial" w:hAnsi="Arial" w:cs="Arial"/>
          <w:sz w:val="20"/>
          <w:szCs w:val="20"/>
          <w:lang w:val="en-US"/>
        </w:rPr>
        <w:t>11, 3 (2011): 536.  </w:t>
      </w:r>
    </w:p>
  </w:footnote>
  <w:footnote w:id="275">
    <w:p w14:paraId="353369FD" w14:textId="63084CE8" w:rsidR="001A5BF9" w:rsidRPr="00851D17" w:rsidRDefault="001A5BF9">
      <w:pPr>
        <w:pStyle w:val="FootnoteText"/>
        <w:rPr>
          <w:rFonts w:ascii="Arial" w:hAnsi="Arial" w:cs="Arial"/>
          <w:sz w:val="20"/>
          <w:szCs w:val="20"/>
          <w:lang w:val="en-US"/>
        </w:rPr>
      </w:pPr>
      <w:r w:rsidRPr="00851D17">
        <w:rPr>
          <w:rStyle w:val="FootnoteReference"/>
          <w:rFonts w:ascii="Arial" w:hAnsi="Arial" w:cs="Arial"/>
          <w:sz w:val="20"/>
          <w:szCs w:val="20"/>
        </w:rPr>
        <w:footnoteRef/>
      </w:r>
      <w:r w:rsidRPr="00851D17">
        <w:rPr>
          <w:rFonts w:ascii="Arial" w:hAnsi="Arial" w:cs="Arial"/>
          <w:sz w:val="20"/>
          <w:szCs w:val="20"/>
        </w:rPr>
        <w:t xml:space="preserve"> </w:t>
      </w:r>
      <w:r>
        <w:rPr>
          <w:rFonts w:ascii="Arial" w:hAnsi="Arial" w:cs="Arial"/>
          <w:sz w:val="20"/>
          <w:szCs w:val="20"/>
          <w:lang w:val="en-US"/>
        </w:rPr>
        <w:t xml:space="preserve">See Judge </w:t>
      </w:r>
      <w:r w:rsidRPr="00EC6EF8">
        <w:rPr>
          <w:rFonts w:ascii="Arial" w:hAnsi="Arial" w:cs="Arial"/>
          <w:sz w:val="20"/>
          <w:szCs w:val="20"/>
          <w:lang w:val="en-US"/>
        </w:rPr>
        <w:t>Can</w:t>
      </w:r>
      <w:r w:rsidRPr="00EC6EF8">
        <w:rPr>
          <w:rFonts w:ascii="Arial" w:hAnsi="Arial" w:cs="Arial"/>
          <w:color w:val="000000"/>
          <w:sz w:val="20"/>
          <w:szCs w:val="20"/>
        </w:rPr>
        <w:t>ç</w:t>
      </w:r>
      <w:r w:rsidRPr="00EC6EF8">
        <w:rPr>
          <w:rFonts w:ascii="Arial" w:hAnsi="Arial" w:cs="Arial"/>
          <w:sz w:val="20"/>
          <w:szCs w:val="20"/>
          <w:lang w:val="en-US"/>
        </w:rPr>
        <w:t>ado</w:t>
      </w:r>
      <w:r w:rsidRPr="00851D17">
        <w:rPr>
          <w:rFonts w:ascii="Arial" w:hAnsi="Arial" w:cs="Arial"/>
          <w:sz w:val="20"/>
          <w:szCs w:val="20"/>
          <w:lang w:val="en-US"/>
        </w:rPr>
        <w:t xml:space="preserve"> Trindade, address to the 100th session of the Human Rights Committee, UN Doc. CCPR/C/SR. 2772 (2010), para</w:t>
      </w:r>
      <w:r>
        <w:rPr>
          <w:rFonts w:ascii="Arial" w:hAnsi="Arial" w:cs="Arial"/>
          <w:sz w:val="20"/>
          <w:szCs w:val="20"/>
          <w:lang w:val="en-US"/>
        </w:rPr>
        <w:t>s</w:t>
      </w:r>
      <w:r w:rsidRPr="00851D17">
        <w:rPr>
          <w:rFonts w:ascii="Arial" w:hAnsi="Arial" w:cs="Arial"/>
          <w:sz w:val="20"/>
          <w:szCs w:val="20"/>
          <w:lang w:val="en-US"/>
        </w:rPr>
        <w:t xml:space="preserve"> 1</w:t>
      </w:r>
      <w:r>
        <w:rPr>
          <w:rFonts w:ascii="Arial" w:hAnsi="Arial" w:cs="Arial"/>
          <w:sz w:val="20"/>
          <w:szCs w:val="20"/>
          <w:lang w:val="en-US"/>
        </w:rPr>
        <w:t>-</w:t>
      </w:r>
      <w:r w:rsidRPr="00851D17">
        <w:rPr>
          <w:rFonts w:ascii="Arial" w:hAnsi="Arial" w:cs="Arial"/>
          <w:sz w:val="20"/>
          <w:szCs w:val="20"/>
          <w:lang w:val="en-US"/>
        </w:rPr>
        <w:t>17.  </w:t>
      </w:r>
    </w:p>
  </w:footnote>
  <w:footnote w:id="276">
    <w:p w14:paraId="13EF0A18" w14:textId="77777777" w:rsidR="001A5BF9" w:rsidRPr="00D67D89" w:rsidRDefault="001A5BF9" w:rsidP="007435A3">
      <w:pPr>
        <w:pStyle w:val="FootnoteText"/>
        <w:rPr>
          <w:rFonts w:ascii="Arial" w:hAnsi="Arial" w:cs="Arial"/>
          <w:sz w:val="20"/>
          <w:szCs w:val="20"/>
          <w:lang w:val="en-US"/>
        </w:rPr>
      </w:pPr>
      <w:r w:rsidRPr="00D67D89">
        <w:rPr>
          <w:rStyle w:val="FootnoteReference"/>
          <w:rFonts w:ascii="Arial" w:hAnsi="Arial" w:cs="Arial"/>
          <w:sz w:val="20"/>
          <w:szCs w:val="20"/>
        </w:rPr>
        <w:footnoteRef/>
      </w:r>
      <w:r w:rsidRPr="00D67D89">
        <w:rPr>
          <w:rFonts w:ascii="Arial" w:hAnsi="Arial" w:cs="Arial"/>
          <w:sz w:val="20"/>
          <w:szCs w:val="20"/>
        </w:rPr>
        <w:t xml:space="preserve"> </w:t>
      </w:r>
      <w:r w:rsidRPr="00D67D89">
        <w:rPr>
          <w:rFonts w:ascii="Arial" w:hAnsi="Arial" w:cs="Arial"/>
          <w:i/>
          <w:iCs/>
          <w:sz w:val="20"/>
          <w:szCs w:val="20"/>
          <w:lang w:val="en-US"/>
        </w:rPr>
        <w:t>Nicaragua</w:t>
      </w:r>
      <w:r w:rsidRPr="00D67D89">
        <w:rPr>
          <w:rFonts w:ascii="Arial" w:hAnsi="Arial" w:cs="Arial"/>
          <w:sz w:val="20"/>
          <w:szCs w:val="20"/>
          <w:lang w:val="en-US"/>
        </w:rPr>
        <w:t xml:space="preserve">, ICJ Reports </w:t>
      </w:r>
      <w:r>
        <w:rPr>
          <w:rFonts w:ascii="Arial" w:hAnsi="Arial" w:cs="Arial"/>
          <w:sz w:val="20"/>
          <w:szCs w:val="20"/>
          <w:lang w:val="en-US"/>
        </w:rPr>
        <w:t>1</w:t>
      </w:r>
      <w:r w:rsidRPr="00D67D89">
        <w:rPr>
          <w:rFonts w:ascii="Arial" w:hAnsi="Arial" w:cs="Arial"/>
          <w:sz w:val="20"/>
          <w:szCs w:val="20"/>
          <w:lang w:val="en-US"/>
        </w:rPr>
        <w:t>986, para. 268. See N. Ro</w:t>
      </w:r>
      <w:r>
        <w:rPr>
          <w:rFonts w:ascii="Arial" w:hAnsi="Arial" w:cs="Arial"/>
          <w:sz w:val="20"/>
          <w:szCs w:val="20"/>
          <w:lang w:val="en-US"/>
        </w:rPr>
        <w:t>dley, ‘Human Rights and Humani</w:t>
      </w:r>
      <w:r w:rsidRPr="00D67D89">
        <w:rPr>
          <w:rFonts w:ascii="Arial" w:hAnsi="Arial" w:cs="Arial"/>
          <w:sz w:val="20"/>
          <w:szCs w:val="20"/>
          <w:lang w:val="en-US"/>
        </w:rPr>
        <w:t xml:space="preserve">tarian Intervention: The Case Law of the World Court’, 38 </w:t>
      </w:r>
      <w:r w:rsidRPr="00D67D89">
        <w:rPr>
          <w:rFonts w:ascii="Arial" w:hAnsi="Arial" w:cs="Arial"/>
          <w:i/>
          <w:iCs/>
          <w:sz w:val="20"/>
          <w:szCs w:val="20"/>
          <w:lang w:val="en-US"/>
        </w:rPr>
        <w:t>ICLQ</w:t>
      </w:r>
      <w:r>
        <w:rPr>
          <w:rFonts w:ascii="Arial" w:hAnsi="Arial" w:cs="Arial"/>
          <w:i/>
          <w:iCs/>
          <w:sz w:val="20"/>
          <w:szCs w:val="20"/>
          <w:lang w:val="en-US"/>
        </w:rPr>
        <w:t xml:space="preserve"> </w:t>
      </w:r>
      <w:r w:rsidRPr="00D67D89">
        <w:rPr>
          <w:rFonts w:ascii="Arial" w:hAnsi="Arial" w:cs="Arial"/>
          <w:sz w:val="20"/>
          <w:szCs w:val="20"/>
          <w:lang w:val="en-US"/>
        </w:rPr>
        <w:t>(1989), pp. 321–33, at pp. 327–8.  </w:t>
      </w:r>
    </w:p>
  </w:footnote>
  <w:footnote w:id="277">
    <w:p w14:paraId="7D96ADF1" w14:textId="77777777" w:rsidR="001A5BF9" w:rsidRPr="00766099" w:rsidRDefault="001A5BF9" w:rsidP="003E4DEB">
      <w:pPr>
        <w:pStyle w:val="FootnoteText"/>
        <w:rPr>
          <w:rFonts w:ascii="Arial" w:hAnsi="Arial" w:cs="Arial"/>
          <w:sz w:val="20"/>
          <w:szCs w:val="20"/>
          <w:lang w:val="en-US"/>
        </w:rPr>
      </w:pPr>
      <w:r w:rsidRPr="00766099">
        <w:rPr>
          <w:rStyle w:val="FootnoteReference"/>
          <w:rFonts w:ascii="Arial" w:hAnsi="Arial" w:cs="Arial"/>
          <w:sz w:val="20"/>
          <w:szCs w:val="20"/>
        </w:rPr>
        <w:footnoteRef/>
      </w:r>
      <w:r w:rsidRPr="00766099">
        <w:rPr>
          <w:rFonts w:ascii="Arial" w:hAnsi="Arial" w:cs="Arial"/>
          <w:sz w:val="20"/>
          <w:szCs w:val="20"/>
        </w:rPr>
        <w:t xml:space="preserve"> </w:t>
      </w:r>
      <w:r w:rsidRPr="00766099">
        <w:rPr>
          <w:rFonts w:ascii="Arial" w:hAnsi="Arial" w:cs="Arial"/>
          <w:sz w:val="20"/>
          <w:szCs w:val="20"/>
          <w:lang w:val="en-US"/>
        </w:rPr>
        <w:t xml:space="preserve">Vienna Convention on the Law of Treaties, 23 May 1969, 1155 UNTS 331; (1969) 8 ILM 679, Art. 31. </w:t>
      </w:r>
    </w:p>
  </w:footnote>
  <w:footnote w:id="278">
    <w:p w14:paraId="5E565EB8" w14:textId="611596C3" w:rsidR="001A5BF9" w:rsidRPr="001E6EC4" w:rsidRDefault="001A5BF9">
      <w:pPr>
        <w:pStyle w:val="FootnoteText"/>
        <w:rPr>
          <w:rFonts w:ascii="Arial" w:hAnsi="Arial" w:cs="Arial"/>
          <w:sz w:val="20"/>
          <w:szCs w:val="20"/>
          <w:lang w:val="en-US"/>
        </w:rPr>
      </w:pPr>
      <w:r w:rsidRPr="001E6EC4">
        <w:rPr>
          <w:rStyle w:val="FootnoteReference"/>
          <w:rFonts w:ascii="Arial" w:hAnsi="Arial" w:cs="Arial"/>
          <w:sz w:val="20"/>
          <w:szCs w:val="20"/>
        </w:rPr>
        <w:footnoteRef/>
      </w:r>
      <w:r w:rsidRPr="001E6EC4">
        <w:rPr>
          <w:rFonts w:ascii="Arial" w:hAnsi="Arial" w:cs="Arial"/>
          <w:sz w:val="20"/>
          <w:szCs w:val="20"/>
        </w:rPr>
        <w:t xml:space="preserve"> </w:t>
      </w:r>
      <w:r>
        <w:rPr>
          <w:rFonts w:ascii="Arial" w:hAnsi="Arial" w:cs="Arial"/>
          <w:sz w:val="20"/>
          <w:szCs w:val="20"/>
        </w:rPr>
        <w:t xml:space="preserve">Rodley </w:t>
      </w:r>
      <w:r w:rsidRPr="006A4A32">
        <w:rPr>
          <w:rFonts w:ascii="Arial" w:hAnsi="Arial" w:cs="Arial"/>
          <w:sz w:val="20"/>
          <w:szCs w:val="20"/>
        </w:rPr>
        <w:t>(n 82),</w:t>
      </w:r>
      <w:r>
        <w:rPr>
          <w:rFonts w:ascii="Arial" w:hAnsi="Arial" w:cs="Arial"/>
          <w:sz w:val="20"/>
          <w:szCs w:val="20"/>
        </w:rPr>
        <w:t xml:space="preserve"> p 96.</w:t>
      </w:r>
    </w:p>
  </w:footnote>
  <w:footnote w:id="279">
    <w:p w14:paraId="13FD5C19" w14:textId="21D1CC6F" w:rsidR="001A5BF9" w:rsidRPr="001E6938" w:rsidRDefault="001A5BF9">
      <w:pPr>
        <w:pStyle w:val="FootnoteText"/>
        <w:rPr>
          <w:rFonts w:ascii="Arial" w:hAnsi="Arial" w:cs="Arial"/>
          <w:sz w:val="20"/>
          <w:szCs w:val="20"/>
          <w:lang w:val="en-US"/>
        </w:rPr>
      </w:pPr>
      <w:r w:rsidRPr="001E6938">
        <w:rPr>
          <w:rStyle w:val="FootnoteReference"/>
          <w:rFonts w:ascii="Arial" w:hAnsi="Arial" w:cs="Arial"/>
          <w:sz w:val="20"/>
          <w:szCs w:val="20"/>
        </w:rPr>
        <w:footnoteRef/>
      </w:r>
      <w:r w:rsidRPr="001E6938">
        <w:rPr>
          <w:rFonts w:ascii="Arial" w:hAnsi="Arial" w:cs="Arial"/>
          <w:sz w:val="20"/>
          <w:szCs w:val="20"/>
        </w:rPr>
        <w:t xml:space="preserve"> </w:t>
      </w:r>
      <w:r w:rsidRPr="00037566">
        <w:rPr>
          <w:rFonts w:ascii="Arial" w:hAnsi="Arial" w:cs="Arial"/>
          <w:iCs/>
          <w:sz w:val="20"/>
          <w:szCs w:val="20"/>
          <w:lang w:val="en-US"/>
        </w:rPr>
        <w:t>2010, ICJ 639</w:t>
      </w:r>
      <w:r w:rsidRPr="00037566">
        <w:rPr>
          <w:rFonts w:ascii="Arial" w:hAnsi="Arial" w:cs="Arial"/>
          <w:sz w:val="20"/>
          <w:szCs w:val="20"/>
          <w:lang w:val="en-US"/>
        </w:rPr>
        <w:t>,</w:t>
      </w:r>
      <w:r>
        <w:rPr>
          <w:rFonts w:ascii="Arial" w:hAnsi="Arial" w:cs="Arial"/>
          <w:sz w:val="20"/>
          <w:szCs w:val="20"/>
          <w:lang w:val="en-US"/>
        </w:rPr>
        <w:t xml:space="preserve"> at para </w:t>
      </w:r>
      <w:r w:rsidRPr="003041C2">
        <w:rPr>
          <w:rFonts w:ascii="Arial" w:hAnsi="Arial" w:cs="Arial"/>
          <w:sz w:val="20"/>
          <w:szCs w:val="20"/>
          <w:lang w:val="en-US"/>
        </w:rPr>
        <w:t>66</w:t>
      </w:r>
      <w:r>
        <w:rPr>
          <w:rFonts w:ascii="Arial" w:hAnsi="Arial" w:cs="Arial"/>
          <w:sz w:val="20"/>
          <w:szCs w:val="20"/>
          <w:lang w:val="en-US"/>
        </w:rPr>
        <w:t>.</w:t>
      </w:r>
    </w:p>
  </w:footnote>
  <w:footnote w:id="280">
    <w:p w14:paraId="32047338" w14:textId="0A575A31" w:rsidR="001A5BF9" w:rsidRPr="00843E4B" w:rsidRDefault="001A5BF9">
      <w:pPr>
        <w:pStyle w:val="FootnoteText"/>
        <w:rPr>
          <w:rFonts w:ascii="Arial" w:hAnsi="Arial"/>
          <w:sz w:val="20"/>
          <w:szCs w:val="20"/>
          <w:lang w:val="en-US"/>
        </w:rPr>
      </w:pPr>
      <w:r w:rsidRPr="00843E4B">
        <w:rPr>
          <w:rStyle w:val="FootnoteReference"/>
          <w:rFonts w:ascii="Arial" w:hAnsi="Arial"/>
          <w:sz w:val="20"/>
          <w:szCs w:val="20"/>
        </w:rPr>
        <w:footnoteRef/>
      </w:r>
      <w:r w:rsidRPr="00843E4B">
        <w:rPr>
          <w:rFonts w:ascii="Arial" w:hAnsi="Arial"/>
          <w:sz w:val="20"/>
          <w:szCs w:val="20"/>
        </w:rPr>
        <w:t xml:space="preserve"> </w:t>
      </w:r>
      <w:r>
        <w:rPr>
          <w:rFonts w:ascii="Arial" w:hAnsi="Arial"/>
          <w:i/>
          <w:sz w:val="20"/>
          <w:szCs w:val="20"/>
        </w:rPr>
        <w:t xml:space="preserve">Loizidou </w:t>
      </w:r>
      <w:r>
        <w:rPr>
          <w:rFonts w:ascii="Arial" w:hAnsi="Arial"/>
          <w:sz w:val="20"/>
          <w:szCs w:val="20"/>
        </w:rPr>
        <w:t xml:space="preserve">v </w:t>
      </w:r>
      <w:r w:rsidRPr="00AA2C3B">
        <w:rPr>
          <w:rFonts w:ascii="Arial" w:hAnsi="Arial"/>
          <w:i/>
          <w:sz w:val="20"/>
          <w:szCs w:val="20"/>
        </w:rPr>
        <w:t xml:space="preserve">Turkey </w:t>
      </w:r>
      <w:r w:rsidRPr="00AA2C3B">
        <w:rPr>
          <w:rFonts w:ascii="Arial" w:hAnsi="Arial"/>
          <w:sz w:val="20"/>
          <w:szCs w:val="20"/>
        </w:rPr>
        <w:t>(n 153).</w:t>
      </w:r>
    </w:p>
  </w:footnote>
  <w:footnote w:id="281">
    <w:p w14:paraId="7D13AF34" w14:textId="6D7AAB9E" w:rsidR="001A5BF9" w:rsidRPr="002E2491" w:rsidRDefault="001A5BF9">
      <w:pPr>
        <w:pStyle w:val="FootnoteText"/>
        <w:rPr>
          <w:rFonts w:ascii="Arial" w:hAnsi="Arial"/>
          <w:sz w:val="20"/>
          <w:szCs w:val="20"/>
          <w:lang w:val="en-US"/>
        </w:rPr>
      </w:pPr>
      <w:r w:rsidRPr="002E2491">
        <w:rPr>
          <w:rStyle w:val="FootnoteReference"/>
          <w:rFonts w:ascii="Arial" w:hAnsi="Arial"/>
          <w:sz w:val="20"/>
          <w:szCs w:val="20"/>
        </w:rPr>
        <w:footnoteRef/>
      </w:r>
      <w:r w:rsidRPr="002E2491">
        <w:rPr>
          <w:rFonts w:ascii="Arial" w:hAnsi="Arial"/>
          <w:sz w:val="20"/>
          <w:szCs w:val="20"/>
        </w:rPr>
        <w:t xml:space="preserve"> </w:t>
      </w:r>
      <w:r>
        <w:rPr>
          <w:rFonts w:ascii="Arial" w:hAnsi="Arial"/>
          <w:sz w:val="20"/>
          <w:szCs w:val="20"/>
        </w:rPr>
        <w:t>Convention for the Protection of Human Rights and Fundamental Freedoms, 4 November 1950, 213 UNTS 222.</w:t>
      </w:r>
    </w:p>
  </w:footnote>
  <w:footnote w:id="282">
    <w:p w14:paraId="398ACA25" w14:textId="4D828809" w:rsidR="001A5BF9" w:rsidRPr="0090301E" w:rsidRDefault="001A5BF9">
      <w:pPr>
        <w:pStyle w:val="FootnoteText"/>
        <w:rPr>
          <w:rFonts w:ascii="Arial" w:hAnsi="Arial" w:cs="Arial"/>
          <w:sz w:val="20"/>
          <w:szCs w:val="20"/>
          <w:lang w:val="en-US"/>
        </w:rPr>
      </w:pPr>
      <w:r w:rsidRPr="0090301E">
        <w:rPr>
          <w:rStyle w:val="FootnoteReference"/>
          <w:rFonts w:ascii="Arial" w:hAnsi="Arial" w:cs="Arial"/>
          <w:sz w:val="20"/>
          <w:szCs w:val="20"/>
        </w:rPr>
        <w:footnoteRef/>
      </w:r>
      <w:r w:rsidRPr="0090301E">
        <w:rPr>
          <w:rFonts w:ascii="Arial" w:hAnsi="Arial" w:cs="Arial"/>
          <w:sz w:val="20"/>
          <w:szCs w:val="20"/>
        </w:rPr>
        <w:t xml:space="preserve"> </w:t>
      </w:r>
      <w:r>
        <w:rPr>
          <w:rFonts w:ascii="Arial" w:hAnsi="Arial" w:cs="Arial"/>
          <w:sz w:val="20"/>
          <w:szCs w:val="20"/>
        </w:rPr>
        <w:t xml:space="preserve">Bjorge </w:t>
      </w:r>
      <w:r w:rsidRPr="0034410A">
        <w:rPr>
          <w:rFonts w:ascii="Arial" w:hAnsi="Arial" w:cs="Arial"/>
          <w:sz w:val="20"/>
          <w:szCs w:val="20"/>
        </w:rPr>
        <w:t>(n 157),</w:t>
      </w:r>
      <w:r>
        <w:rPr>
          <w:rFonts w:ascii="Arial" w:hAnsi="Arial" w:cs="Arial"/>
          <w:sz w:val="20"/>
          <w:szCs w:val="20"/>
        </w:rPr>
        <w:t xml:space="preserve"> p 135.</w:t>
      </w:r>
    </w:p>
  </w:footnote>
  <w:footnote w:id="283">
    <w:p w14:paraId="2C261EE9" w14:textId="2F6C0AF4" w:rsidR="001A5BF9" w:rsidRPr="00FD3ED1" w:rsidRDefault="001A5BF9">
      <w:pPr>
        <w:pStyle w:val="FootnoteText"/>
        <w:rPr>
          <w:rFonts w:ascii="Arial" w:hAnsi="Arial"/>
          <w:sz w:val="20"/>
          <w:szCs w:val="20"/>
        </w:rPr>
      </w:pPr>
      <w:r w:rsidRPr="00FD3ED1">
        <w:rPr>
          <w:rStyle w:val="FootnoteReference"/>
          <w:rFonts w:ascii="Arial" w:hAnsi="Arial"/>
          <w:sz w:val="20"/>
          <w:szCs w:val="20"/>
        </w:rPr>
        <w:footnoteRef/>
      </w:r>
      <w:r w:rsidRPr="00FD3ED1">
        <w:rPr>
          <w:rFonts w:ascii="Arial" w:hAnsi="Arial"/>
          <w:sz w:val="20"/>
          <w:szCs w:val="20"/>
        </w:rPr>
        <w:t xml:space="preserve"> R. Jennings, ‘The Proliferation of Adjudicatory Bodies: Dangers and Possible Answers’ in </w:t>
      </w:r>
      <w:r w:rsidRPr="00FD3ED1">
        <w:rPr>
          <w:rFonts w:ascii="Arial" w:hAnsi="Arial"/>
          <w:i/>
          <w:sz w:val="20"/>
          <w:szCs w:val="20"/>
        </w:rPr>
        <w:t>Implications of the Proliferation of International Adjudicatory Bodies for Dispute Resolution</w:t>
      </w:r>
      <w:r>
        <w:rPr>
          <w:rFonts w:ascii="Arial" w:hAnsi="Arial"/>
          <w:sz w:val="20"/>
          <w:szCs w:val="20"/>
        </w:rPr>
        <w:t xml:space="preserve"> (</w:t>
      </w:r>
      <w:r w:rsidRPr="00FD3ED1">
        <w:rPr>
          <w:rFonts w:ascii="Arial" w:hAnsi="Arial"/>
          <w:sz w:val="20"/>
          <w:szCs w:val="20"/>
        </w:rPr>
        <w:t>ASIL Bulletin</w:t>
      </w:r>
      <w:r>
        <w:rPr>
          <w:rFonts w:ascii="Arial" w:hAnsi="Arial"/>
          <w:sz w:val="20"/>
          <w:szCs w:val="20"/>
        </w:rPr>
        <w:t xml:space="preserve"> No. 9</w:t>
      </w:r>
      <w:r w:rsidRPr="00FD3ED1">
        <w:rPr>
          <w:rFonts w:ascii="Arial" w:hAnsi="Arial"/>
          <w:sz w:val="20"/>
          <w:szCs w:val="20"/>
        </w:rPr>
        <w:t xml:space="preserve">: Educational </w:t>
      </w:r>
      <w:r>
        <w:rPr>
          <w:rFonts w:ascii="Arial" w:hAnsi="Arial"/>
          <w:sz w:val="20"/>
          <w:szCs w:val="20"/>
        </w:rPr>
        <w:t xml:space="preserve">Resources on International Law </w:t>
      </w:r>
      <w:r w:rsidRPr="00FD3ED1">
        <w:rPr>
          <w:rFonts w:ascii="Arial" w:hAnsi="Arial"/>
          <w:sz w:val="20"/>
          <w:szCs w:val="20"/>
        </w:rPr>
        <w:t xml:space="preserve">1995) 2, </w:t>
      </w:r>
      <w:r>
        <w:rPr>
          <w:rFonts w:ascii="Arial" w:hAnsi="Arial"/>
          <w:sz w:val="20"/>
          <w:szCs w:val="20"/>
        </w:rPr>
        <w:t>pp. 5-</w:t>
      </w:r>
      <w:r w:rsidRPr="00FD3ED1">
        <w:rPr>
          <w:rFonts w:ascii="Arial" w:hAnsi="Arial"/>
          <w:sz w:val="20"/>
          <w:szCs w:val="20"/>
        </w:rPr>
        <w:t>6</w:t>
      </w:r>
      <w:r>
        <w:rPr>
          <w:rFonts w:ascii="Arial" w:hAnsi="Arial"/>
          <w:sz w:val="20"/>
          <w:szCs w:val="20"/>
        </w:rPr>
        <w:t>.</w:t>
      </w:r>
    </w:p>
  </w:footnote>
  <w:footnote w:id="284">
    <w:p w14:paraId="0278D1B1" w14:textId="77471363" w:rsidR="001A5BF9" w:rsidRPr="00AC42F0" w:rsidRDefault="001A5BF9">
      <w:pPr>
        <w:pStyle w:val="FootnoteText"/>
        <w:rPr>
          <w:rFonts w:ascii="Arial" w:hAnsi="Arial" w:cs="Arial"/>
          <w:color w:val="FF0000"/>
          <w:sz w:val="20"/>
          <w:szCs w:val="20"/>
          <w:lang w:val="en-US"/>
        </w:rPr>
      </w:pPr>
      <w:r w:rsidRPr="00AC42F0">
        <w:rPr>
          <w:rStyle w:val="FootnoteReference"/>
          <w:rFonts w:ascii="Arial" w:hAnsi="Arial" w:cs="Arial"/>
          <w:sz w:val="20"/>
          <w:szCs w:val="20"/>
        </w:rPr>
        <w:footnoteRef/>
      </w:r>
      <w:r w:rsidRPr="00AC42F0">
        <w:rPr>
          <w:rFonts w:ascii="Arial" w:hAnsi="Arial" w:cs="Arial"/>
          <w:sz w:val="20"/>
          <w:szCs w:val="20"/>
        </w:rPr>
        <w:t xml:space="preserve"> </w:t>
      </w:r>
      <w:r>
        <w:rPr>
          <w:rFonts w:ascii="Arial" w:hAnsi="Arial" w:cs="Arial"/>
          <w:sz w:val="20"/>
          <w:szCs w:val="20"/>
        </w:rPr>
        <w:t>Ibid.</w:t>
      </w:r>
    </w:p>
  </w:footnote>
  <w:footnote w:id="285">
    <w:p w14:paraId="3F9242EB" w14:textId="7C493891" w:rsidR="001A5BF9" w:rsidRPr="00CC069C" w:rsidRDefault="001A5BF9">
      <w:pPr>
        <w:pStyle w:val="FootnoteText"/>
        <w:rPr>
          <w:rFonts w:ascii="Arial" w:hAnsi="Arial" w:cs="Arial"/>
          <w:sz w:val="20"/>
          <w:szCs w:val="20"/>
        </w:rPr>
      </w:pPr>
      <w:r w:rsidRPr="009B5060">
        <w:rPr>
          <w:rStyle w:val="FootnoteReference"/>
          <w:rFonts w:ascii="Arial" w:hAnsi="Arial" w:cs="Arial"/>
          <w:sz w:val="20"/>
          <w:szCs w:val="20"/>
        </w:rPr>
        <w:footnoteRef/>
      </w:r>
      <w:r w:rsidRPr="009B5060">
        <w:rPr>
          <w:rFonts w:ascii="Arial" w:hAnsi="Arial" w:cs="Arial"/>
          <w:sz w:val="20"/>
          <w:szCs w:val="20"/>
        </w:rPr>
        <w:t xml:space="preserve"> </w:t>
      </w:r>
      <w:r w:rsidRPr="00CC069C">
        <w:rPr>
          <w:rFonts w:ascii="Arial" w:hAnsi="Arial" w:cs="Arial"/>
          <w:sz w:val="20"/>
          <w:szCs w:val="20"/>
        </w:rPr>
        <w:t>V</w:t>
      </w:r>
      <w:r>
        <w:rPr>
          <w:rFonts w:ascii="Arial" w:hAnsi="Arial" w:cs="Arial"/>
          <w:sz w:val="20"/>
          <w:szCs w:val="20"/>
        </w:rPr>
        <w:t>.</w:t>
      </w:r>
      <w:r w:rsidRPr="00CC069C">
        <w:rPr>
          <w:rFonts w:ascii="Arial" w:hAnsi="Arial" w:cs="Arial"/>
          <w:sz w:val="20"/>
          <w:szCs w:val="20"/>
        </w:rPr>
        <w:t xml:space="preserve"> P. Tzevelekos</w:t>
      </w:r>
      <w:r>
        <w:rPr>
          <w:rFonts w:ascii="Arial" w:hAnsi="Arial" w:cs="Arial"/>
          <w:sz w:val="20"/>
          <w:szCs w:val="20"/>
        </w:rPr>
        <w:t xml:space="preserve">, </w:t>
      </w:r>
      <w:r w:rsidRPr="000450E8">
        <w:rPr>
          <w:rFonts w:ascii="Arial" w:hAnsi="Arial" w:cs="Arial"/>
          <w:i/>
          <w:sz w:val="20"/>
          <w:szCs w:val="20"/>
        </w:rPr>
        <w:t>The Use of Article 31(3)(c) of the VCLT in the Case Law of the ECtHR: An Effective Anti-Fragmentation Tool or a Selective Loophole for the Reinforcement of Human Rights Teleology?</w:t>
      </w:r>
      <w:r>
        <w:rPr>
          <w:rFonts w:ascii="Arial" w:hAnsi="Arial" w:cs="Arial"/>
          <w:sz w:val="20"/>
          <w:szCs w:val="20"/>
        </w:rPr>
        <w:t xml:space="preserve">, 31 </w:t>
      </w:r>
      <w:r w:rsidRPr="000450E8">
        <w:rPr>
          <w:rFonts w:ascii="Arial" w:hAnsi="Arial" w:cs="Arial"/>
          <w:sz w:val="20"/>
          <w:szCs w:val="20"/>
        </w:rPr>
        <w:t xml:space="preserve">MJIL </w:t>
      </w:r>
      <w:r>
        <w:rPr>
          <w:rFonts w:ascii="Arial" w:hAnsi="Arial" w:cs="Arial"/>
          <w:sz w:val="20"/>
          <w:szCs w:val="20"/>
        </w:rPr>
        <w:t>621 (2010), p 624.</w:t>
      </w:r>
    </w:p>
  </w:footnote>
  <w:footnote w:id="286">
    <w:p w14:paraId="60536332" w14:textId="77777777" w:rsidR="001A5BF9" w:rsidRPr="00C557BD" w:rsidRDefault="001A5BF9" w:rsidP="00FD2807">
      <w:pPr>
        <w:pStyle w:val="FootnoteText"/>
        <w:rPr>
          <w:rFonts w:ascii="Arial" w:hAnsi="Arial" w:cs="Arial"/>
          <w:sz w:val="20"/>
          <w:szCs w:val="20"/>
        </w:rPr>
      </w:pPr>
      <w:r w:rsidRPr="004029ED">
        <w:rPr>
          <w:rStyle w:val="FootnoteReference"/>
          <w:rFonts w:ascii="Arial" w:hAnsi="Arial" w:cs="Arial"/>
          <w:sz w:val="20"/>
          <w:szCs w:val="20"/>
        </w:rPr>
        <w:footnoteRef/>
      </w:r>
      <w:r w:rsidRPr="004029ED">
        <w:rPr>
          <w:rFonts w:ascii="Arial" w:hAnsi="Arial" w:cs="Arial"/>
          <w:sz w:val="20"/>
          <w:szCs w:val="20"/>
        </w:rPr>
        <w:t xml:space="preserve"> </w:t>
      </w:r>
      <w:r>
        <w:rPr>
          <w:rFonts w:ascii="Arial" w:hAnsi="Arial" w:cs="Arial"/>
          <w:sz w:val="20"/>
          <w:szCs w:val="20"/>
        </w:rPr>
        <w:t>ILC</w:t>
      </w:r>
      <w:r w:rsidRPr="00C557BD">
        <w:rPr>
          <w:rFonts w:ascii="Arial" w:hAnsi="Arial" w:cs="Arial"/>
          <w:sz w:val="20"/>
          <w:szCs w:val="20"/>
        </w:rPr>
        <w:t>, ‘First Report on Formation and Evidence of Customary International Law’, by M</w:t>
      </w:r>
      <w:r>
        <w:rPr>
          <w:rFonts w:ascii="Arial" w:hAnsi="Arial" w:cs="Arial"/>
          <w:sz w:val="20"/>
          <w:szCs w:val="20"/>
        </w:rPr>
        <w:t>.</w:t>
      </w:r>
      <w:r w:rsidRPr="00C557BD">
        <w:rPr>
          <w:rFonts w:ascii="Arial" w:hAnsi="Arial" w:cs="Arial"/>
          <w:sz w:val="20"/>
          <w:szCs w:val="20"/>
        </w:rPr>
        <w:t xml:space="preserve"> Wood, Special Rapporteur, Sixty-fifth session, Geneva, 6 May–7 June and 8 July–9 August 2013, UN </w:t>
      </w:r>
      <w:r>
        <w:rPr>
          <w:rFonts w:ascii="Arial" w:hAnsi="Arial" w:cs="Arial"/>
          <w:sz w:val="20"/>
          <w:szCs w:val="20"/>
        </w:rPr>
        <w:t>doc. A/CN.4/663, 17 May 2013, p 8.</w:t>
      </w:r>
    </w:p>
  </w:footnote>
  <w:footnote w:id="287">
    <w:p w14:paraId="32BB01E1" w14:textId="70375CFA" w:rsidR="001A5BF9" w:rsidRPr="00591C6F" w:rsidRDefault="001A5BF9">
      <w:pPr>
        <w:pStyle w:val="FootnoteText"/>
        <w:rPr>
          <w:rFonts w:ascii="Arial" w:hAnsi="Arial" w:cs="Arial"/>
          <w:sz w:val="20"/>
          <w:szCs w:val="20"/>
          <w:lang w:val="en-US"/>
        </w:rPr>
      </w:pPr>
      <w:r w:rsidRPr="00591C6F">
        <w:rPr>
          <w:rStyle w:val="FootnoteReference"/>
          <w:rFonts w:ascii="Arial" w:hAnsi="Arial" w:cs="Arial"/>
          <w:sz w:val="20"/>
          <w:szCs w:val="20"/>
        </w:rPr>
        <w:footnoteRef/>
      </w:r>
      <w:r w:rsidRPr="00591C6F">
        <w:rPr>
          <w:rFonts w:ascii="Arial" w:hAnsi="Arial" w:cs="Arial"/>
          <w:sz w:val="20"/>
          <w:szCs w:val="20"/>
        </w:rPr>
        <w:t xml:space="preserve"> </w:t>
      </w:r>
      <w:r>
        <w:rPr>
          <w:rFonts w:ascii="Arial" w:hAnsi="Arial" w:cs="Arial"/>
          <w:sz w:val="20"/>
          <w:szCs w:val="20"/>
          <w:lang w:val="en-US"/>
        </w:rPr>
        <w:t xml:space="preserve">Andenas &amp; </w:t>
      </w:r>
      <w:r w:rsidRPr="003F794A">
        <w:rPr>
          <w:rFonts w:ascii="Arial" w:hAnsi="Arial" w:cs="Arial"/>
          <w:sz w:val="20"/>
          <w:szCs w:val="20"/>
          <w:lang w:val="en-US"/>
        </w:rPr>
        <w:t>Bjorge (n 82),</w:t>
      </w:r>
      <w:r>
        <w:rPr>
          <w:rFonts w:ascii="Arial" w:hAnsi="Arial" w:cs="Arial"/>
          <w:sz w:val="20"/>
          <w:szCs w:val="20"/>
          <w:lang w:val="en-US"/>
        </w:rPr>
        <w:t xml:space="preserve"> p 6.</w:t>
      </w:r>
    </w:p>
  </w:footnote>
  <w:footnote w:id="288">
    <w:p w14:paraId="7A116BFF" w14:textId="6604C69A" w:rsidR="001A5BF9" w:rsidRPr="00B97066" w:rsidRDefault="001A5BF9" w:rsidP="00B97066">
      <w:pPr>
        <w:pStyle w:val="FootnoteText"/>
        <w:rPr>
          <w:rFonts w:ascii="Arial" w:hAnsi="Arial" w:cs="Arial"/>
          <w:sz w:val="20"/>
          <w:szCs w:val="20"/>
        </w:rPr>
      </w:pPr>
      <w:r w:rsidRPr="00BC13E0">
        <w:rPr>
          <w:rStyle w:val="FootnoteReference"/>
          <w:rFonts w:ascii="Arial" w:hAnsi="Arial" w:cs="Arial"/>
          <w:sz w:val="20"/>
          <w:szCs w:val="20"/>
        </w:rPr>
        <w:footnoteRef/>
      </w:r>
      <w:r w:rsidRPr="00BC13E0">
        <w:rPr>
          <w:rFonts w:ascii="Arial" w:hAnsi="Arial" w:cs="Arial"/>
          <w:sz w:val="20"/>
          <w:szCs w:val="20"/>
        </w:rPr>
        <w:t xml:space="preserve"> </w:t>
      </w:r>
      <w:r>
        <w:rPr>
          <w:rFonts w:ascii="Arial" w:hAnsi="Arial" w:cs="Arial"/>
          <w:sz w:val="20"/>
          <w:szCs w:val="20"/>
        </w:rPr>
        <w:t xml:space="preserve">Special Rapporteur </w:t>
      </w:r>
      <w:r>
        <w:rPr>
          <w:rFonts w:ascii="Arial" w:hAnsi="Arial" w:cs="Arial"/>
          <w:sz w:val="20"/>
          <w:szCs w:val="20"/>
          <w:lang w:val="en-US"/>
        </w:rPr>
        <w:t>M.</w:t>
      </w:r>
      <w:r w:rsidRPr="00B97066">
        <w:rPr>
          <w:rFonts w:ascii="Arial" w:hAnsi="Arial" w:cs="Arial"/>
          <w:sz w:val="20"/>
          <w:szCs w:val="20"/>
          <w:lang w:val="en-US"/>
        </w:rPr>
        <w:t xml:space="preserve"> Wood, First Report on</w:t>
      </w:r>
      <w:r>
        <w:rPr>
          <w:rFonts w:ascii="Arial" w:hAnsi="Arial" w:cs="Arial"/>
          <w:sz w:val="20"/>
          <w:szCs w:val="20"/>
          <w:lang w:val="en-US"/>
        </w:rPr>
        <w:t xml:space="preserve"> Formation and Evidence of Cus</w:t>
      </w:r>
      <w:r w:rsidRPr="00B97066">
        <w:rPr>
          <w:rFonts w:ascii="Arial" w:hAnsi="Arial" w:cs="Arial"/>
          <w:sz w:val="20"/>
          <w:szCs w:val="20"/>
          <w:lang w:val="en-US"/>
        </w:rPr>
        <w:t>tomary International Law ILC</w:t>
      </w:r>
      <w:r>
        <w:rPr>
          <w:rFonts w:ascii="Arial" w:hAnsi="Arial" w:cs="Arial"/>
          <w:sz w:val="20"/>
          <w:szCs w:val="20"/>
          <w:lang w:val="en-US"/>
        </w:rPr>
        <w:t>,</w:t>
      </w:r>
      <w:r w:rsidRPr="00B97066">
        <w:rPr>
          <w:rFonts w:ascii="Arial" w:hAnsi="Arial" w:cs="Arial"/>
          <w:sz w:val="20"/>
          <w:szCs w:val="20"/>
          <w:lang w:val="en-US"/>
        </w:rPr>
        <w:t xml:space="preserve"> </w:t>
      </w:r>
      <w:r>
        <w:rPr>
          <w:rFonts w:ascii="Arial" w:hAnsi="Arial" w:cs="Arial"/>
          <w:sz w:val="20"/>
          <w:szCs w:val="20"/>
          <w:lang w:val="en-US"/>
        </w:rPr>
        <w:t xml:space="preserve">UN Doc. No. </w:t>
      </w:r>
      <w:r w:rsidRPr="00B97066">
        <w:rPr>
          <w:rFonts w:ascii="Arial" w:hAnsi="Arial" w:cs="Arial"/>
          <w:sz w:val="20"/>
          <w:szCs w:val="20"/>
          <w:lang w:val="en-US"/>
        </w:rPr>
        <w:t>A/CN.4/663</w:t>
      </w:r>
      <w:r>
        <w:rPr>
          <w:rFonts w:ascii="Arial" w:hAnsi="Arial" w:cs="Arial"/>
          <w:sz w:val="20"/>
          <w:szCs w:val="20"/>
          <w:lang w:val="en-US"/>
        </w:rPr>
        <w:t xml:space="preserve"> (2012)</w:t>
      </w:r>
      <w:r w:rsidRPr="00B97066">
        <w:rPr>
          <w:rFonts w:ascii="Arial" w:hAnsi="Arial" w:cs="Arial"/>
          <w:sz w:val="20"/>
          <w:szCs w:val="20"/>
          <w:lang w:val="en-US"/>
        </w:rPr>
        <w:t>, 8 [19]</w:t>
      </w:r>
      <w:r>
        <w:rPr>
          <w:rFonts w:ascii="Arial" w:hAnsi="Arial" w:cs="Arial"/>
          <w:sz w:val="20"/>
          <w:szCs w:val="20"/>
          <w:lang w:val="en-US"/>
        </w:rPr>
        <w:t xml:space="preserve"> [22]</w:t>
      </w:r>
      <w:r w:rsidRPr="00B97066">
        <w:rPr>
          <w:rFonts w:ascii="Arial" w:hAnsi="Arial" w:cs="Arial"/>
          <w:sz w:val="20"/>
          <w:szCs w:val="20"/>
          <w:lang w:val="en-US"/>
        </w:rPr>
        <w:t xml:space="preserve">, citing </w:t>
      </w:r>
      <w:r w:rsidRPr="00B97066">
        <w:rPr>
          <w:rFonts w:ascii="Arial" w:hAnsi="Arial" w:cs="Arial"/>
          <w:i/>
          <w:iCs/>
          <w:sz w:val="20"/>
          <w:szCs w:val="20"/>
          <w:lang w:val="en-US"/>
        </w:rPr>
        <w:t xml:space="preserve">Ahmadou Sadio Diallo (Republic of Guinea </w:t>
      </w:r>
      <w:r>
        <w:rPr>
          <w:rFonts w:ascii="Arial" w:hAnsi="Arial" w:cs="Arial"/>
          <w:sz w:val="20"/>
          <w:szCs w:val="20"/>
          <w:lang w:val="en-US"/>
        </w:rPr>
        <w:t xml:space="preserve">v </w:t>
      </w:r>
      <w:r w:rsidRPr="00B97066">
        <w:rPr>
          <w:rFonts w:ascii="Arial" w:hAnsi="Arial" w:cs="Arial"/>
          <w:i/>
          <w:iCs/>
          <w:sz w:val="20"/>
          <w:szCs w:val="20"/>
          <w:lang w:val="en-US"/>
        </w:rPr>
        <w:t>Democratic Republic of the Congo) (Compensation Owed by the Democratic Republic of the Congo to the Republic of Guinea)</w:t>
      </w:r>
      <w:r w:rsidRPr="00B97066">
        <w:rPr>
          <w:rFonts w:ascii="Arial" w:hAnsi="Arial" w:cs="Arial"/>
          <w:sz w:val="20"/>
          <w:szCs w:val="20"/>
          <w:lang w:val="en-US"/>
        </w:rPr>
        <w:t xml:space="preserve">, Judgment, 19 June 2012, Declaration of Judge Greenwood [8]. </w:t>
      </w:r>
      <w:r w:rsidRPr="00BC13E0">
        <w:rPr>
          <w:rFonts w:ascii="Arial" w:hAnsi="Arial" w:cs="Arial"/>
          <w:sz w:val="20"/>
          <w:szCs w:val="20"/>
        </w:rPr>
        <w:t>See also ILC, Report on the Work of its Sixty-fifth Session, UN Doc. No. A/68/10 (2013), p 97, para. 86: ‘Several members agreed that the Commission should aspire towards the elaboration of a common, unified approach to the identification of rules of customary international law, as such rules arise in a single, interconnected international legal system’.</w:t>
      </w:r>
    </w:p>
  </w:footnote>
  <w:footnote w:id="289">
    <w:p w14:paraId="78ED5927" w14:textId="039E5BB2" w:rsidR="001A5BF9" w:rsidRPr="00717C51" w:rsidRDefault="001A5BF9">
      <w:pPr>
        <w:pStyle w:val="FootnoteText"/>
        <w:rPr>
          <w:rFonts w:ascii="Arial" w:hAnsi="Arial" w:cs="Arial"/>
          <w:sz w:val="20"/>
          <w:szCs w:val="20"/>
          <w:lang w:val="en-US"/>
        </w:rPr>
      </w:pPr>
      <w:r w:rsidRPr="00717C51">
        <w:rPr>
          <w:rStyle w:val="FootnoteReference"/>
          <w:rFonts w:ascii="Arial" w:hAnsi="Arial" w:cs="Arial"/>
          <w:sz w:val="20"/>
          <w:szCs w:val="20"/>
        </w:rPr>
        <w:footnoteRef/>
      </w:r>
      <w:r w:rsidRPr="00717C51">
        <w:rPr>
          <w:rFonts w:ascii="Arial" w:hAnsi="Arial" w:cs="Arial"/>
          <w:sz w:val="20"/>
          <w:szCs w:val="20"/>
        </w:rPr>
        <w:t xml:space="preserve"> </w:t>
      </w:r>
      <w:r w:rsidRPr="00717C51">
        <w:rPr>
          <w:rFonts w:ascii="Arial" w:hAnsi="Arial" w:cs="Arial"/>
          <w:sz w:val="20"/>
          <w:szCs w:val="20"/>
          <w:lang w:val="en-US"/>
        </w:rPr>
        <w:t xml:space="preserve">As to which, see the comprehensive study in the two </w:t>
      </w:r>
      <w:r>
        <w:rPr>
          <w:rFonts w:ascii="Arial" w:hAnsi="Arial" w:cs="Arial"/>
          <w:sz w:val="20"/>
          <w:szCs w:val="20"/>
          <w:lang w:val="en-US"/>
        </w:rPr>
        <w:t xml:space="preserve">reports prepared by M. </w:t>
      </w:r>
      <w:r w:rsidRPr="00717C51">
        <w:rPr>
          <w:rFonts w:ascii="Arial" w:hAnsi="Arial" w:cs="Arial"/>
          <w:sz w:val="20"/>
          <w:szCs w:val="20"/>
          <w:lang w:val="en-US"/>
        </w:rPr>
        <w:t>Wood for the International Law Commission in 2013 (UN Doc. A/CN.4/663) and 2014 (UN Doc. A/CN.4/672).  </w:t>
      </w:r>
    </w:p>
  </w:footnote>
  <w:footnote w:id="290">
    <w:p w14:paraId="5E1629AB" w14:textId="77777777" w:rsidR="001A5BF9" w:rsidRPr="002561B2" w:rsidRDefault="001A5BF9" w:rsidP="00715207">
      <w:pPr>
        <w:pStyle w:val="FootnoteText"/>
        <w:rPr>
          <w:rFonts w:ascii="Arial" w:hAnsi="Arial" w:cs="Arial"/>
          <w:sz w:val="20"/>
          <w:szCs w:val="20"/>
          <w:lang w:val="en-US"/>
        </w:rPr>
      </w:pPr>
      <w:r w:rsidRPr="002561B2">
        <w:rPr>
          <w:rStyle w:val="FootnoteReference"/>
          <w:rFonts w:ascii="Arial" w:hAnsi="Arial" w:cs="Arial"/>
          <w:sz w:val="20"/>
          <w:szCs w:val="20"/>
        </w:rPr>
        <w:footnoteRef/>
      </w:r>
      <w:r w:rsidRPr="002561B2">
        <w:rPr>
          <w:rFonts w:ascii="Arial" w:hAnsi="Arial" w:cs="Arial"/>
          <w:sz w:val="20"/>
          <w:szCs w:val="20"/>
        </w:rPr>
        <w:t xml:space="preserve"> </w:t>
      </w:r>
      <w:r w:rsidRPr="002561B2">
        <w:rPr>
          <w:rFonts w:ascii="Arial" w:hAnsi="Arial" w:cs="Arial"/>
          <w:sz w:val="20"/>
          <w:szCs w:val="20"/>
          <w:lang w:val="en-US"/>
        </w:rPr>
        <w:t xml:space="preserve">Declaration of Judge Greenwood, </w:t>
      </w:r>
      <w:r w:rsidRPr="002561B2">
        <w:rPr>
          <w:rFonts w:ascii="Arial" w:hAnsi="Arial" w:cs="Arial"/>
          <w:i/>
          <w:iCs/>
          <w:sz w:val="20"/>
          <w:szCs w:val="20"/>
          <w:lang w:val="en-US"/>
        </w:rPr>
        <w:t xml:space="preserve">Case Concerning Ahmadou Sadio Diallo (Republic of </w:t>
      </w:r>
      <w:r w:rsidRPr="002561B2">
        <w:rPr>
          <w:rFonts w:ascii="Arial" w:hAnsi="Arial" w:cs="Arial"/>
          <w:sz w:val="20"/>
          <w:szCs w:val="20"/>
          <w:lang w:val="en-US"/>
        </w:rPr>
        <w:t> </w:t>
      </w:r>
      <w:r w:rsidRPr="002561B2">
        <w:rPr>
          <w:rFonts w:ascii="Arial" w:hAnsi="Arial" w:cs="Arial"/>
          <w:i/>
          <w:iCs/>
          <w:sz w:val="20"/>
          <w:szCs w:val="20"/>
          <w:lang w:val="en-US"/>
        </w:rPr>
        <w:t xml:space="preserve">Guinea </w:t>
      </w:r>
      <w:r w:rsidRPr="002561B2">
        <w:rPr>
          <w:rFonts w:ascii="Arial" w:hAnsi="Arial" w:cs="Arial"/>
          <w:sz w:val="20"/>
          <w:szCs w:val="20"/>
          <w:lang w:val="en-US"/>
        </w:rPr>
        <w:t xml:space="preserve">v. </w:t>
      </w:r>
      <w:r w:rsidRPr="002561B2">
        <w:rPr>
          <w:rFonts w:ascii="Arial" w:hAnsi="Arial" w:cs="Arial"/>
          <w:i/>
          <w:iCs/>
          <w:sz w:val="20"/>
          <w:szCs w:val="20"/>
          <w:lang w:val="en-US"/>
        </w:rPr>
        <w:t>Democratic Republic of the Congo)</w:t>
      </w:r>
      <w:r w:rsidRPr="002561B2">
        <w:rPr>
          <w:rFonts w:ascii="Arial" w:hAnsi="Arial" w:cs="Arial"/>
          <w:sz w:val="20"/>
          <w:szCs w:val="20"/>
          <w:lang w:val="en-US"/>
        </w:rPr>
        <w:t>, Compensation, Judgment ICJ Rep 2012  pp. 324, 294 [8].  </w:t>
      </w:r>
    </w:p>
  </w:footnote>
  <w:footnote w:id="291">
    <w:p w14:paraId="7D6AD282" w14:textId="48BDB118" w:rsidR="001A5BF9" w:rsidRPr="00715207" w:rsidRDefault="001A5BF9">
      <w:pPr>
        <w:pStyle w:val="FootnoteText"/>
        <w:rPr>
          <w:rFonts w:ascii="Arial" w:hAnsi="Arial" w:cs="Arial"/>
          <w:sz w:val="20"/>
          <w:szCs w:val="20"/>
          <w:lang w:val="en-US"/>
        </w:rPr>
      </w:pPr>
      <w:r w:rsidRPr="00715207">
        <w:rPr>
          <w:rStyle w:val="FootnoteReference"/>
          <w:rFonts w:ascii="Arial" w:hAnsi="Arial" w:cs="Arial"/>
          <w:sz w:val="20"/>
          <w:szCs w:val="20"/>
        </w:rPr>
        <w:footnoteRef/>
      </w:r>
      <w:r w:rsidRPr="00715207">
        <w:rPr>
          <w:rFonts w:ascii="Arial" w:hAnsi="Arial" w:cs="Arial"/>
          <w:sz w:val="20"/>
          <w:szCs w:val="20"/>
        </w:rPr>
        <w:t xml:space="preserve"> </w:t>
      </w:r>
      <w:r>
        <w:rPr>
          <w:rFonts w:ascii="Arial" w:hAnsi="Arial" w:cs="Arial"/>
          <w:sz w:val="20"/>
          <w:szCs w:val="20"/>
        </w:rPr>
        <w:t>Ibid.</w:t>
      </w:r>
    </w:p>
  </w:footnote>
  <w:footnote w:id="292">
    <w:p w14:paraId="53E88675" w14:textId="48DA4201" w:rsidR="001A5BF9" w:rsidRPr="003F798F" w:rsidRDefault="001A5BF9" w:rsidP="003F798F">
      <w:pPr>
        <w:pStyle w:val="FootnoteText"/>
        <w:rPr>
          <w:rFonts w:ascii="Arial" w:hAnsi="Arial" w:cs="Arial"/>
          <w:sz w:val="20"/>
          <w:szCs w:val="20"/>
          <w:lang w:val="en-US"/>
        </w:rPr>
      </w:pPr>
      <w:r w:rsidRPr="003F798F">
        <w:rPr>
          <w:rStyle w:val="FootnoteReference"/>
          <w:rFonts w:ascii="Arial" w:hAnsi="Arial" w:cs="Arial"/>
          <w:sz w:val="20"/>
          <w:szCs w:val="20"/>
        </w:rPr>
        <w:footnoteRef/>
      </w:r>
      <w:r w:rsidRPr="003F798F">
        <w:rPr>
          <w:rFonts w:ascii="Arial" w:hAnsi="Arial" w:cs="Arial"/>
          <w:sz w:val="20"/>
          <w:szCs w:val="20"/>
        </w:rPr>
        <w:t xml:space="preserve"> </w:t>
      </w:r>
      <w:r w:rsidRPr="003F798F">
        <w:rPr>
          <w:rFonts w:ascii="Arial" w:hAnsi="Arial" w:cs="Arial"/>
          <w:sz w:val="20"/>
          <w:szCs w:val="20"/>
          <w:lang w:val="en-US"/>
        </w:rPr>
        <w:t xml:space="preserve">J. Crawford and P. Nevill, ‘Relations between International Courts and Tribunals: The “Regime Problem”’, in M. A. Young (ed.), </w:t>
      </w:r>
      <w:r w:rsidRPr="003F798F">
        <w:rPr>
          <w:rFonts w:ascii="Arial" w:hAnsi="Arial" w:cs="Arial"/>
          <w:i/>
          <w:iCs/>
          <w:sz w:val="20"/>
          <w:szCs w:val="20"/>
          <w:lang w:val="en-US"/>
        </w:rPr>
        <w:t xml:space="preserve">Regime Interaction in International Law: Facing Fragmentation </w:t>
      </w:r>
      <w:r w:rsidRPr="003F798F">
        <w:rPr>
          <w:rFonts w:ascii="Arial" w:hAnsi="Arial" w:cs="Arial"/>
          <w:sz w:val="20"/>
          <w:szCs w:val="20"/>
          <w:lang w:val="en-US"/>
        </w:rPr>
        <w:t xml:space="preserve">(Cambridge: </w:t>
      </w:r>
      <w:r>
        <w:rPr>
          <w:rFonts w:ascii="Arial" w:hAnsi="Arial" w:cs="Arial"/>
          <w:sz w:val="20"/>
          <w:szCs w:val="20"/>
          <w:lang w:val="en-US"/>
        </w:rPr>
        <w:t>CUP 2012)</w:t>
      </w:r>
      <w:r w:rsidRPr="003F798F">
        <w:rPr>
          <w:rFonts w:ascii="Arial" w:hAnsi="Arial" w:cs="Arial"/>
          <w:sz w:val="20"/>
          <w:szCs w:val="20"/>
          <w:lang w:val="en-US"/>
        </w:rPr>
        <w:t>, p. 236.  </w:t>
      </w:r>
    </w:p>
  </w:footnote>
  <w:footnote w:id="293">
    <w:p w14:paraId="2C5D36E9" w14:textId="37136615" w:rsidR="001A5BF9" w:rsidRPr="00636D58" w:rsidRDefault="001A5BF9">
      <w:pPr>
        <w:pStyle w:val="FootnoteText"/>
        <w:rPr>
          <w:rFonts w:ascii="Arial" w:hAnsi="Arial" w:cs="Arial"/>
          <w:sz w:val="20"/>
          <w:szCs w:val="20"/>
          <w:lang w:val="en-US"/>
        </w:rPr>
      </w:pPr>
      <w:r w:rsidRPr="00636D58">
        <w:rPr>
          <w:rStyle w:val="FootnoteReference"/>
          <w:rFonts w:ascii="Arial" w:hAnsi="Arial" w:cs="Arial"/>
          <w:sz w:val="20"/>
          <w:szCs w:val="20"/>
        </w:rPr>
        <w:footnoteRef/>
      </w:r>
      <w:r w:rsidRPr="00636D58">
        <w:rPr>
          <w:rFonts w:ascii="Arial" w:hAnsi="Arial" w:cs="Arial"/>
          <w:sz w:val="20"/>
          <w:szCs w:val="20"/>
        </w:rPr>
        <w:t xml:space="preserve"> </w:t>
      </w:r>
      <w:r w:rsidRPr="00636D58">
        <w:rPr>
          <w:rFonts w:ascii="Arial" w:hAnsi="Arial" w:cs="Arial"/>
          <w:sz w:val="20"/>
          <w:szCs w:val="20"/>
          <w:lang w:val="en-US"/>
        </w:rPr>
        <w:t xml:space="preserve">M. Koskenniemi, ‘The Case for Comparative International Law’ (2009) 20 </w:t>
      </w:r>
      <w:r>
        <w:rPr>
          <w:rFonts w:ascii="Arial" w:hAnsi="Arial" w:cs="Arial"/>
          <w:i/>
          <w:iCs/>
          <w:sz w:val="20"/>
          <w:szCs w:val="20"/>
          <w:lang w:val="en-US"/>
        </w:rPr>
        <w:t>Finnish Year</w:t>
      </w:r>
      <w:r w:rsidRPr="00636D58">
        <w:rPr>
          <w:rFonts w:ascii="Arial" w:hAnsi="Arial" w:cs="Arial"/>
          <w:i/>
          <w:iCs/>
          <w:sz w:val="20"/>
          <w:szCs w:val="20"/>
          <w:lang w:val="en-US"/>
        </w:rPr>
        <w:t xml:space="preserve">book of International Law </w:t>
      </w:r>
      <w:r w:rsidRPr="00636D58">
        <w:rPr>
          <w:rFonts w:ascii="Arial" w:hAnsi="Arial" w:cs="Arial"/>
          <w:sz w:val="20"/>
          <w:szCs w:val="20"/>
          <w:lang w:val="en-US"/>
        </w:rPr>
        <w:t>5.  </w:t>
      </w:r>
    </w:p>
  </w:footnote>
  <w:footnote w:id="294">
    <w:p w14:paraId="1C103C8E" w14:textId="0BBE2169" w:rsidR="001A5BF9" w:rsidRPr="00241E9D" w:rsidRDefault="001A5BF9">
      <w:pPr>
        <w:pStyle w:val="FootnoteText"/>
        <w:rPr>
          <w:rFonts w:ascii="Arial" w:hAnsi="Arial" w:cs="Arial"/>
          <w:sz w:val="20"/>
          <w:szCs w:val="20"/>
          <w:lang w:val="en-US"/>
        </w:rPr>
      </w:pPr>
      <w:r w:rsidRPr="00241E9D">
        <w:rPr>
          <w:rStyle w:val="FootnoteReference"/>
          <w:rFonts w:ascii="Arial" w:hAnsi="Arial" w:cs="Arial"/>
          <w:sz w:val="20"/>
          <w:szCs w:val="20"/>
        </w:rPr>
        <w:footnoteRef/>
      </w:r>
      <w:r w:rsidRPr="00241E9D">
        <w:rPr>
          <w:rFonts w:ascii="Arial" w:hAnsi="Arial" w:cs="Arial"/>
          <w:sz w:val="20"/>
          <w:szCs w:val="20"/>
        </w:rPr>
        <w:t xml:space="preserve"> </w:t>
      </w:r>
      <w:r w:rsidRPr="00241E9D">
        <w:rPr>
          <w:rFonts w:ascii="Arial" w:hAnsi="Arial" w:cs="Arial"/>
          <w:sz w:val="20"/>
          <w:szCs w:val="20"/>
          <w:lang w:val="en-US"/>
        </w:rPr>
        <w:t>I. J. Sand, ‘The Fragmentation of Law on the Global Level: Conflicts of Law or Processes  </w:t>
      </w:r>
      <w:r>
        <w:rPr>
          <w:rFonts w:ascii="Arial" w:hAnsi="Arial" w:cs="Arial"/>
          <w:sz w:val="20"/>
          <w:szCs w:val="20"/>
          <w:lang w:val="en-US"/>
        </w:rPr>
        <w:t>of Learning?’</w:t>
      </w:r>
      <w:r w:rsidRPr="00241E9D">
        <w:rPr>
          <w:rFonts w:ascii="Arial" w:hAnsi="Arial" w:cs="Arial"/>
          <w:sz w:val="20"/>
          <w:szCs w:val="20"/>
          <w:lang w:val="en-US"/>
        </w:rPr>
        <w:t xml:space="preserve"> in O. K. Fauchald and others (eds.), </w:t>
      </w:r>
      <w:r w:rsidRPr="00241E9D">
        <w:rPr>
          <w:rFonts w:ascii="Arial" w:hAnsi="Arial" w:cs="Arial"/>
          <w:i/>
          <w:iCs/>
          <w:sz w:val="20"/>
          <w:szCs w:val="20"/>
          <w:lang w:val="en-US"/>
        </w:rPr>
        <w:t xml:space="preserve">Liber Amicorum Carl August Fleischer </w:t>
      </w:r>
      <w:r w:rsidRPr="00241E9D">
        <w:rPr>
          <w:rFonts w:ascii="Arial" w:hAnsi="Arial" w:cs="Arial"/>
          <w:sz w:val="20"/>
          <w:szCs w:val="20"/>
          <w:lang w:val="en-US"/>
        </w:rPr>
        <w:t>(Oslo</w:t>
      </w:r>
      <w:r>
        <w:rPr>
          <w:rFonts w:ascii="Arial" w:hAnsi="Arial" w:cs="Arial"/>
          <w:sz w:val="20"/>
          <w:szCs w:val="20"/>
          <w:lang w:val="en-US"/>
        </w:rPr>
        <w:t>: Universitetsforlaget 2006), p</w:t>
      </w:r>
      <w:r w:rsidRPr="00241E9D">
        <w:rPr>
          <w:rFonts w:ascii="Arial" w:hAnsi="Arial" w:cs="Arial"/>
          <w:sz w:val="20"/>
          <w:szCs w:val="20"/>
          <w:lang w:val="en-US"/>
        </w:rPr>
        <w:t xml:space="preserve"> 496.  </w:t>
      </w:r>
    </w:p>
  </w:footnote>
  <w:footnote w:id="295">
    <w:p w14:paraId="0F1A6033" w14:textId="167EE561" w:rsidR="001A5BF9" w:rsidRPr="00FA1AAA" w:rsidRDefault="001A5BF9" w:rsidP="001150FD">
      <w:pPr>
        <w:pStyle w:val="FootnoteText"/>
        <w:rPr>
          <w:rFonts w:ascii="Arial" w:hAnsi="Arial" w:cs="Arial"/>
          <w:sz w:val="20"/>
          <w:szCs w:val="20"/>
          <w:lang w:val="en-US"/>
        </w:rPr>
      </w:pPr>
      <w:r w:rsidRPr="00FA1AAA">
        <w:rPr>
          <w:rStyle w:val="FootnoteReference"/>
          <w:rFonts w:ascii="Arial" w:hAnsi="Arial" w:cs="Arial"/>
          <w:sz w:val="20"/>
          <w:szCs w:val="20"/>
        </w:rPr>
        <w:footnoteRef/>
      </w:r>
      <w:r w:rsidRPr="00FA1AAA">
        <w:rPr>
          <w:rFonts w:ascii="Arial" w:hAnsi="Arial" w:cs="Arial"/>
          <w:sz w:val="20"/>
          <w:szCs w:val="20"/>
        </w:rPr>
        <w:t xml:space="preserve"> </w:t>
      </w:r>
      <w:r>
        <w:rPr>
          <w:rFonts w:ascii="Arial" w:hAnsi="Arial" w:cs="Arial"/>
          <w:sz w:val="20"/>
          <w:szCs w:val="20"/>
          <w:lang w:val="en-US"/>
        </w:rPr>
        <w:t>V. Gowlland-D</w:t>
      </w:r>
      <w:r w:rsidRPr="00FA1AAA">
        <w:rPr>
          <w:rFonts w:ascii="Arial" w:hAnsi="Arial" w:cs="Arial"/>
          <w:sz w:val="20"/>
          <w:szCs w:val="20"/>
          <w:lang w:val="en-US"/>
        </w:rPr>
        <w:t>ebbas</w:t>
      </w:r>
      <w:r>
        <w:rPr>
          <w:rFonts w:ascii="Arial" w:hAnsi="Arial" w:cs="Arial"/>
          <w:sz w:val="20"/>
          <w:szCs w:val="20"/>
          <w:lang w:val="en-US"/>
        </w:rPr>
        <w:t>, ‘</w:t>
      </w:r>
      <w:r w:rsidRPr="00E345CC">
        <w:rPr>
          <w:rFonts w:ascii="Arial" w:hAnsi="Arial" w:cs="Arial"/>
          <w:sz w:val="20"/>
          <w:szCs w:val="20"/>
          <w:lang w:val="en-US"/>
        </w:rPr>
        <w:t>The ICJ and the</w:t>
      </w:r>
      <w:r>
        <w:rPr>
          <w:rFonts w:ascii="Arial" w:hAnsi="Arial" w:cs="Arial"/>
          <w:sz w:val="20"/>
          <w:szCs w:val="20"/>
          <w:lang w:val="en-US"/>
        </w:rPr>
        <w:t xml:space="preserve"> challenges of human rights law’ in Andenas &amp; Bjorge </w:t>
      </w:r>
      <w:r w:rsidRPr="003F794A">
        <w:rPr>
          <w:rFonts w:ascii="Arial" w:hAnsi="Arial" w:cs="Arial"/>
          <w:sz w:val="20"/>
          <w:szCs w:val="20"/>
          <w:lang w:val="en-US"/>
        </w:rPr>
        <w:t>(n 82),</w:t>
      </w:r>
      <w:r>
        <w:rPr>
          <w:rFonts w:ascii="Arial" w:hAnsi="Arial" w:cs="Arial"/>
          <w:sz w:val="20"/>
          <w:szCs w:val="20"/>
          <w:lang w:val="en-US"/>
        </w:rPr>
        <w:t xml:space="preserve"> p 144.</w:t>
      </w:r>
      <w:r w:rsidRPr="00FA1AAA">
        <w:rPr>
          <w:rFonts w:ascii="Arial" w:hAnsi="Arial" w:cs="Arial"/>
          <w:sz w:val="20"/>
          <w:szCs w:val="20"/>
          <w:lang w:val="en-US"/>
        </w:rPr>
        <w:t xml:space="preserve"> </w:t>
      </w:r>
    </w:p>
  </w:footnote>
  <w:footnote w:id="296">
    <w:p w14:paraId="0516D757" w14:textId="54B460FB" w:rsidR="001A5BF9" w:rsidRPr="00E345CC" w:rsidRDefault="001A5BF9">
      <w:pPr>
        <w:pStyle w:val="FootnoteText"/>
        <w:rPr>
          <w:rFonts w:ascii="Arial" w:hAnsi="Arial" w:cs="Arial"/>
          <w:sz w:val="20"/>
          <w:szCs w:val="20"/>
          <w:lang w:val="en-US"/>
        </w:rPr>
      </w:pPr>
      <w:r w:rsidRPr="00E345CC">
        <w:rPr>
          <w:rStyle w:val="FootnoteReference"/>
          <w:rFonts w:ascii="Arial" w:hAnsi="Arial" w:cs="Arial"/>
          <w:sz w:val="20"/>
          <w:szCs w:val="20"/>
        </w:rPr>
        <w:footnoteRef/>
      </w:r>
      <w:r w:rsidRPr="00E345CC">
        <w:rPr>
          <w:rFonts w:ascii="Arial" w:hAnsi="Arial" w:cs="Arial"/>
          <w:sz w:val="20"/>
          <w:szCs w:val="20"/>
        </w:rPr>
        <w:t xml:space="preserve"> </w:t>
      </w:r>
      <w:r w:rsidRPr="00E345CC">
        <w:rPr>
          <w:rFonts w:ascii="Arial" w:hAnsi="Arial" w:cs="Arial"/>
          <w:sz w:val="20"/>
          <w:szCs w:val="20"/>
          <w:lang w:val="en-US"/>
        </w:rPr>
        <w:t xml:space="preserve">S. Rosenne, </w:t>
      </w:r>
      <w:r w:rsidRPr="00E345CC">
        <w:rPr>
          <w:rFonts w:ascii="Arial" w:hAnsi="Arial" w:cs="Arial"/>
          <w:i/>
          <w:iCs/>
          <w:sz w:val="20"/>
          <w:szCs w:val="20"/>
          <w:lang w:val="en-US"/>
        </w:rPr>
        <w:t>The Law and Practice of the International Court, 1920–1996</w:t>
      </w:r>
      <w:r w:rsidRPr="00E345CC">
        <w:rPr>
          <w:rFonts w:ascii="Arial" w:hAnsi="Arial" w:cs="Arial"/>
          <w:sz w:val="20"/>
          <w:szCs w:val="20"/>
          <w:lang w:val="en-US"/>
        </w:rPr>
        <w:t>, vol. 1: The Court and the United Nations (The Hague: Martinus</w:t>
      </w:r>
      <w:r>
        <w:rPr>
          <w:rFonts w:ascii="Arial" w:hAnsi="Arial" w:cs="Arial"/>
          <w:sz w:val="20"/>
          <w:szCs w:val="20"/>
          <w:lang w:val="en-US"/>
        </w:rPr>
        <w:t xml:space="preserve"> Nijhoff, 3rd edn. 1997), p 7.</w:t>
      </w:r>
    </w:p>
  </w:footnote>
  <w:footnote w:id="297">
    <w:p w14:paraId="4C940F5D" w14:textId="3248FB6C" w:rsidR="001A5BF9" w:rsidRPr="00FA1AAA" w:rsidRDefault="001A5BF9" w:rsidP="003B2C88">
      <w:pPr>
        <w:pStyle w:val="FootnoteText"/>
        <w:rPr>
          <w:rFonts w:ascii="Arial" w:hAnsi="Arial" w:cs="Arial"/>
          <w:sz w:val="20"/>
          <w:szCs w:val="20"/>
          <w:lang w:val="en-US"/>
        </w:rPr>
      </w:pPr>
      <w:r w:rsidRPr="00FA1AAA">
        <w:rPr>
          <w:rStyle w:val="FootnoteReference"/>
          <w:rFonts w:ascii="Arial" w:hAnsi="Arial" w:cs="Arial"/>
          <w:sz w:val="20"/>
          <w:szCs w:val="20"/>
        </w:rPr>
        <w:footnoteRef/>
      </w:r>
      <w:r w:rsidRPr="00FA1AAA">
        <w:rPr>
          <w:rFonts w:ascii="Arial" w:hAnsi="Arial" w:cs="Arial"/>
          <w:sz w:val="20"/>
          <w:szCs w:val="20"/>
        </w:rPr>
        <w:t xml:space="preserve"> </w:t>
      </w:r>
      <w:r>
        <w:rPr>
          <w:rFonts w:ascii="Arial" w:hAnsi="Arial" w:cs="Arial"/>
          <w:sz w:val="20"/>
          <w:szCs w:val="20"/>
          <w:lang w:val="en-US"/>
        </w:rPr>
        <w:t>V. Gowlland-D</w:t>
      </w:r>
      <w:r w:rsidRPr="00FA1AAA">
        <w:rPr>
          <w:rFonts w:ascii="Arial" w:hAnsi="Arial" w:cs="Arial"/>
          <w:sz w:val="20"/>
          <w:szCs w:val="20"/>
          <w:lang w:val="en-US"/>
        </w:rPr>
        <w:t>ebbas</w:t>
      </w:r>
      <w:r>
        <w:rPr>
          <w:rFonts w:ascii="Arial" w:hAnsi="Arial" w:cs="Arial"/>
          <w:sz w:val="20"/>
          <w:szCs w:val="20"/>
          <w:lang w:val="en-US"/>
        </w:rPr>
        <w:t>, ‘</w:t>
      </w:r>
      <w:r w:rsidRPr="00E345CC">
        <w:rPr>
          <w:rFonts w:ascii="Arial" w:hAnsi="Arial" w:cs="Arial"/>
          <w:sz w:val="20"/>
          <w:szCs w:val="20"/>
          <w:lang w:val="en-US"/>
        </w:rPr>
        <w:t>The ICJ and the</w:t>
      </w:r>
      <w:r>
        <w:rPr>
          <w:rFonts w:ascii="Arial" w:hAnsi="Arial" w:cs="Arial"/>
          <w:sz w:val="20"/>
          <w:szCs w:val="20"/>
          <w:lang w:val="en-US"/>
        </w:rPr>
        <w:t xml:space="preserve"> challenges of human rights law’ in Andenas &amp; Bjorge </w:t>
      </w:r>
      <w:r w:rsidRPr="003F794A">
        <w:rPr>
          <w:rFonts w:ascii="Arial" w:hAnsi="Arial" w:cs="Arial"/>
          <w:sz w:val="20"/>
          <w:szCs w:val="20"/>
          <w:lang w:val="en-US"/>
        </w:rPr>
        <w:t>(n 82),</w:t>
      </w:r>
      <w:r>
        <w:rPr>
          <w:rFonts w:ascii="Arial" w:hAnsi="Arial" w:cs="Arial"/>
          <w:sz w:val="20"/>
          <w:szCs w:val="20"/>
          <w:lang w:val="en-US"/>
        </w:rPr>
        <w:t xml:space="preserve"> p 144.</w:t>
      </w:r>
      <w:r w:rsidRPr="00FA1AAA">
        <w:rPr>
          <w:rFonts w:ascii="Arial" w:hAnsi="Arial" w:cs="Arial"/>
          <w:sz w:val="20"/>
          <w:szCs w:val="20"/>
          <w:lang w:val="en-US"/>
        </w:rPr>
        <w:t xml:space="preserve"> </w:t>
      </w:r>
    </w:p>
  </w:footnote>
  <w:footnote w:id="298">
    <w:p w14:paraId="04D3A534" w14:textId="0ECAE5F5" w:rsidR="001A5BF9" w:rsidRPr="002038BE" w:rsidRDefault="001A5BF9">
      <w:pPr>
        <w:pStyle w:val="FootnoteText"/>
        <w:rPr>
          <w:rFonts w:ascii="Arial" w:hAnsi="Arial" w:cs="Arial"/>
          <w:sz w:val="20"/>
          <w:szCs w:val="20"/>
          <w:lang w:val="en-US"/>
        </w:rPr>
      </w:pPr>
      <w:r w:rsidRPr="002038BE">
        <w:rPr>
          <w:rStyle w:val="FootnoteReference"/>
          <w:rFonts w:ascii="Arial" w:hAnsi="Arial" w:cs="Arial"/>
          <w:sz w:val="20"/>
          <w:szCs w:val="20"/>
        </w:rPr>
        <w:footnoteRef/>
      </w:r>
      <w:r w:rsidRPr="002038BE">
        <w:rPr>
          <w:rFonts w:ascii="Arial" w:hAnsi="Arial" w:cs="Arial"/>
          <w:sz w:val="20"/>
          <w:szCs w:val="20"/>
        </w:rPr>
        <w:t xml:space="preserve"> </w:t>
      </w:r>
      <w:r w:rsidRPr="002038BE">
        <w:rPr>
          <w:rFonts w:ascii="Arial" w:hAnsi="Arial" w:cs="Arial"/>
          <w:sz w:val="20"/>
          <w:szCs w:val="20"/>
          <w:lang w:val="en-US"/>
        </w:rPr>
        <w:t xml:space="preserve">R. Jennings, ‘The Judiciary, International and National, and the Development of International Law’ (1996) 45 </w:t>
      </w:r>
      <w:r w:rsidRPr="002038BE">
        <w:rPr>
          <w:rFonts w:ascii="Arial" w:hAnsi="Arial" w:cs="Arial"/>
          <w:i/>
          <w:iCs/>
          <w:sz w:val="20"/>
          <w:szCs w:val="20"/>
          <w:lang w:val="en-US"/>
        </w:rPr>
        <w:t xml:space="preserve">ICLQ </w:t>
      </w:r>
      <w:r>
        <w:rPr>
          <w:rFonts w:ascii="Arial" w:hAnsi="Arial" w:cs="Arial"/>
          <w:sz w:val="20"/>
          <w:szCs w:val="20"/>
          <w:lang w:val="en-US"/>
        </w:rPr>
        <w:t>1, pp. 5–6.</w:t>
      </w:r>
    </w:p>
  </w:footnote>
  <w:footnote w:id="299">
    <w:p w14:paraId="49A3A6D9" w14:textId="4252DF3E" w:rsidR="001A5BF9" w:rsidRPr="00DD72AD" w:rsidRDefault="001A5BF9">
      <w:pPr>
        <w:pStyle w:val="FootnoteText"/>
        <w:rPr>
          <w:rFonts w:ascii="Arial" w:hAnsi="Arial" w:cs="Arial"/>
          <w:sz w:val="20"/>
          <w:szCs w:val="20"/>
          <w:lang w:val="en-US"/>
        </w:rPr>
      </w:pPr>
      <w:r w:rsidRPr="00DD72AD">
        <w:rPr>
          <w:rStyle w:val="FootnoteReference"/>
          <w:rFonts w:ascii="Arial" w:hAnsi="Arial" w:cs="Arial"/>
          <w:sz w:val="20"/>
          <w:szCs w:val="20"/>
        </w:rPr>
        <w:footnoteRef/>
      </w:r>
      <w:r w:rsidRPr="00DD72AD">
        <w:rPr>
          <w:rFonts w:ascii="Arial" w:hAnsi="Arial" w:cs="Arial"/>
          <w:sz w:val="20"/>
          <w:szCs w:val="20"/>
        </w:rPr>
        <w:t xml:space="preserve"> </w:t>
      </w:r>
      <w:r w:rsidRPr="00DD72AD">
        <w:rPr>
          <w:rFonts w:ascii="Arial" w:hAnsi="Arial" w:cs="Arial"/>
          <w:sz w:val="20"/>
          <w:szCs w:val="20"/>
          <w:lang w:val="en-US"/>
        </w:rPr>
        <w:t xml:space="preserve">A. D. McNair and H. Lauterpacht, ‘Preface’, in H. Lauterpacht </w:t>
      </w:r>
      <w:r>
        <w:rPr>
          <w:rFonts w:ascii="Arial" w:hAnsi="Arial" w:cs="Arial"/>
          <w:sz w:val="20"/>
          <w:szCs w:val="20"/>
          <w:lang w:val="en-US"/>
        </w:rPr>
        <w:t>&amp;</w:t>
      </w:r>
      <w:r w:rsidRPr="00DD72AD">
        <w:rPr>
          <w:rFonts w:ascii="Arial" w:hAnsi="Arial" w:cs="Arial"/>
          <w:sz w:val="20"/>
          <w:szCs w:val="20"/>
          <w:lang w:val="en-US"/>
        </w:rPr>
        <w:t xml:space="preserve"> J. Fischer Williams  (eds.), </w:t>
      </w:r>
      <w:r w:rsidRPr="00DD72AD">
        <w:rPr>
          <w:rFonts w:ascii="Arial" w:hAnsi="Arial" w:cs="Arial"/>
          <w:i/>
          <w:iCs/>
          <w:sz w:val="20"/>
          <w:szCs w:val="20"/>
          <w:lang w:val="en-US"/>
        </w:rPr>
        <w:t xml:space="preserve">Annual Digest of Public International Law Cases 1925–26 </w:t>
      </w:r>
      <w:r w:rsidRPr="00DD72AD">
        <w:rPr>
          <w:rFonts w:ascii="Arial" w:hAnsi="Arial" w:cs="Arial"/>
          <w:sz w:val="20"/>
          <w:szCs w:val="20"/>
          <w:lang w:val="en-US"/>
        </w:rPr>
        <w:t xml:space="preserve">(Cambridge: </w:t>
      </w:r>
      <w:r>
        <w:rPr>
          <w:rFonts w:ascii="Arial" w:hAnsi="Arial" w:cs="Arial"/>
          <w:sz w:val="20"/>
          <w:szCs w:val="20"/>
          <w:lang w:val="en-US"/>
        </w:rPr>
        <w:t>CUP 1929), p 4</w:t>
      </w:r>
      <w:r w:rsidRPr="00DD72AD">
        <w:rPr>
          <w:rFonts w:ascii="Arial" w:hAnsi="Arial" w:cs="Arial"/>
          <w:sz w:val="20"/>
          <w:szCs w:val="20"/>
          <w:lang w:val="en-US"/>
        </w:rPr>
        <w:t>.  </w:t>
      </w:r>
    </w:p>
  </w:footnote>
  <w:footnote w:id="300">
    <w:p w14:paraId="04899D3D" w14:textId="1E8C2C45" w:rsidR="001A5BF9" w:rsidRPr="00C07517" w:rsidRDefault="001A5BF9">
      <w:pPr>
        <w:pStyle w:val="FootnoteText"/>
        <w:rPr>
          <w:rFonts w:ascii="Arial" w:hAnsi="Arial" w:cs="Arial"/>
          <w:sz w:val="20"/>
          <w:szCs w:val="20"/>
          <w:lang w:val="en-US"/>
        </w:rPr>
      </w:pPr>
      <w:r w:rsidRPr="00C07517">
        <w:rPr>
          <w:rStyle w:val="FootnoteReference"/>
          <w:rFonts w:ascii="Arial" w:hAnsi="Arial" w:cs="Arial"/>
          <w:sz w:val="20"/>
          <w:szCs w:val="20"/>
        </w:rPr>
        <w:footnoteRef/>
      </w:r>
      <w:r w:rsidRPr="00C07517">
        <w:rPr>
          <w:rFonts w:ascii="Arial" w:hAnsi="Arial" w:cs="Arial"/>
          <w:sz w:val="20"/>
          <w:szCs w:val="20"/>
        </w:rPr>
        <w:t xml:space="preserve"> </w:t>
      </w:r>
      <w:r>
        <w:rPr>
          <w:rFonts w:ascii="Arial" w:hAnsi="Arial" w:cs="Arial"/>
          <w:sz w:val="20"/>
          <w:szCs w:val="20"/>
        </w:rPr>
        <w:t>Ibid, ‘Preface’, p 4.</w:t>
      </w:r>
    </w:p>
  </w:footnote>
  <w:footnote w:id="301">
    <w:p w14:paraId="2AFDFA45" w14:textId="05292D4E" w:rsidR="001A5BF9" w:rsidRPr="009B6519" w:rsidRDefault="001A5BF9">
      <w:pPr>
        <w:pStyle w:val="FootnoteText"/>
        <w:rPr>
          <w:rFonts w:ascii="Arial" w:hAnsi="Arial" w:cs="Arial"/>
          <w:sz w:val="20"/>
          <w:szCs w:val="20"/>
          <w:lang w:val="en-US"/>
        </w:rPr>
      </w:pPr>
      <w:r w:rsidRPr="009B6519">
        <w:rPr>
          <w:rStyle w:val="FootnoteReference"/>
          <w:rFonts w:ascii="Arial" w:hAnsi="Arial" w:cs="Arial"/>
          <w:sz w:val="20"/>
          <w:szCs w:val="20"/>
        </w:rPr>
        <w:footnoteRef/>
      </w:r>
      <w:r w:rsidRPr="009B6519">
        <w:rPr>
          <w:rFonts w:ascii="Arial" w:hAnsi="Arial" w:cs="Arial"/>
          <w:sz w:val="20"/>
          <w:szCs w:val="20"/>
        </w:rPr>
        <w:t xml:space="preserve"> </w:t>
      </w:r>
      <w:r w:rsidRPr="009B6519">
        <w:rPr>
          <w:rFonts w:ascii="Arial" w:hAnsi="Arial" w:cs="Arial"/>
          <w:sz w:val="20"/>
          <w:szCs w:val="20"/>
          <w:lang w:val="en-US"/>
        </w:rPr>
        <w:t xml:space="preserve">M. Waibel, ‘Demystifying the Art of Interpretation’ (2010) 22 </w:t>
      </w:r>
      <w:r w:rsidRPr="009B6519">
        <w:rPr>
          <w:rFonts w:ascii="Arial" w:hAnsi="Arial" w:cs="Arial"/>
          <w:i/>
          <w:iCs/>
          <w:sz w:val="20"/>
          <w:szCs w:val="20"/>
          <w:lang w:val="en-US"/>
        </w:rPr>
        <w:t xml:space="preserve">EJIL </w:t>
      </w:r>
      <w:r>
        <w:rPr>
          <w:rFonts w:ascii="Arial" w:hAnsi="Arial" w:cs="Arial"/>
          <w:sz w:val="20"/>
          <w:szCs w:val="20"/>
          <w:lang w:val="en-US"/>
        </w:rPr>
        <w:t>571, p</w:t>
      </w:r>
      <w:r w:rsidRPr="009B6519">
        <w:rPr>
          <w:rFonts w:ascii="Arial" w:hAnsi="Arial" w:cs="Arial"/>
          <w:sz w:val="20"/>
          <w:szCs w:val="20"/>
          <w:lang w:val="en-US"/>
        </w:rPr>
        <w:t xml:space="preserve"> 573</w:t>
      </w:r>
      <w:r>
        <w:rPr>
          <w:rFonts w:ascii="Arial" w:hAnsi="Arial" w:cs="Arial"/>
          <w:sz w:val="20"/>
          <w:szCs w:val="20"/>
          <w:lang w:val="en-US"/>
        </w:rPr>
        <w:t>.</w:t>
      </w:r>
      <w:r w:rsidRPr="009B6519">
        <w:rPr>
          <w:rFonts w:ascii="Arial" w:hAnsi="Arial" w:cs="Arial"/>
          <w:sz w:val="20"/>
          <w:szCs w:val="20"/>
          <w:lang w:val="en-US"/>
        </w:rPr>
        <w:t xml:space="preserve">  </w:t>
      </w:r>
    </w:p>
  </w:footnote>
  <w:footnote w:id="302">
    <w:p w14:paraId="13BDCD15" w14:textId="5D0C38BA" w:rsidR="001A5BF9" w:rsidRPr="00465AB7" w:rsidRDefault="001A5BF9" w:rsidP="00465AB7">
      <w:pPr>
        <w:pStyle w:val="FootnoteText"/>
        <w:rPr>
          <w:rFonts w:ascii="Arial" w:hAnsi="Arial" w:cs="Arial"/>
          <w:sz w:val="20"/>
          <w:szCs w:val="20"/>
          <w:lang w:val="en-US"/>
        </w:rPr>
      </w:pPr>
      <w:r w:rsidRPr="00ED5D2B">
        <w:rPr>
          <w:rStyle w:val="FootnoteReference"/>
          <w:rFonts w:ascii="Arial" w:hAnsi="Arial" w:cs="Arial"/>
          <w:sz w:val="20"/>
          <w:szCs w:val="20"/>
        </w:rPr>
        <w:footnoteRef/>
      </w:r>
      <w:r w:rsidRPr="00ED5D2B">
        <w:rPr>
          <w:rFonts w:ascii="Arial" w:hAnsi="Arial" w:cs="Arial"/>
          <w:sz w:val="20"/>
          <w:szCs w:val="20"/>
        </w:rPr>
        <w:t xml:space="preserve"> </w:t>
      </w:r>
      <w:r>
        <w:rPr>
          <w:rFonts w:ascii="Arial" w:hAnsi="Arial" w:cs="Arial"/>
          <w:sz w:val="20"/>
          <w:szCs w:val="20"/>
          <w:lang w:val="en-US"/>
        </w:rPr>
        <w:t>J.H.</w:t>
      </w:r>
      <w:r w:rsidRPr="00465AB7">
        <w:rPr>
          <w:rFonts w:ascii="Arial" w:hAnsi="Arial" w:cs="Arial"/>
          <w:sz w:val="20"/>
          <w:szCs w:val="20"/>
          <w:lang w:val="en-US"/>
        </w:rPr>
        <w:t>H. Weiler, ‘The Geology of International Law – Go</w:t>
      </w:r>
      <w:r>
        <w:rPr>
          <w:rFonts w:ascii="Arial" w:hAnsi="Arial" w:cs="Arial"/>
          <w:sz w:val="20"/>
          <w:szCs w:val="20"/>
          <w:lang w:val="en-US"/>
        </w:rPr>
        <w:t>vernance, Democracy and Legiti</w:t>
      </w:r>
      <w:r w:rsidRPr="00465AB7">
        <w:rPr>
          <w:rFonts w:ascii="Arial" w:hAnsi="Arial" w:cs="Arial"/>
          <w:sz w:val="20"/>
          <w:szCs w:val="20"/>
          <w:lang w:val="en-US"/>
        </w:rPr>
        <w:t xml:space="preserve">macy’ (2005) 64 </w:t>
      </w:r>
      <w:r w:rsidRPr="005E5555">
        <w:rPr>
          <w:rFonts w:ascii="Arial" w:hAnsi="Arial" w:cs="Arial"/>
          <w:i/>
          <w:iCs/>
          <w:sz w:val="20"/>
          <w:szCs w:val="20"/>
          <w:lang w:val="en-US"/>
        </w:rPr>
        <w:t>Zeitschrift f</w:t>
      </w:r>
      <w:r w:rsidRPr="005E5555">
        <w:rPr>
          <w:rFonts w:ascii="Arial" w:hAnsi="Arial" w:cs="Arial"/>
          <w:i/>
          <w:color w:val="000000"/>
          <w:sz w:val="20"/>
          <w:szCs w:val="20"/>
        </w:rPr>
        <w:t>ü</w:t>
      </w:r>
      <w:r w:rsidRPr="005E5555">
        <w:rPr>
          <w:rFonts w:ascii="Arial" w:hAnsi="Arial" w:cs="Arial"/>
          <w:i/>
          <w:iCs/>
          <w:sz w:val="20"/>
          <w:szCs w:val="20"/>
          <w:lang w:val="en-US"/>
        </w:rPr>
        <w:t>r ausl</w:t>
      </w:r>
      <w:r w:rsidRPr="005E5555">
        <w:rPr>
          <w:rFonts w:ascii="Arial" w:hAnsi="Arial" w:cs="Arial"/>
          <w:i/>
          <w:color w:val="000000"/>
          <w:sz w:val="20"/>
          <w:szCs w:val="20"/>
        </w:rPr>
        <w:t>ä</w:t>
      </w:r>
      <w:r w:rsidRPr="005E5555">
        <w:rPr>
          <w:rFonts w:ascii="Arial" w:hAnsi="Arial" w:cs="Arial"/>
          <w:i/>
          <w:iCs/>
          <w:sz w:val="20"/>
          <w:szCs w:val="20"/>
          <w:lang w:val="en-US"/>
        </w:rPr>
        <w:t xml:space="preserve">ndisches </w:t>
      </w:r>
      <w:r w:rsidRPr="005E5555">
        <w:rPr>
          <w:rFonts w:ascii="Arial" w:hAnsi="Arial" w:cs="Arial"/>
          <w:i/>
          <w:color w:val="000000"/>
          <w:sz w:val="20"/>
          <w:szCs w:val="20"/>
        </w:rPr>
        <w:t>ö</w:t>
      </w:r>
      <w:r w:rsidRPr="005E5555">
        <w:rPr>
          <w:rFonts w:ascii="Arial" w:hAnsi="Arial" w:cs="Arial"/>
          <w:i/>
          <w:iCs/>
          <w:sz w:val="20"/>
          <w:szCs w:val="20"/>
          <w:lang w:val="en-US"/>
        </w:rPr>
        <w:t>ffentliches Recht und V</w:t>
      </w:r>
      <w:r w:rsidRPr="005E5555">
        <w:rPr>
          <w:rFonts w:ascii="Arial" w:hAnsi="Arial" w:cs="Arial"/>
          <w:i/>
          <w:color w:val="000000"/>
          <w:sz w:val="20"/>
          <w:szCs w:val="20"/>
        </w:rPr>
        <w:t>ö</w:t>
      </w:r>
      <w:r w:rsidRPr="005E5555">
        <w:rPr>
          <w:rFonts w:ascii="Arial" w:hAnsi="Arial" w:cs="Arial"/>
          <w:i/>
          <w:iCs/>
          <w:sz w:val="20"/>
          <w:szCs w:val="20"/>
          <w:lang w:val="en-US"/>
        </w:rPr>
        <w:t>lke</w:t>
      </w:r>
      <w:r w:rsidRPr="00465AB7">
        <w:rPr>
          <w:rFonts w:ascii="Arial" w:hAnsi="Arial" w:cs="Arial"/>
          <w:i/>
          <w:iCs/>
          <w:sz w:val="20"/>
          <w:szCs w:val="20"/>
          <w:lang w:val="en-US"/>
        </w:rPr>
        <w:t xml:space="preserve">rrecht </w:t>
      </w:r>
      <w:r>
        <w:rPr>
          <w:rFonts w:ascii="Arial" w:hAnsi="Arial" w:cs="Arial"/>
          <w:sz w:val="20"/>
          <w:szCs w:val="20"/>
          <w:lang w:val="en-US"/>
        </w:rPr>
        <w:t>547, p 549.</w:t>
      </w:r>
      <w:r w:rsidRPr="00465AB7">
        <w:rPr>
          <w:rFonts w:ascii="Arial" w:hAnsi="Arial" w:cs="Arial"/>
          <w:sz w:val="20"/>
          <w:szCs w:val="20"/>
          <w:lang w:val="en-US"/>
        </w:rPr>
        <w:t xml:space="preserve">   </w:t>
      </w:r>
    </w:p>
  </w:footnote>
  <w:footnote w:id="303">
    <w:p w14:paraId="69E05028" w14:textId="1451FCE4" w:rsidR="001A5BF9" w:rsidRPr="002146F1" w:rsidRDefault="001A5BF9">
      <w:pPr>
        <w:pStyle w:val="FootnoteText"/>
        <w:rPr>
          <w:rFonts w:ascii="Arial" w:hAnsi="Arial" w:cs="Arial"/>
          <w:sz w:val="20"/>
          <w:szCs w:val="20"/>
          <w:lang w:val="en-US"/>
        </w:rPr>
      </w:pPr>
      <w:r w:rsidRPr="002146F1">
        <w:rPr>
          <w:rStyle w:val="FootnoteReference"/>
          <w:rFonts w:ascii="Arial" w:hAnsi="Arial" w:cs="Arial"/>
          <w:sz w:val="20"/>
          <w:szCs w:val="20"/>
        </w:rPr>
        <w:footnoteRef/>
      </w:r>
      <w:r w:rsidRPr="002146F1">
        <w:rPr>
          <w:rFonts w:ascii="Arial" w:hAnsi="Arial" w:cs="Arial"/>
          <w:sz w:val="20"/>
          <w:szCs w:val="20"/>
        </w:rPr>
        <w:t xml:space="preserve"> </w:t>
      </w:r>
      <w:r w:rsidRPr="002D1D93">
        <w:rPr>
          <w:rFonts w:ascii="Arial" w:hAnsi="Arial" w:cs="Arial"/>
          <w:sz w:val="20"/>
          <w:szCs w:val="20"/>
          <w:lang w:val="en-US"/>
        </w:rPr>
        <w:t xml:space="preserve">J. Crawford and P. Nevill, ‘Relations between International Courts and Tribunals: The “Regime Problem”’, in M. A. Young (ed.), </w:t>
      </w:r>
      <w:r w:rsidRPr="002D1D93">
        <w:rPr>
          <w:rFonts w:ascii="Arial" w:hAnsi="Arial" w:cs="Arial"/>
          <w:i/>
          <w:iCs/>
          <w:sz w:val="20"/>
          <w:szCs w:val="20"/>
          <w:lang w:val="en-US"/>
        </w:rPr>
        <w:t xml:space="preserve">Regime Interaction in International Law: Facing Fragmentation </w:t>
      </w:r>
      <w:r w:rsidRPr="002D1D93">
        <w:rPr>
          <w:rFonts w:ascii="Arial" w:hAnsi="Arial" w:cs="Arial"/>
          <w:sz w:val="20"/>
          <w:szCs w:val="20"/>
          <w:lang w:val="en-US"/>
        </w:rPr>
        <w:t xml:space="preserve">(Cambridge: </w:t>
      </w:r>
      <w:r>
        <w:rPr>
          <w:rFonts w:ascii="Arial" w:hAnsi="Arial" w:cs="Arial"/>
          <w:sz w:val="20"/>
          <w:szCs w:val="20"/>
          <w:lang w:val="en-US"/>
        </w:rPr>
        <w:t>CUP</w:t>
      </w:r>
      <w:r w:rsidRPr="002D1D93">
        <w:rPr>
          <w:rFonts w:ascii="Arial" w:hAnsi="Arial" w:cs="Arial"/>
          <w:sz w:val="20"/>
          <w:szCs w:val="20"/>
          <w:lang w:val="en-US"/>
        </w:rPr>
        <w:t xml:space="preserve"> 2012)</w:t>
      </w:r>
      <w:r>
        <w:rPr>
          <w:rFonts w:ascii="Arial" w:hAnsi="Arial" w:cs="Arial"/>
          <w:sz w:val="20"/>
          <w:szCs w:val="20"/>
          <w:lang w:val="en-US"/>
        </w:rPr>
        <w:t>, p</w:t>
      </w:r>
      <w:r w:rsidRPr="002146F1">
        <w:rPr>
          <w:rFonts w:ascii="Arial" w:hAnsi="Arial" w:cs="Arial"/>
          <w:sz w:val="20"/>
          <w:szCs w:val="20"/>
          <w:lang w:val="en-US"/>
        </w:rPr>
        <w:t xml:space="preserve"> 252.  </w:t>
      </w:r>
    </w:p>
  </w:footnote>
  <w:footnote w:id="304">
    <w:p w14:paraId="70689BFF" w14:textId="08C682A7" w:rsidR="001A5BF9" w:rsidRPr="0068101E" w:rsidRDefault="001A5BF9">
      <w:pPr>
        <w:pStyle w:val="FootnoteText"/>
        <w:rPr>
          <w:rFonts w:ascii="Arial" w:hAnsi="Arial" w:cs="Arial"/>
          <w:sz w:val="20"/>
          <w:szCs w:val="20"/>
          <w:lang w:val="en-US"/>
        </w:rPr>
      </w:pPr>
      <w:r w:rsidRPr="0068101E">
        <w:rPr>
          <w:rStyle w:val="FootnoteReference"/>
          <w:rFonts w:ascii="Arial" w:hAnsi="Arial" w:cs="Arial"/>
          <w:sz w:val="20"/>
          <w:szCs w:val="20"/>
        </w:rPr>
        <w:footnoteRef/>
      </w:r>
      <w:r w:rsidRPr="0068101E">
        <w:rPr>
          <w:rFonts w:ascii="Arial" w:hAnsi="Arial" w:cs="Arial"/>
          <w:sz w:val="20"/>
          <w:szCs w:val="20"/>
        </w:rPr>
        <w:t xml:space="preserve"> </w:t>
      </w:r>
      <w:r w:rsidRPr="005A6E53">
        <w:rPr>
          <w:rFonts w:ascii="Arial" w:hAnsi="Arial" w:cs="Arial"/>
          <w:sz w:val="20"/>
          <w:szCs w:val="20"/>
          <w:lang w:val="en-US"/>
        </w:rPr>
        <w:t xml:space="preserve">M. Waibel, ‘Demystifying the Art of Interpretation’ (2010) 22 </w:t>
      </w:r>
      <w:r w:rsidRPr="005A6E53">
        <w:rPr>
          <w:rFonts w:ascii="Arial" w:hAnsi="Arial" w:cs="Arial"/>
          <w:i/>
          <w:iCs/>
          <w:sz w:val="20"/>
          <w:szCs w:val="20"/>
          <w:lang w:val="en-US"/>
        </w:rPr>
        <w:t xml:space="preserve">EJIL </w:t>
      </w:r>
      <w:r>
        <w:rPr>
          <w:rFonts w:ascii="Arial" w:hAnsi="Arial" w:cs="Arial"/>
          <w:sz w:val="20"/>
          <w:szCs w:val="20"/>
          <w:lang w:val="en-US"/>
        </w:rPr>
        <w:t>571, p</w:t>
      </w:r>
      <w:r w:rsidRPr="004B434B">
        <w:rPr>
          <w:rFonts w:ascii="Arial" w:hAnsi="Arial" w:cs="Arial"/>
          <w:sz w:val="20"/>
          <w:szCs w:val="20"/>
          <w:lang w:val="en-US"/>
        </w:rPr>
        <w:t xml:space="preserve"> 572.  </w:t>
      </w:r>
    </w:p>
  </w:footnote>
  <w:footnote w:id="305">
    <w:p w14:paraId="7B92BAFF" w14:textId="62DF017B" w:rsidR="001A5BF9" w:rsidRPr="0070148D" w:rsidRDefault="001A5BF9" w:rsidP="00864DA5">
      <w:pPr>
        <w:pStyle w:val="FootnoteText"/>
        <w:rPr>
          <w:rFonts w:ascii="Arial" w:hAnsi="Arial" w:cs="Arial"/>
          <w:bCs/>
          <w:sz w:val="20"/>
          <w:szCs w:val="20"/>
          <w:lang w:val="en-US"/>
        </w:rPr>
      </w:pPr>
      <w:r w:rsidRPr="00E51BFB">
        <w:rPr>
          <w:rStyle w:val="FootnoteReference"/>
          <w:rFonts w:ascii="Arial" w:hAnsi="Arial" w:cs="Arial"/>
          <w:sz w:val="20"/>
          <w:szCs w:val="20"/>
        </w:rPr>
        <w:footnoteRef/>
      </w:r>
      <w:r w:rsidRPr="00E51BFB">
        <w:rPr>
          <w:rFonts w:ascii="Arial" w:hAnsi="Arial" w:cs="Arial"/>
          <w:sz w:val="20"/>
          <w:szCs w:val="20"/>
        </w:rPr>
        <w:t xml:space="preserve"> </w:t>
      </w:r>
      <w:r>
        <w:rPr>
          <w:rFonts w:ascii="Arial" w:hAnsi="Arial" w:cs="Arial"/>
          <w:sz w:val="20"/>
          <w:szCs w:val="20"/>
        </w:rPr>
        <w:t>E. Bjorge, ‘</w:t>
      </w:r>
      <w:r w:rsidRPr="0070148D">
        <w:rPr>
          <w:rFonts w:ascii="Arial" w:hAnsi="Arial" w:cs="Arial"/>
          <w:bCs/>
          <w:sz w:val="20"/>
          <w:szCs w:val="20"/>
          <w:lang w:val="en-US"/>
        </w:rPr>
        <w:t>The convergence of the methods of treaty interpretation: Different regimes, diffe</w:t>
      </w:r>
      <w:r>
        <w:rPr>
          <w:rFonts w:ascii="Arial" w:hAnsi="Arial" w:cs="Arial"/>
          <w:bCs/>
          <w:sz w:val="20"/>
          <w:szCs w:val="20"/>
          <w:lang w:val="en-US"/>
        </w:rPr>
        <w:t>rent methods of interpretation?</w:t>
      </w:r>
      <w:r w:rsidRPr="00DF4936">
        <w:rPr>
          <w:rFonts w:ascii="Arial" w:hAnsi="Arial" w:cs="Arial"/>
          <w:bCs/>
          <w:sz w:val="20"/>
          <w:szCs w:val="20"/>
          <w:lang w:val="en-US"/>
        </w:rPr>
        <w:t>’</w:t>
      </w:r>
      <w:r>
        <w:rPr>
          <w:rFonts w:ascii="Arial" w:hAnsi="Arial" w:cs="Arial"/>
          <w:bCs/>
          <w:sz w:val="20"/>
          <w:szCs w:val="20"/>
          <w:lang w:val="en-US"/>
        </w:rPr>
        <w:t xml:space="preserve"> in </w:t>
      </w:r>
      <w:r w:rsidRPr="004C5829">
        <w:rPr>
          <w:rFonts w:ascii="Arial" w:hAnsi="Arial" w:cs="Arial"/>
          <w:bCs/>
          <w:sz w:val="20"/>
          <w:szCs w:val="20"/>
          <w:lang w:val="en-US"/>
        </w:rPr>
        <w:t>A</w:t>
      </w:r>
      <w:r>
        <w:rPr>
          <w:rFonts w:ascii="Arial" w:hAnsi="Arial" w:cs="Arial"/>
          <w:bCs/>
          <w:sz w:val="20"/>
          <w:szCs w:val="20"/>
          <w:lang w:val="en-US"/>
        </w:rPr>
        <w:t xml:space="preserve">ndenas &amp; </w:t>
      </w:r>
      <w:r w:rsidRPr="004C5829">
        <w:rPr>
          <w:rFonts w:ascii="Arial" w:hAnsi="Arial" w:cs="Arial"/>
          <w:bCs/>
          <w:sz w:val="20"/>
          <w:szCs w:val="20"/>
          <w:lang w:val="en-US"/>
        </w:rPr>
        <w:t>Bjorge</w:t>
      </w:r>
      <w:r>
        <w:rPr>
          <w:rFonts w:ascii="Arial" w:hAnsi="Arial" w:cs="Arial"/>
          <w:bCs/>
          <w:sz w:val="20"/>
          <w:szCs w:val="20"/>
          <w:lang w:val="en-US"/>
        </w:rPr>
        <w:t xml:space="preserve"> </w:t>
      </w:r>
      <w:r w:rsidRPr="003F794A">
        <w:rPr>
          <w:rFonts w:ascii="Arial" w:hAnsi="Arial" w:cs="Arial"/>
          <w:bCs/>
          <w:sz w:val="20"/>
          <w:szCs w:val="20"/>
          <w:lang w:val="en-US"/>
        </w:rPr>
        <w:t>(n 82)</w:t>
      </w:r>
      <w:r w:rsidRPr="003F794A">
        <w:rPr>
          <w:rFonts w:ascii="Arial" w:hAnsi="Arial" w:cs="Arial"/>
          <w:sz w:val="20"/>
          <w:szCs w:val="20"/>
        </w:rPr>
        <w:t>, p</w:t>
      </w:r>
      <w:r>
        <w:rPr>
          <w:rFonts w:ascii="Arial" w:hAnsi="Arial" w:cs="Arial"/>
          <w:sz w:val="20"/>
          <w:szCs w:val="20"/>
        </w:rPr>
        <w:t xml:space="preserve"> 533.</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8"/>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2B0503"/>
    <w:multiLevelType w:val="multilevel"/>
    <w:tmpl w:val="E5908A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6C0854"/>
    <w:multiLevelType w:val="multilevel"/>
    <w:tmpl w:val="3F8E818A"/>
    <w:lvl w:ilvl="0">
      <w:start w:val="3"/>
      <w:numFmt w:val="decimal"/>
      <w:lvlText w:val="%1"/>
      <w:lvlJc w:val="left"/>
      <w:pPr>
        <w:ind w:left="360" w:hanging="360"/>
      </w:pPr>
      <w:rPr>
        <w:rFonts w:hint="default"/>
      </w:rPr>
    </w:lvl>
    <w:lvl w:ilvl="1">
      <w:start w:val="2"/>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3">
    <w:nsid w:val="03613F99"/>
    <w:multiLevelType w:val="hybridMultilevel"/>
    <w:tmpl w:val="EB40AD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4887CA9"/>
    <w:multiLevelType w:val="hybridMultilevel"/>
    <w:tmpl w:val="6B1A396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61F7419"/>
    <w:multiLevelType w:val="multilevel"/>
    <w:tmpl w:val="8AB231A0"/>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9B217A6"/>
    <w:multiLevelType w:val="hybridMultilevel"/>
    <w:tmpl w:val="E6A014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FE1229"/>
    <w:multiLevelType w:val="hybridMultilevel"/>
    <w:tmpl w:val="D46237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885AA9"/>
    <w:multiLevelType w:val="hybridMultilevel"/>
    <w:tmpl w:val="AB7A19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0B22DC8"/>
    <w:multiLevelType w:val="multilevel"/>
    <w:tmpl w:val="76007216"/>
    <w:lvl w:ilvl="0">
      <w:start w:val="1"/>
      <w:numFmt w:val="decimal"/>
      <w:lvlText w:val="%1."/>
      <w:lvlJc w:val="left"/>
      <w:pPr>
        <w:ind w:left="720" w:hanging="360"/>
      </w:pPr>
    </w:lvl>
    <w:lvl w:ilvl="1">
      <w:start w:val="1"/>
      <w:numFmt w:val="decimal"/>
      <w:isLgl/>
      <w:lvlText w:val="%1.%2."/>
      <w:lvlJc w:val="left"/>
      <w:pPr>
        <w:ind w:left="1713"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10">
    <w:nsid w:val="12544618"/>
    <w:multiLevelType w:val="hybridMultilevel"/>
    <w:tmpl w:val="774AB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6C6E00"/>
    <w:multiLevelType w:val="hybridMultilevel"/>
    <w:tmpl w:val="86BC7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4B768AE"/>
    <w:multiLevelType w:val="multilevel"/>
    <w:tmpl w:val="36BC3F06"/>
    <w:lvl w:ilvl="0">
      <w:start w:val="2"/>
      <w:numFmt w:val="decimal"/>
      <w:lvlText w:val="%1"/>
      <w:lvlJc w:val="left"/>
      <w:pPr>
        <w:ind w:left="360" w:hanging="360"/>
      </w:pPr>
      <w:rPr>
        <w:rFonts w:hint="default"/>
      </w:rPr>
    </w:lvl>
    <w:lvl w:ilvl="1">
      <w:start w:val="2"/>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3">
    <w:nsid w:val="1B2D4AAF"/>
    <w:multiLevelType w:val="multilevel"/>
    <w:tmpl w:val="E04C56D6"/>
    <w:lvl w:ilvl="0">
      <w:start w:val="3"/>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
    <w:nsid w:val="1CDD70AC"/>
    <w:multiLevelType w:val="hybridMultilevel"/>
    <w:tmpl w:val="D46237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DAD2812"/>
    <w:multiLevelType w:val="multilevel"/>
    <w:tmpl w:val="AF389626"/>
    <w:lvl w:ilvl="0">
      <w:start w:val="1"/>
      <w:numFmt w:val="decimal"/>
      <w:lvlText w:val="%1."/>
      <w:lvlJc w:val="left"/>
      <w:pPr>
        <w:ind w:left="720" w:hanging="360"/>
      </w:pPr>
    </w:lvl>
    <w:lvl w:ilvl="1">
      <w:start w:val="1"/>
      <w:numFmt w:val="decimal"/>
      <w:isLgl/>
      <w:lvlText w:val="%1.%2"/>
      <w:lvlJc w:val="left"/>
      <w:pPr>
        <w:ind w:left="1353" w:hanging="36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2979" w:hanging="72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598" w:hanging="1440"/>
      </w:pPr>
      <w:rPr>
        <w:rFonts w:hint="default"/>
      </w:rPr>
    </w:lvl>
    <w:lvl w:ilvl="7">
      <w:start w:val="1"/>
      <w:numFmt w:val="decimal"/>
      <w:isLgl/>
      <w:lvlText w:val="%1.%2.%3.%4.%5.%6.%7.%8"/>
      <w:lvlJc w:val="left"/>
      <w:pPr>
        <w:ind w:left="6231" w:hanging="1440"/>
      </w:pPr>
      <w:rPr>
        <w:rFonts w:hint="default"/>
      </w:rPr>
    </w:lvl>
    <w:lvl w:ilvl="8">
      <w:start w:val="1"/>
      <w:numFmt w:val="decimal"/>
      <w:isLgl/>
      <w:lvlText w:val="%1.%2.%3.%4.%5.%6.%7.%8.%9"/>
      <w:lvlJc w:val="left"/>
      <w:pPr>
        <w:ind w:left="7224" w:hanging="1800"/>
      </w:pPr>
      <w:rPr>
        <w:rFonts w:hint="default"/>
      </w:rPr>
    </w:lvl>
  </w:abstractNum>
  <w:abstractNum w:abstractNumId="16">
    <w:nsid w:val="20B56E67"/>
    <w:multiLevelType w:val="multilevel"/>
    <w:tmpl w:val="BCC2D7CC"/>
    <w:lvl w:ilvl="0">
      <w:start w:val="1"/>
      <w:numFmt w:val="decimal"/>
      <w:lvlText w:val="%1."/>
      <w:lvlJc w:val="left"/>
      <w:pPr>
        <w:ind w:left="720" w:hanging="360"/>
      </w:pPr>
    </w:lvl>
    <w:lvl w:ilvl="1">
      <w:start w:val="1"/>
      <w:numFmt w:val="decimal"/>
      <w:isLgl/>
      <w:lvlText w:val="%1.%2"/>
      <w:lvlJc w:val="left"/>
      <w:pPr>
        <w:ind w:left="1353" w:hanging="360"/>
      </w:pPr>
      <w:rPr>
        <w:rFonts w:hint="default"/>
        <w:color w:val="auto"/>
      </w:rPr>
    </w:lvl>
    <w:lvl w:ilvl="2">
      <w:start w:val="1"/>
      <w:numFmt w:val="decimal"/>
      <w:isLgl/>
      <w:lvlText w:val="%1.%2.%3"/>
      <w:lvlJc w:val="left"/>
      <w:pPr>
        <w:ind w:left="2346" w:hanging="720"/>
      </w:pPr>
      <w:rPr>
        <w:rFonts w:hint="default"/>
      </w:rPr>
    </w:lvl>
    <w:lvl w:ilvl="3">
      <w:start w:val="1"/>
      <w:numFmt w:val="decimal"/>
      <w:isLgl/>
      <w:lvlText w:val="%1.%2.%3.%4"/>
      <w:lvlJc w:val="left"/>
      <w:pPr>
        <w:ind w:left="2979" w:hanging="72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598" w:hanging="1440"/>
      </w:pPr>
      <w:rPr>
        <w:rFonts w:hint="default"/>
      </w:rPr>
    </w:lvl>
    <w:lvl w:ilvl="7">
      <w:start w:val="1"/>
      <w:numFmt w:val="decimal"/>
      <w:isLgl/>
      <w:lvlText w:val="%1.%2.%3.%4.%5.%6.%7.%8"/>
      <w:lvlJc w:val="left"/>
      <w:pPr>
        <w:ind w:left="6231" w:hanging="1440"/>
      </w:pPr>
      <w:rPr>
        <w:rFonts w:hint="default"/>
      </w:rPr>
    </w:lvl>
    <w:lvl w:ilvl="8">
      <w:start w:val="1"/>
      <w:numFmt w:val="decimal"/>
      <w:isLgl/>
      <w:lvlText w:val="%1.%2.%3.%4.%5.%6.%7.%8.%9"/>
      <w:lvlJc w:val="left"/>
      <w:pPr>
        <w:ind w:left="7224" w:hanging="1800"/>
      </w:pPr>
      <w:rPr>
        <w:rFonts w:hint="default"/>
      </w:rPr>
    </w:lvl>
  </w:abstractNum>
  <w:abstractNum w:abstractNumId="17">
    <w:nsid w:val="2FC319B5"/>
    <w:multiLevelType w:val="multilevel"/>
    <w:tmpl w:val="CA48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332E15"/>
    <w:multiLevelType w:val="hybridMultilevel"/>
    <w:tmpl w:val="19BEF288"/>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9">
    <w:nsid w:val="403A2507"/>
    <w:multiLevelType w:val="multilevel"/>
    <w:tmpl w:val="4A484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4C3346B"/>
    <w:multiLevelType w:val="multilevel"/>
    <w:tmpl w:val="BCC2D7CC"/>
    <w:lvl w:ilvl="0">
      <w:start w:val="1"/>
      <w:numFmt w:val="decimal"/>
      <w:lvlText w:val="%1."/>
      <w:lvlJc w:val="left"/>
      <w:pPr>
        <w:ind w:left="720" w:hanging="360"/>
      </w:pPr>
    </w:lvl>
    <w:lvl w:ilvl="1">
      <w:start w:val="1"/>
      <w:numFmt w:val="decimal"/>
      <w:isLgl/>
      <w:lvlText w:val="%1.%2"/>
      <w:lvlJc w:val="left"/>
      <w:pPr>
        <w:ind w:left="1353" w:hanging="360"/>
      </w:pPr>
      <w:rPr>
        <w:rFonts w:hint="default"/>
        <w:color w:val="auto"/>
      </w:rPr>
    </w:lvl>
    <w:lvl w:ilvl="2">
      <w:start w:val="1"/>
      <w:numFmt w:val="decimal"/>
      <w:isLgl/>
      <w:lvlText w:val="%1.%2.%3"/>
      <w:lvlJc w:val="left"/>
      <w:pPr>
        <w:ind w:left="2346" w:hanging="720"/>
      </w:pPr>
      <w:rPr>
        <w:rFonts w:hint="default"/>
      </w:rPr>
    </w:lvl>
    <w:lvl w:ilvl="3">
      <w:start w:val="1"/>
      <w:numFmt w:val="decimal"/>
      <w:isLgl/>
      <w:lvlText w:val="%1.%2.%3.%4"/>
      <w:lvlJc w:val="left"/>
      <w:pPr>
        <w:ind w:left="2979" w:hanging="72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598" w:hanging="1440"/>
      </w:pPr>
      <w:rPr>
        <w:rFonts w:hint="default"/>
      </w:rPr>
    </w:lvl>
    <w:lvl w:ilvl="7">
      <w:start w:val="1"/>
      <w:numFmt w:val="decimal"/>
      <w:isLgl/>
      <w:lvlText w:val="%1.%2.%3.%4.%5.%6.%7.%8"/>
      <w:lvlJc w:val="left"/>
      <w:pPr>
        <w:ind w:left="6231" w:hanging="1440"/>
      </w:pPr>
      <w:rPr>
        <w:rFonts w:hint="default"/>
      </w:rPr>
    </w:lvl>
    <w:lvl w:ilvl="8">
      <w:start w:val="1"/>
      <w:numFmt w:val="decimal"/>
      <w:isLgl/>
      <w:lvlText w:val="%1.%2.%3.%4.%5.%6.%7.%8.%9"/>
      <w:lvlJc w:val="left"/>
      <w:pPr>
        <w:ind w:left="7224" w:hanging="1800"/>
      </w:pPr>
      <w:rPr>
        <w:rFonts w:hint="default"/>
      </w:rPr>
    </w:lvl>
  </w:abstractNum>
  <w:abstractNum w:abstractNumId="21">
    <w:nsid w:val="489F4735"/>
    <w:multiLevelType w:val="hybridMultilevel"/>
    <w:tmpl w:val="1F625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94507F"/>
    <w:multiLevelType w:val="multilevel"/>
    <w:tmpl w:val="76007216"/>
    <w:lvl w:ilvl="0">
      <w:start w:val="1"/>
      <w:numFmt w:val="decimal"/>
      <w:lvlText w:val="%1."/>
      <w:lvlJc w:val="left"/>
      <w:pPr>
        <w:ind w:left="720" w:hanging="360"/>
      </w:pPr>
    </w:lvl>
    <w:lvl w:ilvl="1">
      <w:start w:val="1"/>
      <w:numFmt w:val="decimal"/>
      <w:isLgl/>
      <w:lvlText w:val="%1.%2."/>
      <w:lvlJc w:val="left"/>
      <w:pPr>
        <w:ind w:left="1713"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23">
    <w:nsid w:val="58D06EE7"/>
    <w:multiLevelType w:val="hybridMultilevel"/>
    <w:tmpl w:val="EB40AD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2325AFE"/>
    <w:multiLevelType w:val="hybridMultilevel"/>
    <w:tmpl w:val="3904B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46D6B91"/>
    <w:multiLevelType w:val="hybridMultilevel"/>
    <w:tmpl w:val="A6C8D84C"/>
    <w:lvl w:ilvl="0" w:tplc="8A042E7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6DC45FB"/>
    <w:multiLevelType w:val="multilevel"/>
    <w:tmpl w:val="C1821920"/>
    <w:lvl w:ilvl="0">
      <w:start w:val="4"/>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27">
    <w:nsid w:val="6C6953EA"/>
    <w:multiLevelType w:val="hybridMultilevel"/>
    <w:tmpl w:val="8F9AAD34"/>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1931" w:hanging="360"/>
      </w:pPr>
      <w:rPr>
        <w:rFonts w:ascii="Courier New" w:hAnsi="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8">
    <w:nsid w:val="7D685007"/>
    <w:multiLevelType w:val="hybridMultilevel"/>
    <w:tmpl w:val="C8CA9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6"/>
  </w:num>
  <w:num w:numId="3">
    <w:abstractNumId w:val="14"/>
  </w:num>
  <w:num w:numId="4">
    <w:abstractNumId w:val="10"/>
  </w:num>
  <w:num w:numId="5">
    <w:abstractNumId w:val="7"/>
  </w:num>
  <w:num w:numId="6">
    <w:abstractNumId w:val="23"/>
  </w:num>
  <w:num w:numId="7">
    <w:abstractNumId w:val="3"/>
  </w:num>
  <w:num w:numId="8">
    <w:abstractNumId w:val="9"/>
  </w:num>
  <w:num w:numId="9">
    <w:abstractNumId w:val="24"/>
  </w:num>
  <w:num w:numId="10">
    <w:abstractNumId w:val="25"/>
  </w:num>
  <w:num w:numId="11">
    <w:abstractNumId w:val="27"/>
  </w:num>
  <w:num w:numId="12">
    <w:abstractNumId w:val="8"/>
  </w:num>
  <w:num w:numId="13">
    <w:abstractNumId w:val="0"/>
  </w:num>
  <w:num w:numId="14">
    <w:abstractNumId w:val="28"/>
  </w:num>
  <w:num w:numId="15">
    <w:abstractNumId w:val="6"/>
  </w:num>
  <w:num w:numId="16">
    <w:abstractNumId w:val="11"/>
  </w:num>
  <w:num w:numId="17">
    <w:abstractNumId w:val="1"/>
  </w:num>
  <w:num w:numId="18">
    <w:abstractNumId w:val="4"/>
  </w:num>
  <w:num w:numId="19">
    <w:abstractNumId w:val="15"/>
  </w:num>
  <w:num w:numId="20">
    <w:abstractNumId w:val="19"/>
  </w:num>
  <w:num w:numId="21">
    <w:abstractNumId w:val="21"/>
  </w:num>
  <w:num w:numId="22">
    <w:abstractNumId w:val="20"/>
  </w:num>
  <w:num w:numId="23">
    <w:abstractNumId w:val="18"/>
  </w:num>
  <w:num w:numId="24">
    <w:abstractNumId w:val="12"/>
  </w:num>
  <w:num w:numId="25">
    <w:abstractNumId w:val="2"/>
  </w:num>
  <w:num w:numId="26">
    <w:abstractNumId w:val="13"/>
  </w:num>
  <w:num w:numId="27">
    <w:abstractNumId w:val="26"/>
  </w:num>
  <w:num w:numId="28">
    <w:abstractNumId w:val="5"/>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854"/>
    <w:rsid w:val="00000357"/>
    <w:rsid w:val="000008FA"/>
    <w:rsid w:val="00000ED3"/>
    <w:rsid w:val="000015DD"/>
    <w:rsid w:val="00001A25"/>
    <w:rsid w:val="00001AE7"/>
    <w:rsid w:val="00002100"/>
    <w:rsid w:val="00002171"/>
    <w:rsid w:val="000027D1"/>
    <w:rsid w:val="00002AF4"/>
    <w:rsid w:val="000037E4"/>
    <w:rsid w:val="0000380E"/>
    <w:rsid w:val="00003CE5"/>
    <w:rsid w:val="00003CE9"/>
    <w:rsid w:val="00004D36"/>
    <w:rsid w:val="00004E0A"/>
    <w:rsid w:val="00005005"/>
    <w:rsid w:val="00005A5E"/>
    <w:rsid w:val="00005B4B"/>
    <w:rsid w:val="00005B79"/>
    <w:rsid w:val="00006053"/>
    <w:rsid w:val="000060A4"/>
    <w:rsid w:val="00006461"/>
    <w:rsid w:val="00006479"/>
    <w:rsid w:val="000069CF"/>
    <w:rsid w:val="00007207"/>
    <w:rsid w:val="000079EA"/>
    <w:rsid w:val="00007A39"/>
    <w:rsid w:val="00007A7D"/>
    <w:rsid w:val="00010180"/>
    <w:rsid w:val="0001051C"/>
    <w:rsid w:val="00010572"/>
    <w:rsid w:val="0001065E"/>
    <w:rsid w:val="00010685"/>
    <w:rsid w:val="00010DDF"/>
    <w:rsid w:val="00010F57"/>
    <w:rsid w:val="0001116E"/>
    <w:rsid w:val="0001137D"/>
    <w:rsid w:val="000115F4"/>
    <w:rsid w:val="000121D9"/>
    <w:rsid w:val="00012938"/>
    <w:rsid w:val="00013534"/>
    <w:rsid w:val="00013AEA"/>
    <w:rsid w:val="00013AF3"/>
    <w:rsid w:val="0001410F"/>
    <w:rsid w:val="00014493"/>
    <w:rsid w:val="00014A17"/>
    <w:rsid w:val="00016053"/>
    <w:rsid w:val="00016131"/>
    <w:rsid w:val="000163A7"/>
    <w:rsid w:val="000174BD"/>
    <w:rsid w:val="00017701"/>
    <w:rsid w:val="000203BD"/>
    <w:rsid w:val="000203E5"/>
    <w:rsid w:val="00020E8C"/>
    <w:rsid w:val="0002125E"/>
    <w:rsid w:val="00021432"/>
    <w:rsid w:val="00021F00"/>
    <w:rsid w:val="00022191"/>
    <w:rsid w:val="00022B78"/>
    <w:rsid w:val="00023012"/>
    <w:rsid w:val="00023787"/>
    <w:rsid w:val="000237FF"/>
    <w:rsid w:val="00023E59"/>
    <w:rsid w:val="00023E6F"/>
    <w:rsid w:val="00024C7D"/>
    <w:rsid w:val="00024EEB"/>
    <w:rsid w:val="0002588B"/>
    <w:rsid w:val="00025D92"/>
    <w:rsid w:val="00026076"/>
    <w:rsid w:val="00027629"/>
    <w:rsid w:val="00027887"/>
    <w:rsid w:val="0003017E"/>
    <w:rsid w:val="00030252"/>
    <w:rsid w:val="00030360"/>
    <w:rsid w:val="000307B6"/>
    <w:rsid w:val="00030A76"/>
    <w:rsid w:val="00030E20"/>
    <w:rsid w:val="000312A9"/>
    <w:rsid w:val="0003137E"/>
    <w:rsid w:val="000316EF"/>
    <w:rsid w:val="0003201D"/>
    <w:rsid w:val="00032173"/>
    <w:rsid w:val="00032DF6"/>
    <w:rsid w:val="00033058"/>
    <w:rsid w:val="00033062"/>
    <w:rsid w:val="00033088"/>
    <w:rsid w:val="00033384"/>
    <w:rsid w:val="00033592"/>
    <w:rsid w:val="0003394F"/>
    <w:rsid w:val="00033AE2"/>
    <w:rsid w:val="00033CAB"/>
    <w:rsid w:val="000342F2"/>
    <w:rsid w:val="00034AAD"/>
    <w:rsid w:val="000363CB"/>
    <w:rsid w:val="000366E3"/>
    <w:rsid w:val="00036750"/>
    <w:rsid w:val="00036BB8"/>
    <w:rsid w:val="00037566"/>
    <w:rsid w:val="00037B60"/>
    <w:rsid w:val="00037D2D"/>
    <w:rsid w:val="00040363"/>
    <w:rsid w:val="00042C1F"/>
    <w:rsid w:val="000432CC"/>
    <w:rsid w:val="00043A22"/>
    <w:rsid w:val="00043BD5"/>
    <w:rsid w:val="00043F36"/>
    <w:rsid w:val="0004410F"/>
    <w:rsid w:val="00044134"/>
    <w:rsid w:val="00044ACD"/>
    <w:rsid w:val="000450A1"/>
    <w:rsid w:val="000450E8"/>
    <w:rsid w:val="00045EED"/>
    <w:rsid w:val="00046113"/>
    <w:rsid w:val="00046337"/>
    <w:rsid w:val="00046905"/>
    <w:rsid w:val="00046920"/>
    <w:rsid w:val="00046D75"/>
    <w:rsid w:val="00047031"/>
    <w:rsid w:val="00047769"/>
    <w:rsid w:val="00047F65"/>
    <w:rsid w:val="00050449"/>
    <w:rsid w:val="000504AC"/>
    <w:rsid w:val="00050EBF"/>
    <w:rsid w:val="00051279"/>
    <w:rsid w:val="00051687"/>
    <w:rsid w:val="00051937"/>
    <w:rsid w:val="00051985"/>
    <w:rsid w:val="000531AB"/>
    <w:rsid w:val="00053910"/>
    <w:rsid w:val="00053917"/>
    <w:rsid w:val="00053F2D"/>
    <w:rsid w:val="0005442D"/>
    <w:rsid w:val="000544E7"/>
    <w:rsid w:val="000559F0"/>
    <w:rsid w:val="0005612C"/>
    <w:rsid w:val="00056A70"/>
    <w:rsid w:val="00056BB5"/>
    <w:rsid w:val="000570B8"/>
    <w:rsid w:val="00057A61"/>
    <w:rsid w:val="00060081"/>
    <w:rsid w:val="000604CB"/>
    <w:rsid w:val="00060C70"/>
    <w:rsid w:val="00060FCE"/>
    <w:rsid w:val="0006144C"/>
    <w:rsid w:val="000614C0"/>
    <w:rsid w:val="00061CC7"/>
    <w:rsid w:val="00061CF4"/>
    <w:rsid w:val="0006201F"/>
    <w:rsid w:val="00062A29"/>
    <w:rsid w:val="00062CB1"/>
    <w:rsid w:val="00063CC4"/>
    <w:rsid w:val="00064097"/>
    <w:rsid w:val="00064204"/>
    <w:rsid w:val="0006471A"/>
    <w:rsid w:val="000653C2"/>
    <w:rsid w:val="000655CC"/>
    <w:rsid w:val="0006593B"/>
    <w:rsid w:val="00065C1C"/>
    <w:rsid w:val="00066084"/>
    <w:rsid w:val="0006652A"/>
    <w:rsid w:val="00067358"/>
    <w:rsid w:val="00067D07"/>
    <w:rsid w:val="00070052"/>
    <w:rsid w:val="000700BA"/>
    <w:rsid w:val="00070336"/>
    <w:rsid w:val="0007094D"/>
    <w:rsid w:val="00071045"/>
    <w:rsid w:val="0007135D"/>
    <w:rsid w:val="00071379"/>
    <w:rsid w:val="0007143E"/>
    <w:rsid w:val="00071A46"/>
    <w:rsid w:val="00071DC6"/>
    <w:rsid w:val="00071E57"/>
    <w:rsid w:val="000722E7"/>
    <w:rsid w:val="00073710"/>
    <w:rsid w:val="00073D59"/>
    <w:rsid w:val="00073D6A"/>
    <w:rsid w:val="0007481E"/>
    <w:rsid w:val="00074E43"/>
    <w:rsid w:val="0007667E"/>
    <w:rsid w:val="0007774D"/>
    <w:rsid w:val="00077AE3"/>
    <w:rsid w:val="00077C08"/>
    <w:rsid w:val="00080818"/>
    <w:rsid w:val="00080FB3"/>
    <w:rsid w:val="00081667"/>
    <w:rsid w:val="00081807"/>
    <w:rsid w:val="0008270A"/>
    <w:rsid w:val="00082BC8"/>
    <w:rsid w:val="000837C8"/>
    <w:rsid w:val="00083D12"/>
    <w:rsid w:val="000840B5"/>
    <w:rsid w:val="00084216"/>
    <w:rsid w:val="00084565"/>
    <w:rsid w:val="0008515D"/>
    <w:rsid w:val="00085D10"/>
    <w:rsid w:val="0008628B"/>
    <w:rsid w:val="00086487"/>
    <w:rsid w:val="000869B0"/>
    <w:rsid w:val="00086F91"/>
    <w:rsid w:val="00086FA9"/>
    <w:rsid w:val="000874E6"/>
    <w:rsid w:val="00087D50"/>
    <w:rsid w:val="00090547"/>
    <w:rsid w:val="000907DC"/>
    <w:rsid w:val="0009098F"/>
    <w:rsid w:val="00090B26"/>
    <w:rsid w:val="00090F4C"/>
    <w:rsid w:val="00091041"/>
    <w:rsid w:val="000914C4"/>
    <w:rsid w:val="00091B24"/>
    <w:rsid w:val="00091CA6"/>
    <w:rsid w:val="0009252E"/>
    <w:rsid w:val="00092FFF"/>
    <w:rsid w:val="00093120"/>
    <w:rsid w:val="00093213"/>
    <w:rsid w:val="00093899"/>
    <w:rsid w:val="00093B73"/>
    <w:rsid w:val="00094A26"/>
    <w:rsid w:val="00094A3E"/>
    <w:rsid w:val="0009521A"/>
    <w:rsid w:val="0009551D"/>
    <w:rsid w:val="000956D8"/>
    <w:rsid w:val="00095A7B"/>
    <w:rsid w:val="00095C40"/>
    <w:rsid w:val="00095F03"/>
    <w:rsid w:val="000967C9"/>
    <w:rsid w:val="000A0185"/>
    <w:rsid w:val="000A02E5"/>
    <w:rsid w:val="000A0C20"/>
    <w:rsid w:val="000A0E33"/>
    <w:rsid w:val="000A1443"/>
    <w:rsid w:val="000A1EB8"/>
    <w:rsid w:val="000A1F34"/>
    <w:rsid w:val="000A1FCA"/>
    <w:rsid w:val="000A26F8"/>
    <w:rsid w:val="000A2BA1"/>
    <w:rsid w:val="000A2E22"/>
    <w:rsid w:val="000A3554"/>
    <w:rsid w:val="000A4626"/>
    <w:rsid w:val="000A5EB8"/>
    <w:rsid w:val="000A6051"/>
    <w:rsid w:val="000A62F2"/>
    <w:rsid w:val="000A75BB"/>
    <w:rsid w:val="000B1527"/>
    <w:rsid w:val="000B15D0"/>
    <w:rsid w:val="000B1674"/>
    <w:rsid w:val="000B1992"/>
    <w:rsid w:val="000B1AFF"/>
    <w:rsid w:val="000B2124"/>
    <w:rsid w:val="000B224B"/>
    <w:rsid w:val="000B25F7"/>
    <w:rsid w:val="000B2BED"/>
    <w:rsid w:val="000B2CAC"/>
    <w:rsid w:val="000B3264"/>
    <w:rsid w:val="000B3670"/>
    <w:rsid w:val="000B3805"/>
    <w:rsid w:val="000B3813"/>
    <w:rsid w:val="000B43E5"/>
    <w:rsid w:val="000B4DB4"/>
    <w:rsid w:val="000B5B82"/>
    <w:rsid w:val="000B656E"/>
    <w:rsid w:val="000B6DE8"/>
    <w:rsid w:val="000B7570"/>
    <w:rsid w:val="000B7B4A"/>
    <w:rsid w:val="000B7FF6"/>
    <w:rsid w:val="000C1008"/>
    <w:rsid w:val="000C1038"/>
    <w:rsid w:val="000C1284"/>
    <w:rsid w:val="000C2A41"/>
    <w:rsid w:val="000C2C99"/>
    <w:rsid w:val="000C3386"/>
    <w:rsid w:val="000C3D84"/>
    <w:rsid w:val="000C4413"/>
    <w:rsid w:val="000C4442"/>
    <w:rsid w:val="000C49CC"/>
    <w:rsid w:val="000C52AB"/>
    <w:rsid w:val="000C5310"/>
    <w:rsid w:val="000C5845"/>
    <w:rsid w:val="000C58D1"/>
    <w:rsid w:val="000C5AC4"/>
    <w:rsid w:val="000C5BA9"/>
    <w:rsid w:val="000C5CB7"/>
    <w:rsid w:val="000C6477"/>
    <w:rsid w:val="000C6685"/>
    <w:rsid w:val="000C68B8"/>
    <w:rsid w:val="000C6AC0"/>
    <w:rsid w:val="000C6B0E"/>
    <w:rsid w:val="000C6B9C"/>
    <w:rsid w:val="000C6FD2"/>
    <w:rsid w:val="000C73AF"/>
    <w:rsid w:val="000D0DD8"/>
    <w:rsid w:val="000D1819"/>
    <w:rsid w:val="000D1B9D"/>
    <w:rsid w:val="000D2274"/>
    <w:rsid w:val="000D2471"/>
    <w:rsid w:val="000D2BBA"/>
    <w:rsid w:val="000D3747"/>
    <w:rsid w:val="000D38BC"/>
    <w:rsid w:val="000D3A30"/>
    <w:rsid w:val="000D3DC5"/>
    <w:rsid w:val="000D3FAA"/>
    <w:rsid w:val="000D40A7"/>
    <w:rsid w:val="000D495B"/>
    <w:rsid w:val="000D4BF0"/>
    <w:rsid w:val="000D52DC"/>
    <w:rsid w:val="000D6591"/>
    <w:rsid w:val="000D7520"/>
    <w:rsid w:val="000E030B"/>
    <w:rsid w:val="000E03DD"/>
    <w:rsid w:val="000E0D66"/>
    <w:rsid w:val="000E1A33"/>
    <w:rsid w:val="000E1D62"/>
    <w:rsid w:val="000E1E0D"/>
    <w:rsid w:val="000E249A"/>
    <w:rsid w:val="000E26FC"/>
    <w:rsid w:val="000E2C96"/>
    <w:rsid w:val="000E2CBB"/>
    <w:rsid w:val="000E3075"/>
    <w:rsid w:val="000E3105"/>
    <w:rsid w:val="000E3110"/>
    <w:rsid w:val="000E490E"/>
    <w:rsid w:val="000E4A9C"/>
    <w:rsid w:val="000E4BC1"/>
    <w:rsid w:val="000E53B5"/>
    <w:rsid w:val="000E570F"/>
    <w:rsid w:val="000E59D2"/>
    <w:rsid w:val="000E5A7F"/>
    <w:rsid w:val="000E662D"/>
    <w:rsid w:val="000E6796"/>
    <w:rsid w:val="000E713D"/>
    <w:rsid w:val="000E7249"/>
    <w:rsid w:val="000E77B8"/>
    <w:rsid w:val="000E7B32"/>
    <w:rsid w:val="000F0578"/>
    <w:rsid w:val="000F06D4"/>
    <w:rsid w:val="000F07BB"/>
    <w:rsid w:val="000F0E2E"/>
    <w:rsid w:val="000F14A4"/>
    <w:rsid w:val="000F1F1E"/>
    <w:rsid w:val="000F212C"/>
    <w:rsid w:val="000F2E84"/>
    <w:rsid w:val="000F32A3"/>
    <w:rsid w:val="000F3748"/>
    <w:rsid w:val="000F3B19"/>
    <w:rsid w:val="000F3EEF"/>
    <w:rsid w:val="000F4502"/>
    <w:rsid w:val="000F4F38"/>
    <w:rsid w:val="000F5438"/>
    <w:rsid w:val="000F54EE"/>
    <w:rsid w:val="000F5716"/>
    <w:rsid w:val="000F583D"/>
    <w:rsid w:val="000F5B1E"/>
    <w:rsid w:val="000F6117"/>
    <w:rsid w:val="000F6A27"/>
    <w:rsid w:val="000F6D1B"/>
    <w:rsid w:val="000F6F3B"/>
    <w:rsid w:val="000F71A4"/>
    <w:rsid w:val="000F7510"/>
    <w:rsid w:val="000F79DD"/>
    <w:rsid w:val="00100CCD"/>
    <w:rsid w:val="00101488"/>
    <w:rsid w:val="00101506"/>
    <w:rsid w:val="001017C6"/>
    <w:rsid w:val="00101AF2"/>
    <w:rsid w:val="00102835"/>
    <w:rsid w:val="0010293A"/>
    <w:rsid w:val="0010298A"/>
    <w:rsid w:val="00103764"/>
    <w:rsid w:val="00103AC8"/>
    <w:rsid w:val="00103B0B"/>
    <w:rsid w:val="00103B39"/>
    <w:rsid w:val="00103BC6"/>
    <w:rsid w:val="001041C3"/>
    <w:rsid w:val="00104292"/>
    <w:rsid w:val="0010502E"/>
    <w:rsid w:val="001054C2"/>
    <w:rsid w:val="001059FA"/>
    <w:rsid w:val="00105D1D"/>
    <w:rsid w:val="00106011"/>
    <w:rsid w:val="00106044"/>
    <w:rsid w:val="001074AC"/>
    <w:rsid w:val="00107F72"/>
    <w:rsid w:val="0011003E"/>
    <w:rsid w:val="001102E1"/>
    <w:rsid w:val="00110433"/>
    <w:rsid w:val="00110607"/>
    <w:rsid w:val="001108C6"/>
    <w:rsid w:val="001111BD"/>
    <w:rsid w:val="00111425"/>
    <w:rsid w:val="00111602"/>
    <w:rsid w:val="00111695"/>
    <w:rsid w:val="00111C69"/>
    <w:rsid w:val="00111F0B"/>
    <w:rsid w:val="00112449"/>
    <w:rsid w:val="00112564"/>
    <w:rsid w:val="0011267E"/>
    <w:rsid w:val="00112A13"/>
    <w:rsid w:val="00113ADB"/>
    <w:rsid w:val="00113EE2"/>
    <w:rsid w:val="00113FC8"/>
    <w:rsid w:val="00114E8D"/>
    <w:rsid w:val="001150FD"/>
    <w:rsid w:val="001167EC"/>
    <w:rsid w:val="00117557"/>
    <w:rsid w:val="00117682"/>
    <w:rsid w:val="0011772C"/>
    <w:rsid w:val="00117EFF"/>
    <w:rsid w:val="00117F02"/>
    <w:rsid w:val="001200D8"/>
    <w:rsid w:val="00121B0E"/>
    <w:rsid w:val="0012212C"/>
    <w:rsid w:val="00122428"/>
    <w:rsid w:val="001229D8"/>
    <w:rsid w:val="00122DAE"/>
    <w:rsid w:val="00122EE5"/>
    <w:rsid w:val="001231E5"/>
    <w:rsid w:val="001238D2"/>
    <w:rsid w:val="00123964"/>
    <w:rsid w:val="00123BF3"/>
    <w:rsid w:val="00124326"/>
    <w:rsid w:val="00124631"/>
    <w:rsid w:val="00126147"/>
    <w:rsid w:val="001261AD"/>
    <w:rsid w:val="00126447"/>
    <w:rsid w:val="00126740"/>
    <w:rsid w:val="001276BE"/>
    <w:rsid w:val="00127843"/>
    <w:rsid w:val="00127978"/>
    <w:rsid w:val="001309B4"/>
    <w:rsid w:val="001310A3"/>
    <w:rsid w:val="00131622"/>
    <w:rsid w:val="00131D15"/>
    <w:rsid w:val="0013202D"/>
    <w:rsid w:val="00132369"/>
    <w:rsid w:val="00132D00"/>
    <w:rsid w:val="001335CC"/>
    <w:rsid w:val="001338BF"/>
    <w:rsid w:val="00133A54"/>
    <w:rsid w:val="001340E4"/>
    <w:rsid w:val="0013426D"/>
    <w:rsid w:val="00134755"/>
    <w:rsid w:val="00134DCC"/>
    <w:rsid w:val="001352B0"/>
    <w:rsid w:val="00135A13"/>
    <w:rsid w:val="00135D1A"/>
    <w:rsid w:val="001364FC"/>
    <w:rsid w:val="0013663B"/>
    <w:rsid w:val="00136868"/>
    <w:rsid w:val="00136B65"/>
    <w:rsid w:val="00136F00"/>
    <w:rsid w:val="001371EF"/>
    <w:rsid w:val="0013731C"/>
    <w:rsid w:val="00137433"/>
    <w:rsid w:val="001378C7"/>
    <w:rsid w:val="0014060A"/>
    <w:rsid w:val="0014087F"/>
    <w:rsid w:val="00140BA2"/>
    <w:rsid w:val="00140CC1"/>
    <w:rsid w:val="00140DEB"/>
    <w:rsid w:val="00140E79"/>
    <w:rsid w:val="0014115F"/>
    <w:rsid w:val="00141702"/>
    <w:rsid w:val="00141779"/>
    <w:rsid w:val="00142423"/>
    <w:rsid w:val="001427B9"/>
    <w:rsid w:val="00143417"/>
    <w:rsid w:val="00143637"/>
    <w:rsid w:val="00145349"/>
    <w:rsid w:val="001454EC"/>
    <w:rsid w:val="001457EF"/>
    <w:rsid w:val="0014608E"/>
    <w:rsid w:val="001460CD"/>
    <w:rsid w:val="0014649F"/>
    <w:rsid w:val="0014677B"/>
    <w:rsid w:val="00146E08"/>
    <w:rsid w:val="0014714E"/>
    <w:rsid w:val="001471DE"/>
    <w:rsid w:val="001475FE"/>
    <w:rsid w:val="0015023F"/>
    <w:rsid w:val="0015038D"/>
    <w:rsid w:val="001507B3"/>
    <w:rsid w:val="00150FF9"/>
    <w:rsid w:val="00151EF0"/>
    <w:rsid w:val="001527CA"/>
    <w:rsid w:val="00153043"/>
    <w:rsid w:val="001533C2"/>
    <w:rsid w:val="001534C0"/>
    <w:rsid w:val="00153DD0"/>
    <w:rsid w:val="00153EAB"/>
    <w:rsid w:val="00154B46"/>
    <w:rsid w:val="00154CDD"/>
    <w:rsid w:val="00155253"/>
    <w:rsid w:val="0015590F"/>
    <w:rsid w:val="001561A0"/>
    <w:rsid w:val="00156668"/>
    <w:rsid w:val="001569BA"/>
    <w:rsid w:val="001574F9"/>
    <w:rsid w:val="001576EE"/>
    <w:rsid w:val="00157780"/>
    <w:rsid w:val="00157D0A"/>
    <w:rsid w:val="00157EAB"/>
    <w:rsid w:val="001602C3"/>
    <w:rsid w:val="00160B35"/>
    <w:rsid w:val="00160E6A"/>
    <w:rsid w:val="0016162E"/>
    <w:rsid w:val="001617E7"/>
    <w:rsid w:val="00162437"/>
    <w:rsid w:val="00162E83"/>
    <w:rsid w:val="00163580"/>
    <w:rsid w:val="00164065"/>
    <w:rsid w:val="001640AA"/>
    <w:rsid w:val="0016428E"/>
    <w:rsid w:val="001642AD"/>
    <w:rsid w:val="00165180"/>
    <w:rsid w:val="0016558B"/>
    <w:rsid w:val="0016567E"/>
    <w:rsid w:val="001661D4"/>
    <w:rsid w:val="0016748F"/>
    <w:rsid w:val="00167CDF"/>
    <w:rsid w:val="00170065"/>
    <w:rsid w:val="0017046A"/>
    <w:rsid w:val="001706F1"/>
    <w:rsid w:val="00170E80"/>
    <w:rsid w:val="00171044"/>
    <w:rsid w:val="001712C7"/>
    <w:rsid w:val="0017135E"/>
    <w:rsid w:val="00171728"/>
    <w:rsid w:val="0017182A"/>
    <w:rsid w:val="00171CB3"/>
    <w:rsid w:val="00171DFC"/>
    <w:rsid w:val="00171EEE"/>
    <w:rsid w:val="0017228A"/>
    <w:rsid w:val="00172408"/>
    <w:rsid w:val="00172CB0"/>
    <w:rsid w:val="00173331"/>
    <w:rsid w:val="00173880"/>
    <w:rsid w:val="00174C04"/>
    <w:rsid w:val="00174C07"/>
    <w:rsid w:val="001753DC"/>
    <w:rsid w:val="00175622"/>
    <w:rsid w:val="001757DE"/>
    <w:rsid w:val="00176A38"/>
    <w:rsid w:val="00176D98"/>
    <w:rsid w:val="00176E1D"/>
    <w:rsid w:val="00176E70"/>
    <w:rsid w:val="00176EEA"/>
    <w:rsid w:val="001770A2"/>
    <w:rsid w:val="0017710B"/>
    <w:rsid w:val="00177514"/>
    <w:rsid w:val="001778ED"/>
    <w:rsid w:val="00177E34"/>
    <w:rsid w:val="0018048B"/>
    <w:rsid w:val="00180868"/>
    <w:rsid w:val="00180B9E"/>
    <w:rsid w:val="00180BBE"/>
    <w:rsid w:val="001816DD"/>
    <w:rsid w:val="00181A63"/>
    <w:rsid w:val="001821D5"/>
    <w:rsid w:val="001821F0"/>
    <w:rsid w:val="00182203"/>
    <w:rsid w:val="00182320"/>
    <w:rsid w:val="001829E0"/>
    <w:rsid w:val="001839ED"/>
    <w:rsid w:val="001842DF"/>
    <w:rsid w:val="001845D9"/>
    <w:rsid w:val="001845EF"/>
    <w:rsid w:val="00185341"/>
    <w:rsid w:val="00185AFB"/>
    <w:rsid w:val="00185F6E"/>
    <w:rsid w:val="001861D0"/>
    <w:rsid w:val="0018694A"/>
    <w:rsid w:val="00190AB0"/>
    <w:rsid w:val="00190BEC"/>
    <w:rsid w:val="00190FCA"/>
    <w:rsid w:val="0019167A"/>
    <w:rsid w:val="00191DDD"/>
    <w:rsid w:val="001921BF"/>
    <w:rsid w:val="00192E43"/>
    <w:rsid w:val="00192EE1"/>
    <w:rsid w:val="001932E8"/>
    <w:rsid w:val="00193418"/>
    <w:rsid w:val="00193565"/>
    <w:rsid w:val="00193A40"/>
    <w:rsid w:val="0019406A"/>
    <w:rsid w:val="00194C99"/>
    <w:rsid w:val="001952A2"/>
    <w:rsid w:val="00195C46"/>
    <w:rsid w:val="00196018"/>
    <w:rsid w:val="001961B7"/>
    <w:rsid w:val="00196B87"/>
    <w:rsid w:val="00196CB1"/>
    <w:rsid w:val="00197611"/>
    <w:rsid w:val="001978DD"/>
    <w:rsid w:val="00197C26"/>
    <w:rsid w:val="001A0414"/>
    <w:rsid w:val="001A04BE"/>
    <w:rsid w:val="001A1888"/>
    <w:rsid w:val="001A1D3E"/>
    <w:rsid w:val="001A1DCA"/>
    <w:rsid w:val="001A2D0F"/>
    <w:rsid w:val="001A3669"/>
    <w:rsid w:val="001A42E2"/>
    <w:rsid w:val="001A4AD2"/>
    <w:rsid w:val="001A56B0"/>
    <w:rsid w:val="001A5971"/>
    <w:rsid w:val="001A5BF9"/>
    <w:rsid w:val="001A70D1"/>
    <w:rsid w:val="001A73AB"/>
    <w:rsid w:val="001B008C"/>
    <w:rsid w:val="001B05DF"/>
    <w:rsid w:val="001B0E64"/>
    <w:rsid w:val="001B1444"/>
    <w:rsid w:val="001B144C"/>
    <w:rsid w:val="001B1650"/>
    <w:rsid w:val="001B1D5D"/>
    <w:rsid w:val="001B22E8"/>
    <w:rsid w:val="001B245A"/>
    <w:rsid w:val="001B2B7D"/>
    <w:rsid w:val="001B2C1F"/>
    <w:rsid w:val="001B2C53"/>
    <w:rsid w:val="001B351C"/>
    <w:rsid w:val="001B36A2"/>
    <w:rsid w:val="001B3AE1"/>
    <w:rsid w:val="001B3F28"/>
    <w:rsid w:val="001B48D8"/>
    <w:rsid w:val="001B4F81"/>
    <w:rsid w:val="001B591C"/>
    <w:rsid w:val="001B62DC"/>
    <w:rsid w:val="001B6B75"/>
    <w:rsid w:val="001B6FB6"/>
    <w:rsid w:val="001B7A0E"/>
    <w:rsid w:val="001C05FD"/>
    <w:rsid w:val="001C0673"/>
    <w:rsid w:val="001C071B"/>
    <w:rsid w:val="001C0783"/>
    <w:rsid w:val="001C084B"/>
    <w:rsid w:val="001C0DB7"/>
    <w:rsid w:val="001C0FD7"/>
    <w:rsid w:val="001C1020"/>
    <w:rsid w:val="001C1993"/>
    <w:rsid w:val="001C1B45"/>
    <w:rsid w:val="001C1BD8"/>
    <w:rsid w:val="001C29BA"/>
    <w:rsid w:val="001C2B64"/>
    <w:rsid w:val="001C338F"/>
    <w:rsid w:val="001C4135"/>
    <w:rsid w:val="001C4160"/>
    <w:rsid w:val="001C4CF0"/>
    <w:rsid w:val="001C53E1"/>
    <w:rsid w:val="001C5812"/>
    <w:rsid w:val="001C584E"/>
    <w:rsid w:val="001C5FDD"/>
    <w:rsid w:val="001C5FF8"/>
    <w:rsid w:val="001C6726"/>
    <w:rsid w:val="001C735F"/>
    <w:rsid w:val="001C749F"/>
    <w:rsid w:val="001C7E62"/>
    <w:rsid w:val="001D03DF"/>
    <w:rsid w:val="001D0538"/>
    <w:rsid w:val="001D0F6B"/>
    <w:rsid w:val="001D1158"/>
    <w:rsid w:val="001D1269"/>
    <w:rsid w:val="001D14DB"/>
    <w:rsid w:val="001D1666"/>
    <w:rsid w:val="001D19B6"/>
    <w:rsid w:val="001D1A1B"/>
    <w:rsid w:val="001D1DF2"/>
    <w:rsid w:val="001D1FDC"/>
    <w:rsid w:val="001D20BE"/>
    <w:rsid w:val="001D21F4"/>
    <w:rsid w:val="001D2636"/>
    <w:rsid w:val="001D366D"/>
    <w:rsid w:val="001D39E5"/>
    <w:rsid w:val="001D3E20"/>
    <w:rsid w:val="001D497A"/>
    <w:rsid w:val="001D4D34"/>
    <w:rsid w:val="001D5206"/>
    <w:rsid w:val="001D5895"/>
    <w:rsid w:val="001D5A34"/>
    <w:rsid w:val="001D6121"/>
    <w:rsid w:val="001D613B"/>
    <w:rsid w:val="001D663E"/>
    <w:rsid w:val="001D7418"/>
    <w:rsid w:val="001D74B5"/>
    <w:rsid w:val="001D74EF"/>
    <w:rsid w:val="001D75B0"/>
    <w:rsid w:val="001E0B4E"/>
    <w:rsid w:val="001E0B7E"/>
    <w:rsid w:val="001E0EB8"/>
    <w:rsid w:val="001E1CC6"/>
    <w:rsid w:val="001E1FE7"/>
    <w:rsid w:val="001E2684"/>
    <w:rsid w:val="001E2AE5"/>
    <w:rsid w:val="001E2C1C"/>
    <w:rsid w:val="001E3467"/>
    <w:rsid w:val="001E3812"/>
    <w:rsid w:val="001E3DF5"/>
    <w:rsid w:val="001E493F"/>
    <w:rsid w:val="001E4A51"/>
    <w:rsid w:val="001E4BF7"/>
    <w:rsid w:val="001E6419"/>
    <w:rsid w:val="001E68F9"/>
    <w:rsid w:val="001E6938"/>
    <w:rsid w:val="001E6EC4"/>
    <w:rsid w:val="001E734C"/>
    <w:rsid w:val="001E764B"/>
    <w:rsid w:val="001E76E6"/>
    <w:rsid w:val="001E796A"/>
    <w:rsid w:val="001F0675"/>
    <w:rsid w:val="001F074B"/>
    <w:rsid w:val="001F076E"/>
    <w:rsid w:val="001F1128"/>
    <w:rsid w:val="001F146E"/>
    <w:rsid w:val="001F151A"/>
    <w:rsid w:val="001F1D8B"/>
    <w:rsid w:val="001F2534"/>
    <w:rsid w:val="001F2781"/>
    <w:rsid w:val="001F29EC"/>
    <w:rsid w:val="001F2B75"/>
    <w:rsid w:val="001F3080"/>
    <w:rsid w:val="001F31A7"/>
    <w:rsid w:val="001F3C78"/>
    <w:rsid w:val="001F3D22"/>
    <w:rsid w:val="001F3ECB"/>
    <w:rsid w:val="001F4180"/>
    <w:rsid w:val="001F4A6F"/>
    <w:rsid w:val="001F4D57"/>
    <w:rsid w:val="001F4E7B"/>
    <w:rsid w:val="001F4FDD"/>
    <w:rsid w:val="001F5368"/>
    <w:rsid w:val="001F53CA"/>
    <w:rsid w:val="001F58AA"/>
    <w:rsid w:val="001F59CC"/>
    <w:rsid w:val="001F6079"/>
    <w:rsid w:val="001F646D"/>
    <w:rsid w:val="001F7699"/>
    <w:rsid w:val="001F77BE"/>
    <w:rsid w:val="001F7C46"/>
    <w:rsid w:val="001F7CE6"/>
    <w:rsid w:val="001F7EF6"/>
    <w:rsid w:val="001F7F78"/>
    <w:rsid w:val="00200045"/>
    <w:rsid w:val="00200B4C"/>
    <w:rsid w:val="00200F36"/>
    <w:rsid w:val="002010DD"/>
    <w:rsid w:val="00201331"/>
    <w:rsid w:val="002019BF"/>
    <w:rsid w:val="00201DB1"/>
    <w:rsid w:val="00201F56"/>
    <w:rsid w:val="00202751"/>
    <w:rsid w:val="00202F92"/>
    <w:rsid w:val="0020308B"/>
    <w:rsid w:val="00203555"/>
    <w:rsid w:val="002038BE"/>
    <w:rsid w:val="00203B6C"/>
    <w:rsid w:val="00203CA6"/>
    <w:rsid w:val="00203E6D"/>
    <w:rsid w:val="0020490C"/>
    <w:rsid w:val="0020500C"/>
    <w:rsid w:val="00205303"/>
    <w:rsid w:val="0020568A"/>
    <w:rsid w:val="00205D19"/>
    <w:rsid w:val="00205E8C"/>
    <w:rsid w:val="002068E3"/>
    <w:rsid w:val="00207965"/>
    <w:rsid w:val="00207B75"/>
    <w:rsid w:val="002102CE"/>
    <w:rsid w:val="00210613"/>
    <w:rsid w:val="00210B0A"/>
    <w:rsid w:val="00210FF5"/>
    <w:rsid w:val="00211089"/>
    <w:rsid w:val="002110DA"/>
    <w:rsid w:val="00211319"/>
    <w:rsid w:val="002125E3"/>
    <w:rsid w:val="00212B98"/>
    <w:rsid w:val="00213DF8"/>
    <w:rsid w:val="002146F1"/>
    <w:rsid w:val="002147A7"/>
    <w:rsid w:val="002148A5"/>
    <w:rsid w:val="00214D26"/>
    <w:rsid w:val="00215330"/>
    <w:rsid w:val="0021578A"/>
    <w:rsid w:val="00215801"/>
    <w:rsid w:val="002160DD"/>
    <w:rsid w:val="002165D2"/>
    <w:rsid w:val="00217501"/>
    <w:rsid w:val="00217538"/>
    <w:rsid w:val="00220CDF"/>
    <w:rsid w:val="00221310"/>
    <w:rsid w:val="002219CC"/>
    <w:rsid w:val="00221BF7"/>
    <w:rsid w:val="00221C60"/>
    <w:rsid w:val="002220B1"/>
    <w:rsid w:val="002227A0"/>
    <w:rsid w:val="0022327A"/>
    <w:rsid w:val="002233C8"/>
    <w:rsid w:val="002247BF"/>
    <w:rsid w:val="002256E4"/>
    <w:rsid w:val="00225A24"/>
    <w:rsid w:val="00225CE7"/>
    <w:rsid w:val="002263CB"/>
    <w:rsid w:val="00226766"/>
    <w:rsid w:val="00226B34"/>
    <w:rsid w:val="00226D6C"/>
    <w:rsid w:val="0022702E"/>
    <w:rsid w:val="00227982"/>
    <w:rsid w:val="00230797"/>
    <w:rsid w:val="00230E2B"/>
    <w:rsid w:val="00231087"/>
    <w:rsid w:val="00231102"/>
    <w:rsid w:val="00231438"/>
    <w:rsid w:val="00231C66"/>
    <w:rsid w:val="002322C3"/>
    <w:rsid w:val="00232402"/>
    <w:rsid w:val="00232571"/>
    <w:rsid w:val="002337B2"/>
    <w:rsid w:val="0023437A"/>
    <w:rsid w:val="002344A9"/>
    <w:rsid w:val="00234A1B"/>
    <w:rsid w:val="00235E4A"/>
    <w:rsid w:val="00235F71"/>
    <w:rsid w:val="00236E4E"/>
    <w:rsid w:val="0023746A"/>
    <w:rsid w:val="0023752B"/>
    <w:rsid w:val="0023760C"/>
    <w:rsid w:val="00237D07"/>
    <w:rsid w:val="0024125F"/>
    <w:rsid w:val="00241B2C"/>
    <w:rsid w:val="00241E9D"/>
    <w:rsid w:val="00242078"/>
    <w:rsid w:val="0024208A"/>
    <w:rsid w:val="002426E5"/>
    <w:rsid w:val="002428A5"/>
    <w:rsid w:val="00242C2E"/>
    <w:rsid w:val="0024720E"/>
    <w:rsid w:val="002472E7"/>
    <w:rsid w:val="0024776C"/>
    <w:rsid w:val="00247D94"/>
    <w:rsid w:val="002501BF"/>
    <w:rsid w:val="002509EE"/>
    <w:rsid w:val="00250B34"/>
    <w:rsid w:val="00251149"/>
    <w:rsid w:val="002515F3"/>
    <w:rsid w:val="00251ADF"/>
    <w:rsid w:val="00252561"/>
    <w:rsid w:val="0025285E"/>
    <w:rsid w:val="00252F1D"/>
    <w:rsid w:val="00252FAE"/>
    <w:rsid w:val="0025414C"/>
    <w:rsid w:val="00254BE0"/>
    <w:rsid w:val="00254D87"/>
    <w:rsid w:val="00254F18"/>
    <w:rsid w:val="00255ABE"/>
    <w:rsid w:val="00255B2D"/>
    <w:rsid w:val="002561B2"/>
    <w:rsid w:val="002570B7"/>
    <w:rsid w:val="0025734E"/>
    <w:rsid w:val="00257616"/>
    <w:rsid w:val="00260F2B"/>
    <w:rsid w:val="002614D5"/>
    <w:rsid w:val="00261CCF"/>
    <w:rsid w:val="0026229F"/>
    <w:rsid w:val="002624BB"/>
    <w:rsid w:val="002624C0"/>
    <w:rsid w:val="00262839"/>
    <w:rsid w:val="00262FA1"/>
    <w:rsid w:val="00263086"/>
    <w:rsid w:val="002636B3"/>
    <w:rsid w:val="00263948"/>
    <w:rsid w:val="00264005"/>
    <w:rsid w:val="002640F6"/>
    <w:rsid w:val="0026422F"/>
    <w:rsid w:val="002643F6"/>
    <w:rsid w:val="0026493A"/>
    <w:rsid w:val="00264FF1"/>
    <w:rsid w:val="0026530F"/>
    <w:rsid w:val="00265376"/>
    <w:rsid w:val="00266046"/>
    <w:rsid w:val="002666E5"/>
    <w:rsid w:val="002668F7"/>
    <w:rsid w:val="00266D4E"/>
    <w:rsid w:val="002672A0"/>
    <w:rsid w:val="002673B3"/>
    <w:rsid w:val="002679E4"/>
    <w:rsid w:val="002679FB"/>
    <w:rsid w:val="002703C8"/>
    <w:rsid w:val="002718D4"/>
    <w:rsid w:val="00271B7B"/>
    <w:rsid w:val="00271E6C"/>
    <w:rsid w:val="00272AF4"/>
    <w:rsid w:val="00272BCC"/>
    <w:rsid w:val="00274380"/>
    <w:rsid w:val="002751E7"/>
    <w:rsid w:val="00275633"/>
    <w:rsid w:val="002759A3"/>
    <w:rsid w:val="00275FE7"/>
    <w:rsid w:val="00276BFF"/>
    <w:rsid w:val="00276F38"/>
    <w:rsid w:val="002800E2"/>
    <w:rsid w:val="0028028B"/>
    <w:rsid w:val="002811FD"/>
    <w:rsid w:val="00281895"/>
    <w:rsid w:val="002819F2"/>
    <w:rsid w:val="00281D4C"/>
    <w:rsid w:val="00281E85"/>
    <w:rsid w:val="0028420A"/>
    <w:rsid w:val="00284AC0"/>
    <w:rsid w:val="00284C61"/>
    <w:rsid w:val="00285055"/>
    <w:rsid w:val="0028520E"/>
    <w:rsid w:val="00285415"/>
    <w:rsid w:val="00285424"/>
    <w:rsid w:val="00285C09"/>
    <w:rsid w:val="00285EB8"/>
    <w:rsid w:val="00286215"/>
    <w:rsid w:val="00287B28"/>
    <w:rsid w:val="002908BB"/>
    <w:rsid w:val="00291743"/>
    <w:rsid w:val="0029274F"/>
    <w:rsid w:val="00292FF1"/>
    <w:rsid w:val="002937AB"/>
    <w:rsid w:val="00293855"/>
    <w:rsid w:val="00294321"/>
    <w:rsid w:val="00294AD8"/>
    <w:rsid w:val="00295380"/>
    <w:rsid w:val="002955BE"/>
    <w:rsid w:val="002962F0"/>
    <w:rsid w:val="002967E8"/>
    <w:rsid w:val="0029721D"/>
    <w:rsid w:val="002976F5"/>
    <w:rsid w:val="00297DE7"/>
    <w:rsid w:val="00297E6F"/>
    <w:rsid w:val="00297FD7"/>
    <w:rsid w:val="002A06F0"/>
    <w:rsid w:val="002A10C2"/>
    <w:rsid w:val="002A11B3"/>
    <w:rsid w:val="002A11D6"/>
    <w:rsid w:val="002A152A"/>
    <w:rsid w:val="002A1AEE"/>
    <w:rsid w:val="002A1B75"/>
    <w:rsid w:val="002A206C"/>
    <w:rsid w:val="002A21C1"/>
    <w:rsid w:val="002A22FC"/>
    <w:rsid w:val="002A2711"/>
    <w:rsid w:val="002A2A7E"/>
    <w:rsid w:val="002A311A"/>
    <w:rsid w:val="002A3500"/>
    <w:rsid w:val="002A3A75"/>
    <w:rsid w:val="002A42D3"/>
    <w:rsid w:val="002A5B4C"/>
    <w:rsid w:val="002A5E05"/>
    <w:rsid w:val="002A6630"/>
    <w:rsid w:val="002A688A"/>
    <w:rsid w:val="002A72C2"/>
    <w:rsid w:val="002A77AC"/>
    <w:rsid w:val="002A7FD3"/>
    <w:rsid w:val="002B02B1"/>
    <w:rsid w:val="002B0AD5"/>
    <w:rsid w:val="002B1A7D"/>
    <w:rsid w:val="002B2470"/>
    <w:rsid w:val="002B26DC"/>
    <w:rsid w:val="002B2FCA"/>
    <w:rsid w:val="002B3094"/>
    <w:rsid w:val="002B3348"/>
    <w:rsid w:val="002B34AE"/>
    <w:rsid w:val="002B4F3D"/>
    <w:rsid w:val="002B567E"/>
    <w:rsid w:val="002B59EE"/>
    <w:rsid w:val="002B5CD7"/>
    <w:rsid w:val="002B693A"/>
    <w:rsid w:val="002B7342"/>
    <w:rsid w:val="002B795C"/>
    <w:rsid w:val="002B7983"/>
    <w:rsid w:val="002B7DCF"/>
    <w:rsid w:val="002C01D7"/>
    <w:rsid w:val="002C1E3E"/>
    <w:rsid w:val="002C233E"/>
    <w:rsid w:val="002C28DA"/>
    <w:rsid w:val="002C3AD7"/>
    <w:rsid w:val="002C3BC0"/>
    <w:rsid w:val="002C3C0D"/>
    <w:rsid w:val="002C4A13"/>
    <w:rsid w:val="002C4C25"/>
    <w:rsid w:val="002C4D2F"/>
    <w:rsid w:val="002C4FAC"/>
    <w:rsid w:val="002C511C"/>
    <w:rsid w:val="002C52EC"/>
    <w:rsid w:val="002C54D6"/>
    <w:rsid w:val="002C5A90"/>
    <w:rsid w:val="002C6174"/>
    <w:rsid w:val="002C62FC"/>
    <w:rsid w:val="002C65DF"/>
    <w:rsid w:val="002C761C"/>
    <w:rsid w:val="002C77F7"/>
    <w:rsid w:val="002C7B97"/>
    <w:rsid w:val="002C7D04"/>
    <w:rsid w:val="002C7E6C"/>
    <w:rsid w:val="002D0798"/>
    <w:rsid w:val="002D17FE"/>
    <w:rsid w:val="002D1D3C"/>
    <w:rsid w:val="002D1D93"/>
    <w:rsid w:val="002D1F57"/>
    <w:rsid w:val="002D24DC"/>
    <w:rsid w:val="002D2626"/>
    <w:rsid w:val="002D2633"/>
    <w:rsid w:val="002D3F7B"/>
    <w:rsid w:val="002D4389"/>
    <w:rsid w:val="002D5880"/>
    <w:rsid w:val="002D5CE6"/>
    <w:rsid w:val="002D5D0E"/>
    <w:rsid w:val="002D61CF"/>
    <w:rsid w:val="002D697A"/>
    <w:rsid w:val="002D7000"/>
    <w:rsid w:val="002D7057"/>
    <w:rsid w:val="002D76D1"/>
    <w:rsid w:val="002E033B"/>
    <w:rsid w:val="002E0836"/>
    <w:rsid w:val="002E098D"/>
    <w:rsid w:val="002E11FB"/>
    <w:rsid w:val="002E124C"/>
    <w:rsid w:val="002E1EFF"/>
    <w:rsid w:val="002E1F2D"/>
    <w:rsid w:val="002E210A"/>
    <w:rsid w:val="002E2326"/>
    <w:rsid w:val="002E2491"/>
    <w:rsid w:val="002E2613"/>
    <w:rsid w:val="002E4156"/>
    <w:rsid w:val="002E456A"/>
    <w:rsid w:val="002E4CBE"/>
    <w:rsid w:val="002E57CC"/>
    <w:rsid w:val="002E5C10"/>
    <w:rsid w:val="002E5E04"/>
    <w:rsid w:val="002E6399"/>
    <w:rsid w:val="002E6C90"/>
    <w:rsid w:val="002E6F62"/>
    <w:rsid w:val="002E738E"/>
    <w:rsid w:val="002E75EA"/>
    <w:rsid w:val="002E78CB"/>
    <w:rsid w:val="002E7E04"/>
    <w:rsid w:val="002F191E"/>
    <w:rsid w:val="002F19D6"/>
    <w:rsid w:val="002F1B1C"/>
    <w:rsid w:val="002F25DB"/>
    <w:rsid w:val="002F3610"/>
    <w:rsid w:val="002F42D3"/>
    <w:rsid w:val="002F4987"/>
    <w:rsid w:val="002F56E9"/>
    <w:rsid w:val="002F60BB"/>
    <w:rsid w:val="002F69DC"/>
    <w:rsid w:val="002F7958"/>
    <w:rsid w:val="0030013D"/>
    <w:rsid w:val="00300149"/>
    <w:rsid w:val="0030047B"/>
    <w:rsid w:val="003022BD"/>
    <w:rsid w:val="003022E4"/>
    <w:rsid w:val="003028CC"/>
    <w:rsid w:val="00302E10"/>
    <w:rsid w:val="00303618"/>
    <w:rsid w:val="00303CC4"/>
    <w:rsid w:val="00303D5B"/>
    <w:rsid w:val="00303F32"/>
    <w:rsid w:val="00303F6F"/>
    <w:rsid w:val="00303FE2"/>
    <w:rsid w:val="003041C2"/>
    <w:rsid w:val="003048A1"/>
    <w:rsid w:val="00304B5A"/>
    <w:rsid w:val="00304BF5"/>
    <w:rsid w:val="00304C31"/>
    <w:rsid w:val="00304C5E"/>
    <w:rsid w:val="00306143"/>
    <w:rsid w:val="00306EE4"/>
    <w:rsid w:val="00306F2A"/>
    <w:rsid w:val="00307134"/>
    <w:rsid w:val="003079DD"/>
    <w:rsid w:val="00307E10"/>
    <w:rsid w:val="003103D8"/>
    <w:rsid w:val="003117D7"/>
    <w:rsid w:val="00312123"/>
    <w:rsid w:val="00312220"/>
    <w:rsid w:val="00312258"/>
    <w:rsid w:val="00312B08"/>
    <w:rsid w:val="00312B77"/>
    <w:rsid w:val="00313DEF"/>
    <w:rsid w:val="00313DF2"/>
    <w:rsid w:val="0031489A"/>
    <w:rsid w:val="003148FC"/>
    <w:rsid w:val="0031490F"/>
    <w:rsid w:val="00314D2A"/>
    <w:rsid w:val="00314D9F"/>
    <w:rsid w:val="00314E23"/>
    <w:rsid w:val="00315659"/>
    <w:rsid w:val="003157E8"/>
    <w:rsid w:val="00315B7C"/>
    <w:rsid w:val="00316F10"/>
    <w:rsid w:val="0031761D"/>
    <w:rsid w:val="00320710"/>
    <w:rsid w:val="00320781"/>
    <w:rsid w:val="00320885"/>
    <w:rsid w:val="00321701"/>
    <w:rsid w:val="0032229E"/>
    <w:rsid w:val="003225A6"/>
    <w:rsid w:val="003226C5"/>
    <w:rsid w:val="00323415"/>
    <w:rsid w:val="003235F8"/>
    <w:rsid w:val="00324E3A"/>
    <w:rsid w:val="0032567F"/>
    <w:rsid w:val="0032587B"/>
    <w:rsid w:val="00325F5E"/>
    <w:rsid w:val="003266A1"/>
    <w:rsid w:val="00326BFF"/>
    <w:rsid w:val="00327997"/>
    <w:rsid w:val="00327A43"/>
    <w:rsid w:val="003300AF"/>
    <w:rsid w:val="00330306"/>
    <w:rsid w:val="003309D1"/>
    <w:rsid w:val="00331662"/>
    <w:rsid w:val="00331806"/>
    <w:rsid w:val="00331AF9"/>
    <w:rsid w:val="00331EE1"/>
    <w:rsid w:val="00331F1A"/>
    <w:rsid w:val="003324C6"/>
    <w:rsid w:val="0033271B"/>
    <w:rsid w:val="00332BE8"/>
    <w:rsid w:val="00332F55"/>
    <w:rsid w:val="003338FC"/>
    <w:rsid w:val="0033407F"/>
    <w:rsid w:val="0033411A"/>
    <w:rsid w:val="00334143"/>
    <w:rsid w:val="00334E7F"/>
    <w:rsid w:val="00335B3D"/>
    <w:rsid w:val="00335D39"/>
    <w:rsid w:val="00335EB2"/>
    <w:rsid w:val="003362AC"/>
    <w:rsid w:val="00336366"/>
    <w:rsid w:val="0033677C"/>
    <w:rsid w:val="003367E0"/>
    <w:rsid w:val="00336B97"/>
    <w:rsid w:val="00336D0E"/>
    <w:rsid w:val="00336E92"/>
    <w:rsid w:val="0033725C"/>
    <w:rsid w:val="00337547"/>
    <w:rsid w:val="00337DA7"/>
    <w:rsid w:val="003438AF"/>
    <w:rsid w:val="00343B2E"/>
    <w:rsid w:val="00343F3C"/>
    <w:rsid w:val="00343F44"/>
    <w:rsid w:val="0034410A"/>
    <w:rsid w:val="00344B96"/>
    <w:rsid w:val="00344EA0"/>
    <w:rsid w:val="00346012"/>
    <w:rsid w:val="00346CF1"/>
    <w:rsid w:val="00346FEE"/>
    <w:rsid w:val="00347176"/>
    <w:rsid w:val="00347A92"/>
    <w:rsid w:val="00347BED"/>
    <w:rsid w:val="00347CB9"/>
    <w:rsid w:val="003501CC"/>
    <w:rsid w:val="00350318"/>
    <w:rsid w:val="003504DA"/>
    <w:rsid w:val="003512AD"/>
    <w:rsid w:val="0035184B"/>
    <w:rsid w:val="00351D3A"/>
    <w:rsid w:val="003522D3"/>
    <w:rsid w:val="003527CB"/>
    <w:rsid w:val="00352FFD"/>
    <w:rsid w:val="003536C9"/>
    <w:rsid w:val="003538B1"/>
    <w:rsid w:val="003539C5"/>
    <w:rsid w:val="003540B8"/>
    <w:rsid w:val="003541B1"/>
    <w:rsid w:val="00354578"/>
    <w:rsid w:val="0035573A"/>
    <w:rsid w:val="00355905"/>
    <w:rsid w:val="00355CAD"/>
    <w:rsid w:val="00356B5D"/>
    <w:rsid w:val="003574CE"/>
    <w:rsid w:val="0035776F"/>
    <w:rsid w:val="003577F4"/>
    <w:rsid w:val="00357FD0"/>
    <w:rsid w:val="00360287"/>
    <w:rsid w:val="0036068D"/>
    <w:rsid w:val="00360DBF"/>
    <w:rsid w:val="003611A9"/>
    <w:rsid w:val="00361F84"/>
    <w:rsid w:val="00362FD8"/>
    <w:rsid w:val="003632D8"/>
    <w:rsid w:val="003632FD"/>
    <w:rsid w:val="00363359"/>
    <w:rsid w:val="00363472"/>
    <w:rsid w:val="003637C7"/>
    <w:rsid w:val="00365D63"/>
    <w:rsid w:val="00365FB2"/>
    <w:rsid w:val="0036622A"/>
    <w:rsid w:val="00367009"/>
    <w:rsid w:val="003678EA"/>
    <w:rsid w:val="00367DC5"/>
    <w:rsid w:val="00367E02"/>
    <w:rsid w:val="00367F00"/>
    <w:rsid w:val="00370052"/>
    <w:rsid w:val="00370A2C"/>
    <w:rsid w:val="00370B00"/>
    <w:rsid w:val="00371CC3"/>
    <w:rsid w:val="003737E6"/>
    <w:rsid w:val="00373A9D"/>
    <w:rsid w:val="00373AAB"/>
    <w:rsid w:val="00373AB6"/>
    <w:rsid w:val="00373B0C"/>
    <w:rsid w:val="00373B53"/>
    <w:rsid w:val="00374387"/>
    <w:rsid w:val="0037531E"/>
    <w:rsid w:val="003758CC"/>
    <w:rsid w:val="00375E51"/>
    <w:rsid w:val="003763AF"/>
    <w:rsid w:val="00380050"/>
    <w:rsid w:val="00380095"/>
    <w:rsid w:val="003805AA"/>
    <w:rsid w:val="00380E44"/>
    <w:rsid w:val="003817E6"/>
    <w:rsid w:val="00381C61"/>
    <w:rsid w:val="00381CC0"/>
    <w:rsid w:val="00382253"/>
    <w:rsid w:val="0038236B"/>
    <w:rsid w:val="003831B8"/>
    <w:rsid w:val="0038334D"/>
    <w:rsid w:val="00383B8D"/>
    <w:rsid w:val="0038531A"/>
    <w:rsid w:val="0038547C"/>
    <w:rsid w:val="00385D0B"/>
    <w:rsid w:val="00385FE8"/>
    <w:rsid w:val="00386102"/>
    <w:rsid w:val="003869BD"/>
    <w:rsid w:val="00387020"/>
    <w:rsid w:val="00387828"/>
    <w:rsid w:val="003878FF"/>
    <w:rsid w:val="00387C66"/>
    <w:rsid w:val="003914F8"/>
    <w:rsid w:val="003926FB"/>
    <w:rsid w:val="0039274C"/>
    <w:rsid w:val="00392A70"/>
    <w:rsid w:val="003931C6"/>
    <w:rsid w:val="00393374"/>
    <w:rsid w:val="00393AD6"/>
    <w:rsid w:val="00393BCF"/>
    <w:rsid w:val="003948EC"/>
    <w:rsid w:val="00394C49"/>
    <w:rsid w:val="00394DAA"/>
    <w:rsid w:val="0039544B"/>
    <w:rsid w:val="00395492"/>
    <w:rsid w:val="00395AAA"/>
    <w:rsid w:val="00395C5E"/>
    <w:rsid w:val="0039630B"/>
    <w:rsid w:val="003963A0"/>
    <w:rsid w:val="00396684"/>
    <w:rsid w:val="003974DA"/>
    <w:rsid w:val="0039787C"/>
    <w:rsid w:val="003A04AC"/>
    <w:rsid w:val="003A0AAB"/>
    <w:rsid w:val="003A0AE3"/>
    <w:rsid w:val="003A106A"/>
    <w:rsid w:val="003A1B57"/>
    <w:rsid w:val="003A28FF"/>
    <w:rsid w:val="003A2967"/>
    <w:rsid w:val="003A31CF"/>
    <w:rsid w:val="003A349E"/>
    <w:rsid w:val="003A3517"/>
    <w:rsid w:val="003A3C8D"/>
    <w:rsid w:val="003A3E62"/>
    <w:rsid w:val="003A45A3"/>
    <w:rsid w:val="003A4BCD"/>
    <w:rsid w:val="003A716D"/>
    <w:rsid w:val="003A7591"/>
    <w:rsid w:val="003A76C3"/>
    <w:rsid w:val="003A76F6"/>
    <w:rsid w:val="003A7950"/>
    <w:rsid w:val="003B0215"/>
    <w:rsid w:val="003B04E7"/>
    <w:rsid w:val="003B0E17"/>
    <w:rsid w:val="003B0F56"/>
    <w:rsid w:val="003B0FB6"/>
    <w:rsid w:val="003B1422"/>
    <w:rsid w:val="003B17B1"/>
    <w:rsid w:val="003B1B1C"/>
    <w:rsid w:val="003B1D3F"/>
    <w:rsid w:val="003B1FFD"/>
    <w:rsid w:val="003B2C88"/>
    <w:rsid w:val="003B3281"/>
    <w:rsid w:val="003B3D11"/>
    <w:rsid w:val="003B3EC4"/>
    <w:rsid w:val="003B5441"/>
    <w:rsid w:val="003B5BF2"/>
    <w:rsid w:val="003B5C41"/>
    <w:rsid w:val="003B6D73"/>
    <w:rsid w:val="003B6F6C"/>
    <w:rsid w:val="003B6FC2"/>
    <w:rsid w:val="003B7D43"/>
    <w:rsid w:val="003C0245"/>
    <w:rsid w:val="003C0276"/>
    <w:rsid w:val="003C02CF"/>
    <w:rsid w:val="003C09B6"/>
    <w:rsid w:val="003C1351"/>
    <w:rsid w:val="003C181C"/>
    <w:rsid w:val="003C1AAA"/>
    <w:rsid w:val="003C1F0A"/>
    <w:rsid w:val="003C2255"/>
    <w:rsid w:val="003C2C5A"/>
    <w:rsid w:val="003C2F9A"/>
    <w:rsid w:val="003C3CF2"/>
    <w:rsid w:val="003C3F96"/>
    <w:rsid w:val="003C4337"/>
    <w:rsid w:val="003C4703"/>
    <w:rsid w:val="003C495B"/>
    <w:rsid w:val="003C4D63"/>
    <w:rsid w:val="003C5188"/>
    <w:rsid w:val="003C6153"/>
    <w:rsid w:val="003C6945"/>
    <w:rsid w:val="003C6E81"/>
    <w:rsid w:val="003C7818"/>
    <w:rsid w:val="003C7CFB"/>
    <w:rsid w:val="003D09C8"/>
    <w:rsid w:val="003D1118"/>
    <w:rsid w:val="003D13BD"/>
    <w:rsid w:val="003D1546"/>
    <w:rsid w:val="003D1B1F"/>
    <w:rsid w:val="003D29C3"/>
    <w:rsid w:val="003D2A76"/>
    <w:rsid w:val="003D2C11"/>
    <w:rsid w:val="003D3173"/>
    <w:rsid w:val="003D361F"/>
    <w:rsid w:val="003D3767"/>
    <w:rsid w:val="003D3A83"/>
    <w:rsid w:val="003D3C79"/>
    <w:rsid w:val="003D3D19"/>
    <w:rsid w:val="003D3D6A"/>
    <w:rsid w:val="003D48D1"/>
    <w:rsid w:val="003D65AC"/>
    <w:rsid w:val="003D6742"/>
    <w:rsid w:val="003D67D4"/>
    <w:rsid w:val="003D733C"/>
    <w:rsid w:val="003E101A"/>
    <w:rsid w:val="003E21E2"/>
    <w:rsid w:val="003E22C9"/>
    <w:rsid w:val="003E350F"/>
    <w:rsid w:val="003E3CCB"/>
    <w:rsid w:val="003E4DEB"/>
    <w:rsid w:val="003E53CD"/>
    <w:rsid w:val="003E5587"/>
    <w:rsid w:val="003E55B3"/>
    <w:rsid w:val="003E5684"/>
    <w:rsid w:val="003E7B00"/>
    <w:rsid w:val="003F03A3"/>
    <w:rsid w:val="003F081C"/>
    <w:rsid w:val="003F0B6E"/>
    <w:rsid w:val="003F0B76"/>
    <w:rsid w:val="003F0EAA"/>
    <w:rsid w:val="003F14EC"/>
    <w:rsid w:val="003F1571"/>
    <w:rsid w:val="003F1931"/>
    <w:rsid w:val="003F1C40"/>
    <w:rsid w:val="003F2208"/>
    <w:rsid w:val="003F306F"/>
    <w:rsid w:val="003F3770"/>
    <w:rsid w:val="003F37B7"/>
    <w:rsid w:val="003F38AB"/>
    <w:rsid w:val="003F4354"/>
    <w:rsid w:val="003F4959"/>
    <w:rsid w:val="003F4E22"/>
    <w:rsid w:val="003F51E0"/>
    <w:rsid w:val="003F5773"/>
    <w:rsid w:val="003F6076"/>
    <w:rsid w:val="003F635B"/>
    <w:rsid w:val="003F72DC"/>
    <w:rsid w:val="003F794A"/>
    <w:rsid w:val="003F798F"/>
    <w:rsid w:val="003F7AEA"/>
    <w:rsid w:val="004013DD"/>
    <w:rsid w:val="00401DE3"/>
    <w:rsid w:val="00401E4C"/>
    <w:rsid w:val="00402219"/>
    <w:rsid w:val="0040261D"/>
    <w:rsid w:val="004029AC"/>
    <w:rsid w:val="004029ED"/>
    <w:rsid w:val="00403827"/>
    <w:rsid w:val="00403C25"/>
    <w:rsid w:val="004040BB"/>
    <w:rsid w:val="004041A5"/>
    <w:rsid w:val="00404353"/>
    <w:rsid w:val="00404DFE"/>
    <w:rsid w:val="0040557A"/>
    <w:rsid w:val="004060EE"/>
    <w:rsid w:val="004061CA"/>
    <w:rsid w:val="00406402"/>
    <w:rsid w:val="004065FA"/>
    <w:rsid w:val="00406CC0"/>
    <w:rsid w:val="0040796B"/>
    <w:rsid w:val="00407B98"/>
    <w:rsid w:val="00407C4B"/>
    <w:rsid w:val="00407F0F"/>
    <w:rsid w:val="0041011A"/>
    <w:rsid w:val="00411AA5"/>
    <w:rsid w:val="00412531"/>
    <w:rsid w:val="00413B30"/>
    <w:rsid w:val="00414D7B"/>
    <w:rsid w:val="00415499"/>
    <w:rsid w:val="00415745"/>
    <w:rsid w:val="0041599C"/>
    <w:rsid w:val="00415C88"/>
    <w:rsid w:val="00416018"/>
    <w:rsid w:val="00416699"/>
    <w:rsid w:val="0041720F"/>
    <w:rsid w:val="00417432"/>
    <w:rsid w:val="004177E4"/>
    <w:rsid w:val="00417F5B"/>
    <w:rsid w:val="00417F90"/>
    <w:rsid w:val="00420409"/>
    <w:rsid w:val="00421450"/>
    <w:rsid w:val="00421719"/>
    <w:rsid w:val="004217EF"/>
    <w:rsid w:val="00422810"/>
    <w:rsid w:val="00423B61"/>
    <w:rsid w:val="004245CE"/>
    <w:rsid w:val="00424D43"/>
    <w:rsid w:val="0042530A"/>
    <w:rsid w:val="0042599E"/>
    <w:rsid w:val="00426589"/>
    <w:rsid w:val="0042664E"/>
    <w:rsid w:val="004268F7"/>
    <w:rsid w:val="00426C88"/>
    <w:rsid w:val="00427904"/>
    <w:rsid w:val="0043034C"/>
    <w:rsid w:val="0043043E"/>
    <w:rsid w:val="0043073A"/>
    <w:rsid w:val="00430DB4"/>
    <w:rsid w:val="00431451"/>
    <w:rsid w:val="004317B2"/>
    <w:rsid w:val="00432084"/>
    <w:rsid w:val="0043216A"/>
    <w:rsid w:val="00432321"/>
    <w:rsid w:val="0043299D"/>
    <w:rsid w:val="00432BF0"/>
    <w:rsid w:val="00433660"/>
    <w:rsid w:val="00433C4F"/>
    <w:rsid w:val="00433EDF"/>
    <w:rsid w:val="00433F7D"/>
    <w:rsid w:val="00434486"/>
    <w:rsid w:val="00434B14"/>
    <w:rsid w:val="00435711"/>
    <w:rsid w:val="00435852"/>
    <w:rsid w:val="00435E70"/>
    <w:rsid w:val="004363DE"/>
    <w:rsid w:val="00436642"/>
    <w:rsid w:val="004366B7"/>
    <w:rsid w:val="00436A65"/>
    <w:rsid w:val="00436D21"/>
    <w:rsid w:val="00436E85"/>
    <w:rsid w:val="00437375"/>
    <w:rsid w:val="00437FF4"/>
    <w:rsid w:val="00440184"/>
    <w:rsid w:val="004410E9"/>
    <w:rsid w:val="004411C4"/>
    <w:rsid w:val="00441E68"/>
    <w:rsid w:val="00442473"/>
    <w:rsid w:val="0044358C"/>
    <w:rsid w:val="00444361"/>
    <w:rsid w:val="00445462"/>
    <w:rsid w:val="00445BD1"/>
    <w:rsid w:val="00446415"/>
    <w:rsid w:val="004466A8"/>
    <w:rsid w:val="00446A57"/>
    <w:rsid w:val="00446D88"/>
    <w:rsid w:val="00447385"/>
    <w:rsid w:val="0044752B"/>
    <w:rsid w:val="00447536"/>
    <w:rsid w:val="0044753B"/>
    <w:rsid w:val="00447A15"/>
    <w:rsid w:val="0045006A"/>
    <w:rsid w:val="0045014D"/>
    <w:rsid w:val="00450C36"/>
    <w:rsid w:val="004516A9"/>
    <w:rsid w:val="0045182C"/>
    <w:rsid w:val="00451E31"/>
    <w:rsid w:val="00452B1F"/>
    <w:rsid w:val="004534B5"/>
    <w:rsid w:val="0045359B"/>
    <w:rsid w:val="00453685"/>
    <w:rsid w:val="00453A1B"/>
    <w:rsid w:val="004544D3"/>
    <w:rsid w:val="00454DC1"/>
    <w:rsid w:val="00454FF6"/>
    <w:rsid w:val="00455356"/>
    <w:rsid w:val="004556C2"/>
    <w:rsid w:val="0045585D"/>
    <w:rsid w:val="0045599C"/>
    <w:rsid w:val="00455A33"/>
    <w:rsid w:val="004560A8"/>
    <w:rsid w:val="0045656E"/>
    <w:rsid w:val="00456BCD"/>
    <w:rsid w:val="004571C6"/>
    <w:rsid w:val="00457629"/>
    <w:rsid w:val="00457993"/>
    <w:rsid w:val="0046044C"/>
    <w:rsid w:val="00460CF1"/>
    <w:rsid w:val="0046100A"/>
    <w:rsid w:val="00461085"/>
    <w:rsid w:val="0046202F"/>
    <w:rsid w:val="004628DE"/>
    <w:rsid w:val="00462BE3"/>
    <w:rsid w:val="00463002"/>
    <w:rsid w:val="00463A6E"/>
    <w:rsid w:val="004641EF"/>
    <w:rsid w:val="004642F2"/>
    <w:rsid w:val="00464B75"/>
    <w:rsid w:val="00464BCE"/>
    <w:rsid w:val="00464D2B"/>
    <w:rsid w:val="004651C1"/>
    <w:rsid w:val="00465AB7"/>
    <w:rsid w:val="00465B12"/>
    <w:rsid w:val="00465CB5"/>
    <w:rsid w:val="00465E4B"/>
    <w:rsid w:val="00465F9E"/>
    <w:rsid w:val="004662E0"/>
    <w:rsid w:val="00467DF8"/>
    <w:rsid w:val="0047021D"/>
    <w:rsid w:val="00470426"/>
    <w:rsid w:val="0047075D"/>
    <w:rsid w:val="00470D1F"/>
    <w:rsid w:val="00471840"/>
    <w:rsid w:val="0047252E"/>
    <w:rsid w:val="0047287E"/>
    <w:rsid w:val="00473178"/>
    <w:rsid w:val="004731A8"/>
    <w:rsid w:val="004731F4"/>
    <w:rsid w:val="004735DD"/>
    <w:rsid w:val="004736B0"/>
    <w:rsid w:val="004739B2"/>
    <w:rsid w:val="00473D14"/>
    <w:rsid w:val="0047477A"/>
    <w:rsid w:val="00474D30"/>
    <w:rsid w:val="00475647"/>
    <w:rsid w:val="004756B4"/>
    <w:rsid w:val="00475B4C"/>
    <w:rsid w:val="00475E26"/>
    <w:rsid w:val="00475EAA"/>
    <w:rsid w:val="00476099"/>
    <w:rsid w:val="00476570"/>
    <w:rsid w:val="004765DD"/>
    <w:rsid w:val="00476666"/>
    <w:rsid w:val="004766A6"/>
    <w:rsid w:val="004766E6"/>
    <w:rsid w:val="00476996"/>
    <w:rsid w:val="0047700C"/>
    <w:rsid w:val="0047702E"/>
    <w:rsid w:val="004773B4"/>
    <w:rsid w:val="00477521"/>
    <w:rsid w:val="00477864"/>
    <w:rsid w:val="00477898"/>
    <w:rsid w:val="00477AF5"/>
    <w:rsid w:val="004800C5"/>
    <w:rsid w:val="004808B1"/>
    <w:rsid w:val="004810D2"/>
    <w:rsid w:val="004813D8"/>
    <w:rsid w:val="0048195C"/>
    <w:rsid w:val="0048216C"/>
    <w:rsid w:val="0048217C"/>
    <w:rsid w:val="004822D1"/>
    <w:rsid w:val="0048294F"/>
    <w:rsid w:val="00483661"/>
    <w:rsid w:val="004839A6"/>
    <w:rsid w:val="00483B55"/>
    <w:rsid w:val="00483FF7"/>
    <w:rsid w:val="00484BD3"/>
    <w:rsid w:val="00484E95"/>
    <w:rsid w:val="00485194"/>
    <w:rsid w:val="004852D8"/>
    <w:rsid w:val="004852E4"/>
    <w:rsid w:val="00485B59"/>
    <w:rsid w:val="00485C4B"/>
    <w:rsid w:val="004862DF"/>
    <w:rsid w:val="00486ADE"/>
    <w:rsid w:val="00486B60"/>
    <w:rsid w:val="004874CD"/>
    <w:rsid w:val="00487622"/>
    <w:rsid w:val="0049005D"/>
    <w:rsid w:val="00490101"/>
    <w:rsid w:val="0049087F"/>
    <w:rsid w:val="00490EAB"/>
    <w:rsid w:val="004912F9"/>
    <w:rsid w:val="00491799"/>
    <w:rsid w:val="00491FAF"/>
    <w:rsid w:val="00492529"/>
    <w:rsid w:val="00492B8A"/>
    <w:rsid w:val="00493621"/>
    <w:rsid w:val="00493EED"/>
    <w:rsid w:val="004940F4"/>
    <w:rsid w:val="00494C68"/>
    <w:rsid w:val="0049525C"/>
    <w:rsid w:val="00496409"/>
    <w:rsid w:val="004967A6"/>
    <w:rsid w:val="00496BE9"/>
    <w:rsid w:val="004977F3"/>
    <w:rsid w:val="00497C2E"/>
    <w:rsid w:val="00497EAF"/>
    <w:rsid w:val="004A07C0"/>
    <w:rsid w:val="004A0967"/>
    <w:rsid w:val="004A106B"/>
    <w:rsid w:val="004A1BE7"/>
    <w:rsid w:val="004A1E13"/>
    <w:rsid w:val="004A201D"/>
    <w:rsid w:val="004A2110"/>
    <w:rsid w:val="004A2290"/>
    <w:rsid w:val="004A2A4F"/>
    <w:rsid w:val="004A34BA"/>
    <w:rsid w:val="004A3922"/>
    <w:rsid w:val="004A41E8"/>
    <w:rsid w:val="004A4291"/>
    <w:rsid w:val="004A4478"/>
    <w:rsid w:val="004A4DB8"/>
    <w:rsid w:val="004A7900"/>
    <w:rsid w:val="004A7BA1"/>
    <w:rsid w:val="004A7D18"/>
    <w:rsid w:val="004B059E"/>
    <w:rsid w:val="004B0C9E"/>
    <w:rsid w:val="004B11EC"/>
    <w:rsid w:val="004B2458"/>
    <w:rsid w:val="004B2ADB"/>
    <w:rsid w:val="004B3804"/>
    <w:rsid w:val="004B3C86"/>
    <w:rsid w:val="004B3ECD"/>
    <w:rsid w:val="004B4180"/>
    <w:rsid w:val="004B434B"/>
    <w:rsid w:val="004B4577"/>
    <w:rsid w:val="004B4923"/>
    <w:rsid w:val="004B4BF1"/>
    <w:rsid w:val="004B4E3C"/>
    <w:rsid w:val="004B4E63"/>
    <w:rsid w:val="004B5200"/>
    <w:rsid w:val="004B528D"/>
    <w:rsid w:val="004B5676"/>
    <w:rsid w:val="004B5B03"/>
    <w:rsid w:val="004B6601"/>
    <w:rsid w:val="004B6617"/>
    <w:rsid w:val="004B78D2"/>
    <w:rsid w:val="004B79CC"/>
    <w:rsid w:val="004B7B0A"/>
    <w:rsid w:val="004B7B31"/>
    <w:rsid w:val="004C0173"/>
    <w:rsid w:val="004C1D9C"/>
    <w:rsid w:val="004C2ADB"/>
    <w:rsid w:val="004C2D74"/>
    <w:rsid w:val="004C316D"/>
    <w:rsid w:val="004C3AA6"/>
    <w:rsid w:val="004C464E"/>
    <w:rsid w:val="004C5152"/>
    <w:rsid w:val="004C5829"/>
    <w:rsid w:val="004C5E58"/>
    <w:rsid w:val="004C664C"/>
    <w:rsid w:val="004C6BF8"/>
    <w:rsid w:val="004C6C79"/>
    <w:rsid w:val="004C7798"/>
    <w:rsid w:val="004C788F"/>
    <w:rsid w:val="004C7F4E"/>
    <w:rsid w:val="004D097A"/>
    <w:rsid w:val="004D0B17"/>
    <w:rsid w:val="004D0F3E"/>
    <w:rsid w:val="004D1594"/>
    <w:rsid w:val="004D16E4"/>
    <w:rsid w:val="004D1909"/>
    <w:rsid w:val="004D1A03"/>
    <w:rsid w:val="004D2906"/>
    <w:rsid w:val="004D2C28"/>
    <w:rsid w:val="004D2FEF"/>
    <w:rsid w:val="004D37A6"/>
    <w:rsid w:val="004D3FBA"/>
    <w:rsid w:val="004D4B19"/>
    <w:rsid w:val="004D4BBB"/>
    <w:rsid w:val="004D4CA2"/>
    <w:rsid w:val="004D5256"/>
    <w:rsid w:val="004D5AB6"/>
    <w:rsid w:val="004D5E31"/>
    <w:rsid w:val="004D659F"/>
    <w:rsid w:val="004D72ED"/>
    <w:rsid w:val="004E02C7"/>
    <w:rsid w:val="004E06A2"/>
    <w:rsid w:val="004E072C"/>
    <w:rsid w:val="004E1DC5"/>
    <w:rsid w:val="004E21AF"/>
    <w:rsid w:val="004E38D3"/>
    <w:rsid w:val="004E44F3"/>
    <w:rsid w:val="004E4E8F"/>
    <w:rsid w:val="004E5458"/>
    <w:rsid w:val="004E614F"/>
    <w:rsid w:val="004E6E3D"/>
    <w:rsid w:val="004E6E91"/>
    <w:rsid w:val="004E746F"/>
    <w:rsid w:val="004E75D0"/>
    <w:rsid w:val="004F0282"/>
    <w:rsid w:val="004F0622"/>
    <w:rsid w:val="004F0A34"/>
    <w:rsid w:val="004F0AD4"/>
    <w:rsid w:val="004F1AE8"/>
    <w:rsid w:val="004F1F3D"/>
    <w:rsid w:val="004F1FEA"/>
    <w:rsid w:val="004F21B7"/>
    <w:rsid w:val="004F2718"/>
    <w:rsid w:val="004F2802"/>
    <w:rsid w:val="004F53D5"/>
    <w:rsid w:val="004F58AC"/>
    <w:rsid w:val="004F6229"/>
    <w:rsid w:val="004F652A"/>
    <w:rsid w:val="004F6612"/>
    <w:rsid w:val="004F699A"/>
    <w:rsid w:val="004F6A25"/>
    <w:rsid w:val="004F6DE5"/>
    <w:rsid w:val="004F72FA"/>
    <w:rsid w:val="004F7739"/>
    <w:rsid w:val="004F7B22"/>
    <w:rsid w:val="004F7B75"/>
    <w:rsid w:val="004F7E59"/>
    <w:rsid w:val="005006FA"/>
    <w:rsid w:val="00500732"/>
    <w:rsid w:val="00501640"/>
    <w:rsid w:val="00501941"/>
    <w:rsid w:val="005023A0"/>
    <w:rsid w:val="00502529"/>
    <w:rsid w:val="00502BD8"/>
    <w:rsid w:val="00502E39"/>
    <w:rsid w:val="00502E51"/>
    <w:rsid w:val="00502FA7"/>
    <w:rsid w:val="00504AFF"/>
    <w:rsid w:val="00504D2B"/>
    <w:rsid w:val="005062E9"/>
    <w:rsid w:val="00506B73"/>
    <w:rsid w:val="00506FE2"/>
    <w:rsid w:val="00510163"/>
    <w:rsid w:val="00511023"/>
    <w:rsid w:val="00511472"/>
    <w:rsid w:val="00511F15"/>
    <w:rsid w:val="0051275F"/>
    <w:rsid w:val="00512E62"/>
    <w:rsid w:val="00512F25"/>
    <w:rsid w:val="00513022"/>
    <w:rsid w:val="00513F3C"/>
    <w:rsid w:val="00514179"/>
    <w:rsid w:val="00514337"/>
    <w:rsid w:val="005147C7"/>
    <w:rsid w:val="00514E6B"/>
    <w:rsid w:val="005156C2"/>
    <w:rsid w:val="00515CA5"/>
    <w:rsid w:val="005164A9"/>
    <w:rsid w:val="00516C50"/>
    <w:rsid w:val="0051780A"/>
    <w:rsid w:val="00517DD3"/>
    <w:rsid w:val="0052060B"/>
    <w:rsid w:val="005208C7"/>
    <w:rsid w:val="005211CF"/>
    <w:rsid w:val="00521375"/>
    <w:rsid w:val="005213EE"/>
    <w:rsid w:val="005217B3"/>
    <w:rsid w:val="00521881"/>
    <w:rsid w:val="0052244B"/>
    <w:rsid w:val="00522713"/>
    <w:rsid w:val="005228A8"/>
    <w:rsid w:val="00522A0C"/>
    <w:rsid w:val="00522BE5"/>
    <w:rsid w:val="00522D99"/>
    <w:rsid w:val="00522E57"/>
    <w:rsid w:val="00522F89"/>
    <w:rsid w:val="0052346F"/>
    <w:rsid w:val="005234AD"/>
    <w:rsid w:val="00523510"/>
    <w:rsid w:val="00524A25"/>
    <w:rsid w:val="00524A8A"/>
    <w:rsid w:val="00524EB9"/>
    <w:rsid w:val="005256BA"/>
    <w:rsid w:val="00525808"/>
    <w:rsid w:val="005259A9"/>
    <w:rsid w:val="005259E0"/>
    <w:rsid w:val="0052685B"/>
    <w:rsid w:val="00527F6C"/>
    <w:rsid w:val="00527FF1"/>
    <w:rsid w:val="0053067E"/>
    <w:rsid w:val="00530A91"/>
    <w:rsid w:val="005310F2"/>
    <w:rsid w:val="00531BF8"/>
    <w:rsid w:val="00531E3F"/>
    <w:rsid w:val="00532182"/>
    <w:rsid w:val="00532A51"/>
    <w:rsid w:val="00533A54"/>
    <w:rsid w:val="00533DAB"/>
    <w:rsid w:val="00533DC0"/>
    <w:rsid w:val="00534DEC"/>
    <w:rsid w:val="005354DC"/>
    <w:rsid w:val="005359AD"/>
    <w:rsid w:val="00535ABA"/>
    <w:rsid w:val="00535CC5"/>
    <w:rsid w:val="00535D80"/>
    <w:rsid w:val="00536CCE"/>
    <w:rsid w:val="00536EFB"/>
    <w:rsid w:val="0053702E"/>
    <w:rsid w:val="00537452"/>
    <w:rsid w:val="00537A08"/>
    <w:rsid w:val="005409E4"/>
    <w:rsid w:val="00540D8C"/>
    <w:rsid w:val="00540DF6"/>
    <w:rsid w:val="005412FC"/>
    <w:rsid w:val="005414A8"/>
    <w:rsid w:val="005414E9"/>
    <w:rsid w:val="00541590"/>
    <w:rsid w:val="00541AE4"/>
    <w:rsid w:val="00542ACF"/>
    <w:rsid w:val="00542AD0"/>
    <w:rsid w:val="00542AEE"/>
    <w:rsid w:val="00542CE4"/>
    <w:rsid w:val="00543033"/>
    <w:rsid w:val="005433D6"/>
    <w:rsid w:val="00543577"/>
    <w:rsid w:val="0054364A"/>
    <w:rsid w:val="00543B7E"/>
    <w:rsid w:val="00543CD6"/>
    <w:rsid w:val="00543D7A"/>
    <w:rsid w:val="0054419A"/>
    <w:rsid w:val="0054516D"/>
    <w:rsid w:val="0054573F"/>
    <w:rsid w:val="005458C4"/>
    <w:rsid w:val="00545AA4"/>
    <w:rsid w:val="00545DDF"/>
    <w:rsid w:val="0054614B"/>
    <w:rsid w:val="00546AC8"/>
    <w:rsid w:val="005473B3"/>
    <w:rsid w:val="00547A0B"/>
    <w:rsid w:val="0055118F"/>
    <w:rsid w:val="00551B02"/>
    <w:rsid w:val="00551C91"/>
    <w:rsid w:val="00552009"/>
    <w:rsid w:val="00552090"/>
    <w:rsid w:val="00552221"/>
    <w:rsid w:val="005528CA"/>
    <w:rsid w:val="00552AA4"/>
    <w:rsid w:val="00552EB4"/>
    <w:rsid w:val="00552FDA"/>
    <w:rsid w:val="00553503"/>
    <w:rsid w:val="005539A3"/>
    <w:rsid w:val="00553A55"/>
    <w:rsid w:val="00553C57"/>
    <w:rsid w:val="00553D80"/>
    <w:rsid w:val="00554F2E"/>
    <w:rsid w:val="00555D45"/>
    <w:rsid w:val="00555ECB"/>
    <w:rsid w:val="00556655"/>
    <w:rsid w:val="00556E58"/>
    <w:rsid w:val="00556FF0"/>
    <w:rsid w:val="00557098"/>
    <w:rsid w:val="005573F6"/>
    <w:rsid w:val="005575D9"/>
    <w:rsid w:val="00557623"/>
    <w:rsid w:val="0055762F"/>
    <w:rsid w:val="00560BC4"/>
    <w:rsid w:val="00560C56"/>
    <w:rsid w:val="0056135E"/>
    <w:rsid w:val="005619CB"/>
    <w:rsid w:val="00561B63"/>
    <w:rsid w:val="00561E31"/>
    <w:rsid w:val="005633D1"/>
    <w:rsid w:val="00563988"/>
    <w:rsid w:val="0056400C"/>
    <w:rsid w:val="0056431E"/>
    <w:rsid w:val="0056449A"/>
    <w:rsid w:val="00564A50"/>
    <w:rsid w:val="00564BA8"/>
    <w:rsid w:val="00565A92"/>
    <w:rsid w:val="00566C39"/>
    <w:rsid w:val="00566EA8"/>
    <w:rsid w:val="0056715E"/>
    <w:rsid w:val="00567E46"/>
    <w:rsid w:val="00570157"/>
    <w:rsid w:val="005701A5"/>
    <w:rsid w:val="00571FEA"/>
    <w:rsid w:val="005721AA"/>
    <w:rsid w:val="005736BB"/>
    <w:rsid w:val="00573C1C"/>
    <w:rsid w:val="00573CEB"/>
    <w:rsid w:val="005747CA"/>
    <w:rsid w:val="005749E4"/>
    <w:rsid w:val="00574FD8"/>
    <w:rsid w:val="0057503D"/>
    <w:rsid w:val="005751DD"/>
    <w:rsid w:val="005756F5"/>
    <w:rsid w:val="0057570F"/>
    <w:rsid w:val="00576132"/>
    <w:rsid w:val="00576338"/>
    <w:rsid w:val="00577F98"/>
    <w:rsid w:val="0058018B"/>
    <w:rsid w:val="0058097C"/>
    <w:rsid w:val="00580DDC"/>
    <w:rsid w:val="005813E5"/>
    <w:rsid w:val="005814C8"/>
    <w:rsid w:val="00581573"/>
    <w:rsid w:val="00581B2F"/>
    <w:rsid w:val="00581DFF"/>
    <w:rsid w:val="0058212B"/>
    <w:rsid w:val="00582F7F"/>
    <w:rsid w:val="005833D6"/>
    <w:rsid w:val="00583575"/>
    <w:rsid w:val="005835D5"/>
    <w:rsid w:val="005836B6"/>
    <w:rsid w:val="00583D75"/>
    <w:rsid w:val="00583DBD"/>
    <w:rsid w:val="0058410F"/>
    <w:rsid w:val="0058431F"/>
    <w:rsid w:val="005847BB"/>
    <w:rsid w:val="00584E0F"/>
    <w:rsid w:val="00584F03"/>
    <w:rsid w:val="005857B3"/>
    <w:rsid w:val="005857F3"/>
    <w:rsid w:val="00585A50"/>
    <w:rsid w:val="00585B35"/>
    <w:rsid w:val="00585C42"/>
    <w:rsid w:val="00585CE8"/>
    <w:rsid w:val="00585D57"/>
    <w:rsid w:val="00585F3F"/>
    <w:rsid w:val="005862A8"/>
    <w:rsid w:val="0058667B"/>
    <w:rsid w:val="005866CB"/>
    <w:rsid w:val="00586BF3"/>
    <w:rsid w:val="0058742F"/>
    <w:rsid w:val="00587532"/>
    <w:rsid w:val="0059025F"/>
    <w:rsid w:val="005905B6"/>
    <w:rsid w:val="00591132"/>
    <w:rsid w:val="00591612"/>
    <w:rsid w:val="0059196D"/>
    <w:rsid w:val="00591AF4"/>
    <w:rsid w:val="00591C6F"/>
    <w:rsid w:val="00592406"/>
    <w:rsid w:val="005928ED"/>
    <w:rsid w:val="00592F0F"/>
    <w:rsid w:val="005931BB"/>
    <w:rsid w:val="00594042"/>
    <w:rsid w:val="00594055"/>
    <w:rsid w:val="005948D4"/>
    <w:rsid w:val="00594B86"/>
    <w:rsid w:val="00594EA6"/>
    <w:rsid w:val="00594FF5"/>
    <w:rsid w:val="0059558A"/>
    <w:rsid w:val="0059621F"/>
    <w:rsid w:val="00596370"/>
    <w:rsid w:val="00597DD0"/>
    <w:rsid w:val="005A00F7"/>
    <w:rsid w:val="005A020E"/>
    <w:rsid w:val="005A0866"/>
    <w:rsid w:val="005A08F2"/>
    <w:rsid w:val="005A1234"/>
    <w:rsid w:val="005A1C89"/>
    <w:rsid w:val="005A1D0C"/>
    <w:rsid w:val="005A27CA"/>
    <w:rsid w:val="005A3087"/>
    <w:rsid w:val="005A66D4"/>
    <w:rsid w:val="005A6E53"/>
    <w:rsid w:val="005A73BC"/>
    <w:rsid w:val="005A7781"/>
    <w:rsid w:val="005A7A26"/>
    <w:rsid w:val="005B010B"/>
    <w:rsid w:val="005B05FB"/>
    <w:rsid w:val="005B0B59"/>
    <w:rsid w:val="005B0EB5"/>
    <w:rsid w:val="005B2247"/>
    <w:rsid w:val="005B23DC"/>
    <w:rsid w:val="005B2A46"/>
    <w:rsid w:val="005B2ACE"/>
    <w:rsid w:val="005B2D6C"/>
    <w:rsid w:val="005B2DCC"/>
    <w:rsid w:val="005B2F97"/>
    <w:rsid w:val="005B3743"/>
    <w:rsid w:val="005B3BC9"/>
    <w:rsid w:val="005B43AE"/>
    <w:rsid w:val="005B45A1"/>
    <w:rsid w:val="005B4B01"/>
    <w:rsid w:val="005B5427"/>
    <w:rsid w:val="005B5E20"/>
    <w:rsid w:val="005B5E41"/>
    <w:rsid w:val="005B6CE0"/>
    <w:rsid w:val="005B73A3"/>
    <w:rsid w:val="005C0C41"/>
    <w:rsid w:val="005C1075"/>
    <w:rsid w:val="005C1B3B"/>
    <w:rsid w:val="005C1E71"/>
    <w:rsid w:val="005C204A"/>
    <w:rsid w:val="005C25FE"/>
    <w:rsid w:val="005C2650"/>
    <w:rsid w:val="005C2ECF"/>
    <w:rsid w:val="005C3726"/>
    <w:rsid w:val="005C45D0"/>
    <w:rsid w:val="005C4833"/>
    <w:rsid w:val="005C48EE"/>
    <w:rsid w:val="005C4ADB"/>
    <w:rsid w:val="005C5A00"/>
    <w:rsid w:val="005C69E5"/>
    <w:rsid w:val="005C6BE5"/>
    <w:rsid w:val="005C7262"/>
    <w:rsid w:val="005D081D"/>
    <w:rsid w:val="005D1452"/>
    <w:rsid w:val="005D216A"/>
    <w:rsid w:val="005D2607"/>
    <w:rsid w:val="005D2C98"/>
    <w:rsid w:val="005D2CD8"/>
    <w:rsid w:val="005D32B1"/>
    <w:rsid w:val="005D3B35"/>
    <w:rsid w:val="005D3DFF"/>
    <w:rsid w:val="005D45B0"/>
    <w:rsid w:val="005D4B90"/>
    <w:rsid w:val="005D526C"/>
    <w:rsid w:val="005D531C"/>
    <w:rsid w:val="005D5F3B"/>
    <w:rsid w:val="005D6E01"/>
    <w:rsid w:val="005D731A"/>
    <w:rsid w:val="005D7BFA"/>
    <w:rsid w:val="005E0A60"/>
    <w:rsid w:val="005E0BB6"/>
    <w:rsid w:val="005E0EC1"/>
    <w:rsid w:val="005E119F"/>
    <w:rsid w:val="005E1960"/>
    <w:rsid w:val="005E1989"/>
    <w:rsid w:val="005E1B55"/>
    <w:rsid w:val="005E3062"/>
    <w:rsid w:val="005E3546"/>
    <w:rsid w:val="005E3E1E"/>
    <w:rsid w:val="005E3E81"/>
    <w:rsid w:val="005E3E89"/>
    <w:rsid w:val="005E4D9B"/>
    <w:rsid w:val="005E4F06"/>
    <w:rsid w:val="005E5194"/>
    <w:rsid w:val="005E5555"/>
    <w:rsid w:val="005E5632"/>
    <w:rsid w:val="005E5AC7"/>
    <w:rsid w:val="005E71FB"/>
    <w:rsid w:val="005E7722"/>
    <w:rsid w:val="005F068C"/>
    <w:rsid w:val="005F117F"/>
    <w:rsid w:val="005F1525"/>
    <w:rsid w:val="005F176D"/>
    <w:rsid w:val="005F18D0"/>
    <w:rsid w:val="005F1E69"/>
    <w:rsid w:val="005F214D"/>
    <w:rsid w:val="005F242C"/>
    <w:rsid w:val="005F2647"/>
    <w:rsid w:val="005F305A"/>
    <w:rsid w:val="005F321B"/>
    <w:rsid w:val="005F3534"/>
    <w:rsid w:val="005F3A56"/>
    <w:rsid w:val="005F3D01"/>
    <w:rsid w:val="005F3D12"/>
    <w:rsid w:val="005F49AF"/>
    <w:rsid w:val="005F4AB3"/>
    <w:rsid w:val="005F4B01"/>
    <w:rsid w:val="005F4B3C"/>
    <w:rsid w:val="005F50A7"/>
    <w:rsid w:val="005F6153"/>
    <w:rsid w:val="005F62BD"/>
    <w:rsid w:val="005F6DC0"/>
    <w:rsid w:val="005F7810"/>
    <w:rsid w:val="005F7D24"/>
    <w:rsid w:val="005F7F2F"/>
    <w:rsid w:val="00600F44"/>
    <w:rsid w:val="00602EAC"/>
    <w:rsid w:val="006036B7"/>
    <w:rsid w:val="006038CD"/>
    <w:rsid w:val="00603A7F"/>
    <w:rsid w:val="00603BBB"/>
    <w:rsid w:val="00603C9E"/>
    <w:rsid w:val="0060419C"/>
    <w:rsid w:val="00604837"/>
    <w:rsid w:val="00604EE0"/>
    <w:rsid w:val="006057F5"/>
    <w:rsid w:val="00605DB8"/>
    <w:rsid w:val="00605E74"/>
    <w:rsid w:val="006060C7"/>
    <w:rsid w:val="00606F02"/>
    <w:rsid w:val="0060787D"/>
    <w:rsid w:val="00607F6F"/>
    <w:rsid w:val="006101B6"/>
    <w:rsid w:val="00610B42"/>
    <w:rsid w:val="00610DB9"/>
    <w:rsid w:val="00611207"/>
    <w:rsid w:val="006120F4"/>
    <w:rsid w:val="00612682"/>
    <w:rsid w:val="006127AC"/>
    <w:rsid w:val="00612E95"/>
    <w:rsid w:val="00612FEE"/>
    <w:rsid w:val="0061354B"/>
    <w:rsid w:val="006143C3"/>
    <w:rsid w:val="00614B60"/>
    <w:rsid w:val="0061517A"/>
    <w:rsid w:val="00616CD3"/>
    <w:rsid w:val="006170DD"/>
    <w:rsid w:val="00617F35"/>
    <w:rsid w:val="006201E4"/>
    <w:rsid w:val="00620364"/>
    <w:rsid w:val="006204E0"/>
    <w:rsid w:val="0062060D"/>
    <w:rsid w:val="00620FA6"/>
    <w:rsid w:val="00621BDB"/>
    <w:rsid w:val="00621C78"/>
    <w:rsid w:val="006220D4"/>
    <w:rsid w:val="006226AE"/>
    <w:rsid w:val="006228AA"/>
    <w:rsid w:val="00622931"/>
    <w:rsid w:val="00622A1D"/>
    <w:rsid w:val="00623311"/>
    <w:rsid w:val="00623476"/>
    <w:rsid w:val="00623916"/>
    <w:rsid w:val="00624480"/>
    <w:rsid w:val="00624698"/>
    <w:rsid w:val="0062493D"/>
    <w:rsid w:val="00624B6F"/>
    <w:rsid w:val="00624E97"/>
    <w:rsid w:val="006256E4"/>
    <w:rsid w:val="00625845"/>
    <w:rsid w:val="00626411"/>
    <w:rsid w:val="00626457"/>
    <w:rsid w:val="006265C0"/>
    <w:rsid w:val="006268C3"/>
    <w:rsid w:val="00626AD6"/>
    <w:rsid w:val="00626E71"/>
    <w:rsid w:val="00627041"/>
    <w:rsid w:val="0062754E"/>
    <w:rsid w:val="00631AE3"/>
    <w:rsid w:val="00631ECA"/>
    <w:rsid w:val="006320D8"/>
    <w:rsid w:val="00633358"/>
    <w:rsid w:val="00633644"/>
    <w:rsid w:val="006337EB"/>
    <w:rsid w:val="00633D70"/>
    <w:rsid w:val="006344E4"/>
    <w:rsid w:val="0063592E"/>
    <w:rsid w:val="00636622"/>
    <w:rsid w:val="00636704"/>
    <w:rsid w:val="006368F9"/>
    <w:rsid w:val="00636D58"/>
    <w:rsid w:val="00637193"/>
    <w:rsid w:val="00637377"/>
    <w:rsid w:val="006376CB"/>
    <w:rsid w:val="00637C20"/>
    <w:rsid w:val="00637C4B"/>
    <w:rsid w:val="00640421"/>
    <w:rsid w:val="00640F2F"/>
    <w:rsid w:val="00641320"/>
    <w:rsid w:val="00641344"/>
    <w:rsid w:val="00641431"/>
    <w:rsid w:val="006424A8"/>
    <w:rsid w:val="0064259A"/>
    <w:rsid w:val="00642906"/>
    <w:rsid w:val="006434B6"/>
    <w:rsid w:val="006434C8"/>
    <w:rsid w:val="00643653"/>
    <w:rsid w:val="0064435B"/>
    <w:rsid w:val="00644A2D"/>
    <w:rsid w:val="00645FBC"/>
    <w:rsid w:val="0064608E"/>
    <w:rsid w:val="006460AC"/>
    <w:rsid w:val="00646967"/>
    <w:rsid w:val="00646B23"/>
    <w:rsid w:val="0064727C"/>
    <w:rsid w:val="006473E3"/>
    <w:rsid w:val="00647490"/>
    <w:rsid w:val="00647A0E"/>
    <w:rsid w:val="00650026"/>
    <w:rsid w:val="00650451"/>
    <w:rsid w:val="0065106A"/>
    <w:rsid w:val="00651E69"/>
    <w:rsid w:val="006520D8"/>
    <w:rsid w:val="00652A58"/>
    <w:rsid w:val="00653887"/>
    <w:rsid w:val="00653889"/>
    <w:rsid w:val="00653916"/>
    <w:rsid w:val="006547A9"/>
    <w:rsid w:val="006552E3"/>
    <w:rsid w:val="00655382"/>
    <w:rsid w:val="00655532"/>
    <w:rsid w:val="0065570A"/>
    <w:rsid w:val="00655BCC"/>
    <w:rsid w:val="00655F2F"/>
    <w:rsid w:val="00656337"/>
    <w:rsid w:val="006575F9"/>
    <w:rsid w:val="0066068F"/>
    <w:rsid w:val="00661453"/>
    <w:rsid w:val="0066182B"/>
    <w:rsid w:val="00661BE5"/>
    <w:rsid w:val="006638E9"/>
    <w:rsid w:val="006638FC"/>
    <w:rsid w:val="00663997"/>
    <w:rsid w:val="00663DF7"/>
    <w:rsid w:val="00663F11"/>
    <w:rsid w:val="00664664"/>
    <w:rsid w:val="0066538E"/>
    <w:rsid w:val="006655A2"/>
    <w:rsid w:val="00666006"/>
    <w:rsid w:val="00666746"/>
    <w:rsid w:val="00670537"/>
    <w:rsid w:val="00671915"/>
    <w:rsid w:val="00671E4F"/>
    <w:rsid w:val="00671EE4"/>
    <w:rsid w:val="00672A91"/>
    <w:rsid w:val="00672BD2"/>
    <w:rsid w:val="006737BF"/>
    <w:rsid w:val="00673BC0"/>
    <w:rsid w:val="00673C20"/>
    <w:rsid w:val="006742EA"/>
    <w:rsid w:val="00674426"/>
    <w:rsid w:val="006747A4"/>
    <w:rsid w:val="00674A6A"/>
    <w:rsid w:val="00674C81"/>
    <w:rsid w:val="00674D29"/>
    <w:rsid w:val="00674EB9"/>
    <w:rsid w:val="0067502C"/>
    <w:rsid w:val="006758F9"/>
    <w:rsid w:val="00675BAA"/>
    <w:rsid w:val="00675ED5"/>
    <w:rsid w:val="006766D5"/>
    <w:rsid w:val="00676C44"/>
    <w:rsid w:val="00677230"/>
    <w:rsid w:val="006772AF"/>
    <w:rsid w:val="00677CAE"/>
    <w:rsid w:val="006806DA"/>
    <w:rsid w:val="00680BD9"/>
    <w:rsid w:val="0068101E"/>
    <w:rsid w:val="00681922"/>
    <w:rsid w:val="00681C55"/>
    <w:rsid w:val="006822DA"/>
    <w:rsid w:val="006828D8"/>
    <w:rsid w:val="00682AB2"/>
    <w:rsid w:val="006837D9"/>
    <w:rsid w:val="0068395B"/>
    <w:rsid w:val="00683C8A"/>
    <w:rsid w:val="006840E6"/>
    <w:rsid w:val="00684E66"/>
    <w:rsid w:val="006855C3"/>
    <w:rsid w:val="006858E1"/>
    <w:rsid w:val="006860C6"/>
    <w:rsid w:val="00686338"/>
    <w:rsid w:val="00686739"/>
    <w:rsid w:val="006867A8"/>
    <w:rsid w:val="00686997"/>
    <w:rsid w:val="006879A8"/>
    <w:rsid w:val="00687A41"/>
    <w:rsid w:val="00690540"/>
    <w:rsid w:val="00690AE8"/>
    <w:rsid w:val="006910E8"/>
    <w:rsid w:val="00691257"/>
    <w:rsid w:val="006916D5"/>
    <w:rsid w:val="0069193A"/>
    <w:rsid w:val="00691A23"/>
    <w:rsid w:val="00691CEA"/>
    <w:rsid w:val="00692DA6"/>
    <w:rsid w:val="00692E68"/>
    <w:rsid w:val="006931FE"/>
    <w:rsid w:val="00693B53"/>
    <w:rsid w:val="006942EB"/>
    <w:rsid w:val="006944A2"/>
    <w:rsid w:val="006952C7"/>
    <w:rsid w:val="00695613"/>
    <w:rsid w:val="00695653"/>
    <w:rsid w:val="006956F6"/>
    <w:rsid w:val="00695837"/>
    <w:rsid w:val="00695C07"/>
    <w:rsid w:val="00695FB2"/>
    <w:rsid w:val="006960E4"/>
    <w:rsid w:val="0069673D"/>
    <w:rsid w:val="00696C8C"/>
    <w:rsid w:val="0069709B"/>
    <w:rsid w:val="00697746"/>
    <w:rsid w:val="006978E9"/>
    <w:rsid w:val="006A04F9"/>
    <w:rsid w:val="006A0BF0"/>
    <w:rsid w:val="006A0EC0"/>
    <w:rsid w:val="006A105D"/>
    <w:rsid w:val="006A1330"/>
    <w:rsid w:val="006A1380"/>
    <w:rsid w:val="006A13DA"/>
    <w:rsid w:val="006A140D"/>
    <w:rsid w:val="006A1733"/>
    <w:rsid w:val="006A2261"/>
    <w:rsid w:val="006A2407"/>
    <w:rsid w:val="006A24F1"/>
    <w:rsid w:val="006A2AC6"/>
    <w:rsid w:val="006A2D81"/>
    <w:rsid w:val="006A2E4B"/>
    <w:rsid w:val="006A40F6"/>
    <w:rsid w:val="006A4536"/>
    <w:rsid w:val="006A4694"/>
    <w:rsid w:val="006A4A32"/>
    <w:rsid w:val="006A4B3E"/>
    <w:rsid w:val="006A4E37"/>
    <w:rsid w:val="006A5348"/>
    <w:rsid w:val="006A571B"/>
    <w:rsid w:val="006A6232"/>
    <w:rsid w:val="006A63AA"/>
    <w:rsid w:val="006A68D2"/>
    <w:rsid w:val="006A6F87"/>
    <w:rsid w:val="006A6F98"/>
    <w:rsid w:val="006A7526"/>
    <w:rsid w:val="006A7E5C"/>
    <w:rsid w:val="006B051D"/>
    <w:rsid w:val="006B0D01"/>
    <w:rsid w:val="006B186F"/>
    <w:rsid w:val="006B2409"/>
    <w:rsid w:val="006B28EE"/>
    <w:rsid w:val="006B2B55"/>
    <w:rsid w:val="006B308F"/>
    <w:rsid w:val="006B3A0D"/>
    <w:rsid w:val="006B3F8E"/>
    <w:rsid w:val="006B4071"/>
    <w:rsid w:val="006B40DF"/>
    <w:rsid w:val="006B4273"/>
    <w:rsid w:val="006B439C"/>
    <w:rsid w:val="006B4971"/>
    <w:rsid w:val="006B4E6E"/>
    <w:rsid w:val="006B4F12"/>
    <w:rsid w:val="006B508C"/>
    <w:rsid w:val="006B5303"/>
    <w:rsid w:val="006B5AD0"/>
    <w:rsid w:val="006B62D8"/>
    <w:rsid w:val="006B6642"/>
    <w:rsid w:val="006B6996"/>
    <w:rsid w:val="006B73E7"/>
    <w:rsid w:val="006B7488"/>
    <w:rsid w:val="006B7E70"/>
    <w:rsid w:val="006C00FC"/>
    <w:rsid w:val="006C05AD"/>
    <w:rsid w:val="006C09BD"/>
    <w:rsid w:val="006C135C"/>
    <w:rsid w:val="006C18F4"/>
    <w:rsid w:val="006C1E0E"/>
    <w:rsid w:val="006C2CEF"/>
    <w:rsid w:val="006C2F03"/>
    <w:rsid w:val="006C30F8"/>
    <w:rsid w:val="006C3489"/>
    <w:rsid w:val="006C39B2"/>
    <w:rsid w:val="006C3D71"/>
    <w:rsid w:val="006C3FB0"/>
    <w:rsid w:val="006C4165"/>
    <w:rsid w:val="006C4290"/>
    <w:rsid w:val="006C435E"/>
    <w:rsid w:val="006C5C2E"/>
    <w:rsid w:val="006C5DCB"/>
    <w:rsid w:val="006C60A2"/>
    <w:rsid w:val="006C6687"/>
    <w:rsid w:val="006C6C2E"/>
    <w:rsid w:val="006C702F"/>
    <w:rsid w:val="006C7473"/>
    <w:rsid w:val="006C78B7"/>
    <w:rsid w:val="006D0095"/>
    <w:rsid w:val="006D03DF"/>
    <w:rsid w:val="006D149A"/>
    <w:rsid w:val="006D1AF0"/>
    <w:rsid w:val="006D1C1B"/>
    <w:rsid w:val="006D2168"/>
    <w:rsid w:val="006D3A51"/>
    <w:rsid w:val="006D3A6B"/>
    <w:rsid w:val="006D3BD8"/>
    <w:rsid w:val="006D4529"/>
    <w:rsid w:val="006D56A9"/>
    <w:rsid w:val="006D5B6F"/>
    <w:rsid w:val="006D5C13"/>
    <w:rsid w:val="006D6949"/>
    <w:rsid w:val="006D6A7F"/>
    <w:rsid w:val="006D6EC8"/>
    <w:rsid w:val="006D7582"/>
    <w:rsid w:val="006D77BE"/>
    <w:rsid w:val="006D7B5F"/>
    <w:rsid w:val="006E048C"/>
    <w:rsid w:val="006E0A93"/>
    <w:rsid w:val="006E0E48"/>
    <w:rsid w:val="006E17DE"/>
    <w:rsid w:val="006E1C55"/>
    <w:rsid w:val="006E2B4A"/>
    <w:rsid w:val="006E4618"/>
    <w:rsid w:val="006E4654"/>
    <w:rsid w:val="006E4797"/>
    <w:rsid w:val="006E4F7D"/>
    <w:rsid w:val="006E52E8"/>
    <w:rsid w:val="006E5794"/>
    <w:rsid w:val="006E5E70"/>
    <w:rsid w:val="006E5FD1"/>
    <w:rsid w:val="006E67EA"/>
    <w:rsid w:val="006E6E0E"/>
    <w:rsid w:val="006E79F2"/>
    <w:rsid w:val="006E7F31"/>
    <w:rsid w:val="006F0274"/>
    <w:rsid w:val="006F1378"/>
    <w:rsid w:val="006F1E02"/>
    <w:rsid w:val="006F219C"/>
    <w:rsid w:val="006F2585"/>
    <w:rsid w:val="006F2E73"/>
    <w:rsid w:val="006F2FE4"/>
    <w:rsid w:val="006F3DDB"/>
    <w:rsid w:val="006F48C6"/>
    <w:rsid w:val="006F4F2B"/>
    <w:rsid w:val="006F5116"/>
    <w:rsid w:val="006F5432"/>
    <w:rsid w:val="006F580F"/>
    <w:rsid w:val="006F5BEF"/>
    <w:rsid w:val="006F62FC"/>
    <w:rsid w:val="006F6E15"/>
    <w:rsid w:val="006F7519"/>
    <w:rsid w:val="006F7689"/>
    <w:rsid w:val="006F78A5"/>
    <w:rsid w:val="0070066D"/>
    <w:rsid w:val="00700BA1"/>
    <w:rsid w:val="00700D15"/>
    <w:rsid w:val="0070148D"/>
    <w:rsid w:val="007017AE"/>
    <w:rsid w:val="0070208D"/>
    <w:rsid w:val="00702197"/>
    <w:rsid w:val="00702562"/>
    <w:rsid w:val="007027C8"/>
    <w:rsid w:val="00702E5B"/>
    <w:rsid w:val="00703422"/>
    <w:rsid w:val="0070359F"/>
    <w:rsid w:val="00703A6C"/>
    <w:rsid w:val="00703F4A"/>
    <w:rsid w:val="00704F69"/>
    <w:rsid w:val="0070544A"/>
    <w:rsid w:val="007055E1"/>
    <w:rsid w:val="00705607"/>
    <w:rsid w:val="0070573C"/>
    <w:rsid w:val="007065AE"/>
    <w:rsid w:val="00706793"/>
    <w:rsid w:val="00706B8F"/>
    <w:rsid w:val="0070747D"/>
    <w:rsid w:val="0070794D"/>
    <w:rsid w:val="0071037A"/>
    <w:rsid w:val="00710A9F"/>
    <w:rsid w:val="00710ADA"/>
    <w:rsid w:val="00711634"/>
    <w:rsid w:val="00711989"/>
    <w:rsid w:val="00711C0E"/>
    <w:rsid w:val="00712021"/>
    <w:rsid w:val="0071272A"/>
    <w:rsid w:val="0071281E"/>
    <w:rsid w:val="00713070"/>
    <w:rsid w:val="0071336F"/>
    <w:rsid w:val="007135DE"/>
    <w:rsid w:val="007142F5"/>
    <w:rsid w:val="0071469B"/>
    <w:rsid w:val="00714BB7"/>
    <w:rsid w:val="00715207"/>
    <w:rsid w:val="007161BD"/>
    <w:rsid w:val="00716289"/>
    <w:rsid w:val="007165BD"/>
    <w:rsid w:val="00717C51"/>
    <w:rsid w:val="007203AE"/>
    <w:rsid w:val="0072063E"/>
    <w:rsid w:val="00721472"/>
    <w:rsid w:val="00721593"/>
    <w:rsid w:val="007223A7"/>
    <w:rsid w:val="0072298F"/>
    <w:rsid w:val="0072307B"/>
    <w:rsid w:val="00723615"/>
    <w:rsid w:val="0072363E"/>
    <w:rsid w:val="0072365B"/>
    <w:rsid w:val="00724B55"/>
    <w:rsid w:val="00725916"/>
    <w:rsid w:val="0072596C"/>
    <w:rsid w:val="00725C9F"/>
    <w:rsid w:val="007263FF"/>
    <w:rsid w:val="00727111"/>
    <w:rsid w:val="00730092"/>
    <w:rsid w:val="00732AD5"/>
    <w:rsid w:val="00732B50"/>
    <w:rsid w:val="00732C60"/>
    <w:rsid w:val="00733065"/>
    <w:rsid w:val="007334CD"/>
    <w:rsid w:val="007334F8"/>
    <w:rsid w:val="00733594"/>
    <w:rsid w:val="00733782"/>
    <w:rsid w:val="00733A8A"/>
    <w:rsid w:val="00733D7B"/>
    <w:rsid w:val="007341E6"/>
    <w:rsid w:val="007347F4"/>
    <w:rsid w:val="00734992"/>
    <w:rsid w:val="00734E7C"/>
    <w:rsid w:val="00735193"/>
    <w:rsid w:val="007354CB"/>
    <w:rsid w:val="0073561C"/>
    <w:rsid w:val="0073563E"/>
    <w:rsid w:val="007357AF"/>
    <w:rsid w:val="007359DA"/>
    <w:rsid w:val="00735C9E"/>
    <w:rsid w:val="0073729C"/>
    <w:rsid w:val="007374A9"/>
    <w:rsid w:val="007375B0"/>
    <w:rsid w:val="00740613"/>
    <w:rsid w:val="007417CA"/>
    <w:rsid w:val="00741DB6"/>
    <w:rsid w:val="007430EC"/>
    <w:rsid w:val="00743558"/>
    <w:rsid w:val="007435A3"/>
    <w:rsid w:val="007437F4"/>
    <w:rsid w:val="00743821"/>
    <w:rsid w:val="0074441C"/>
    <w:rsid w:val="00744665"/>
    <w:rsid w:val="007446E5"/>
    <w:rsid w:val="007449A6"/>
    <w:rsid w:val="00744FDC"/>
    <w:rsid w:val="00745280"/>
    <w:rsid w:val="007452CB"/>
    <w:rsid w:val="007456EA"/>
    <w:rsid w:val="00745B2A"/>
    <w:rsid w:val="00746A78"/>
    <w:rsid w:val="00746F46"/>
    <w:rsid w:val="007474F6"/>
    <w:rsid w:val="00747A50"/>
    <w:rsid w:val="00750A7A"/>
    <w:rsid w:val="00750A89"/>
    <w:rsid w:val="00750D00"/>
    <w:rsid w:val="00751014"/>
    <w:rsid w:val="00751D3C"/>
    <w:rsid w:val="00751DB0"/>
    <w:rsid w:val="007523F1"/>
    <w:rsid w:val="00752F14"/>
    <w:rsid w:val="00753618"/>
    <w:rsid w:val="007539B8"/>
    <w:rsid w:val="007540BB"/>
    <w:rsid w:val="00754F59"/>
    <w:rsid w:val="00755D7F"/>
    <w:rsid w:val="00755DED"/>
    <w:rsid w:val="00756BAD"/>
    <w:rsid w:val="00757C8C"/>
    <w:rsid w:val="00757F7E"/>
    <w:rsid w:val="00760427"/>
    <w:rsid w:val="00760718"/>
    <w:rsid w:val="007608FE"/>
    <w:rsid w:val="00760BA8"/>
    <w:rsid w:val="007613E1"/>
    <w:rsid w:val="00761413"/>
    <w:rsid w:val="00761662"/>
    <w:rsid w:val="00762130"/>
    <w:rsid w:val="007634C7"/>
    <w:rsid w:val="00763E21"/>
    <w:rsid w:val="00763E7A"/>
    <w:rsid w:val="00764E69"/>
    <w:rsid w:val="0076502E"/>
    <w:rsid w:val="00765FA7"/>
    <w:rsid w:val="00766099"/>
    <w:rsid w:val="007662BA"/>
    <w:rsid w:val="00766944"/>
    <w:rsid w:val="00766BD1"/>
    <w:rsid w:val="00766EB1"/>
    <w:rsid w:val="0076718E"/>
    <w:rsid w:val="007671E7"/>
    <w:rsid w:val="0076764E"/>
    <w:rsid w:val="00767854"/>
    <w:rsid w:val="00767B25"/>
    <w:rsid w:val="00767B99"/>
    <w:rsid w:val="00767BE1"/>
    <w:rsid w:val="00767C7C"/>
    <w:rsid w:val="0077002A"/>
    <w:rsid w:val="007709F7"/>
    <w:rsid w:val="007709FA"/>
    <w:rsid w:val="00770F4D"/>
    <w:rsid w:val="00771649"/>
    <w:rsid w:val="0077174A"/>
    <w:rsid w:val="007718F0"/>
    <w:rsid w:val="00771D09"/>
    <w:rsid w:val="00772AD3"/>
    <w:rsid w:val="00772F23"/>
    <w:rsid w:val="00773065"/>
    <w:rsid w:val="00773178"/>
    <w:rsid w:val="00773D65"/>
    <w:rsid w:val="007741D8"/>
    <w:rsid w:val="00774AFF"/>
    <w:rsid w:val="00774FBC"/>
    <w:rsid w:val="00775354"/>
    <w:rsid w:val="00776823"/>
    <w:rsid w:val="00776A76"/>
    <w:rsid w:val="00776E44"/>
    <w:rsid w:val="00776EB5"/>
    <w:rsid w:val="00777330"/>
    <w:rsid w:val="0077795B"/>
    <w:rsid w:val="007804A7"/>
    <w:rsid w:val="007804BB"/>
    <w:rsid w:val="007808A8"/>
    <w:rsid w:val="007810EF"/>
    <w:rsid w:val="00781728"/>
    <w:rsid w:val="007819BA"/>
    <w:rsid w:val="00781E26"/>
    <w:rsid w:val="00781FB5"/>
    <w:rsid w:val="0078215D"/>
    <w:rsid w:val="007823CE"/>
    <w:rsid w:val="007826B5"/>
    <w:rsid w:val="00782EF1"/>
    <w:rsid w:val="00782FC9"/>
    <w:rsid w:val="00783B5F"/>
    <w:rsid w:val="00783C01"/>
    <w:rsid w:val="00783C79"/>
    <w:rsid w:val="00783C9D"/>
    <w:rsid w:val="00783D71"/>
    <w:rsid w:val="0078427F"/>
    <w:rsid w:val="007852ED"/>
    <w:rsid w:val="00785E2C"/>
    <w:rsid w:val="00785EAF"/>
    <w:rsid w:val="00786306"/>
    <w:rsid w:val="00786603"/>
    <w:rsid w:val="007868EF"/>
    <w:rsid w:val="00786914"/>
    <w:rsid w:val="00787BE5"/>
    <w:rsid w:val="00787FD6"/>
    <w:rsid w:val="007900C9"/>
    <w:rsid w:val="00790843"/>
    <w:rsid w:val="00790B75"/>
    <w:rsid w:val="00790EA0"/>
    <w:rsid w:val="0079111E"/>
    <w:rsid w:val="007911F6"/>
    <w:rsid w:val="00791694"/>
    <w:rsid w:val="007917CB"/>
    <w:rsid w:val="00792E8A"/>
    <w:rsid w:val="007938B0"/>
    <w:rsid w:val="0079432C"/>
    <w:rsid w:val="00794773"/>
    <w:rsid w:val="00794AB8"/>
    <w:rsid w:val="0079563B"/>
    <w:rsid w:val="00795E1B"/>
    <w:rsid w:val="0079656E"/>
    <w:rsid w:val="00796E2E"/>
    <w:rsid w:val="00797046"/>
    <w:rsid w:val="00797252"/>
    <w:rsid w:val="00797A91"/>
    <w:rsid w:val="00797B83"/>
    <w:rsid w:val="00797BDE"/>
    <w:rsid w:val="007A05B4"/>
    <w:rsid w:val="007A108A"/>
    <w:rsid w:val="007A159A"/>
    <w:rsid w:val="007A160D"/>
    <w:rsid w:val="007A1A39"/>
    <w:rsid w:val="007A238C"/>
    <w:rsid w:val="007A2714"/>
    <w:rsid w:val="007A2D3E"/>
    <w:rsid w:val="007A35B5"/>
    <w:rsid w:val="007A418D"/>
    <w:rsid w:val="007A42C7"/>
    <w:rsid w:val="007A4581"/>
    <w:rsid w:val="007A4794"/>
    <w:rsid w:val="007A4FFE"/>
    <w:rsid w:val="007A5101"/>
    <w:rsid w:val="007A5865"/>
    <w:rsid w:val="007A5903"/>
    <w:rsid w:val="007A6B92"/>
    <w:rsid w:val="007A6EB4"/>
    <w:rsid w:val="007A704C"/>
    <w:rsid w:val="007A7D2A"/>
    <w:rsid w:val="007B0122"/>
    <w:rsid w:val="007B02E0"/>
    <w:rsid w:val="007B08C8"/>
    <w:rsid w:val="007B1036"/>
    <w:rsid w:val="007B1323"/>
    <w:rsid w:val="007B1CCA"/>
    <w:rsid w:val="007B1D5D"/>
    <w:rsid w:val="007B1E10"/>
    <w:rsid w:val="007B23C3"/>
    <w:rsid w:val="007B33D8"/>
    <w:rsid w:val="007B3FAC"/>
    <w:rsid w:val="007B427C"/>
    <w:rsid w:val="007B46AA"/>
    <w:rsid w:val="007B4BA8"/>
    <w:rsid w:val="007B5066"/>
    <w:rsid w:val="007B548F"/>
    <w:rsid w:val="007B5914"/>
    <w:rsid w:val="007B5964"/>
    <w:rsid w:val="007B66CC"/>
    <w:rsid w:val="007B67B6"/>
    <w:rsid w:val="007B6DBA"/>
    <w:rsid w:val="007B75F4"/>
    <w:rsid w:val="007B7846"/>
    <w:rsid w:val="007C0035"/>
    <w:rsid w:val="007C05E9"/>
    <w:rsid w:val="007C1060"/>
    <w:rsid w:val="007C1AD3"/>
    <w:rsid w:val="007C204D"/>
    <w:rsid w:val="007C2199"/>
    <w:rsid w:val="007C2DD9"/>
    <w:rsid w:val="007C2EA3"/>
    <w:rsid w:val="007C378C"/>
    <w:rsid w:val="007C3DA8"/>
    <w:rsid w:val="007C41D5"/>
    <w:rsid w:val="007C4340"/>
    <w:rsid w:val="007C5531"/>
    <w:rsid w:val="007C6068"/>
    <w:rsid w:val="007C6361"/>
    <w:rsid w:val="007C6F0E"/>
    <w:rsid w:val="007C7CF5"/>
    <w:rsid w:val="007D01BC"/>
    <w:rsid w:val="007D0E86"/>
    <w:rsid w:val="007D15B9"/>
    <w:rsid w:val="007D1C30"/>
    <w:rsid w:val="007D20EC"/>
    <w:rsid w:val="007D24FD"/>
    <w:rsid w:val="007D2B2F"/>
    <w:rsid w:val="007D2D68"/>
    <w:rsid w:val="007D3BEB"/>
    <w:rsid w:val="007D40F9"/>
    <w:rsid w:val="007D4DAB"/>
    <w:rsid w:val="007D5170"/>
    <w:rsid w:val="007D5E61"/>
    <w:rsid w:val="007D61FA"/>
    <w:rsid w:val="007D680D"/>
    <w:rsid w:val="007D73AF"/>
    <w:rsid w:val="007D7AD3"/>
    <w:rsid w:val="007D7B6E"/>
    <w:rsid w:val="007D7C04"/>
    <w:rsid w:val="007E0738"/>
    <w:rsid w:val="007E0C93"/>
    <w:rsid w:val="007E1B0B"/>
    <w:rsid w:val="007E1CCB"/>
    <w:rsid w:val="007E2226"/>
    <w:rsid w:val="007E227B"/>
    <w:rsid w:val="007E2440"/>
    <w:rsid w:val="007E2A92"/>
    <w:rsid w:val="007E2C0A"/>
    <w:rsid w:val="007E2E60"/>
    <w:rsid w:val="007E3AB5"/>
    <w:rsid w:val="007E3DC2"/>
    <w:rsid w:val="007E40B1"/>
    <w:rsid w:val="007E44ED"/>
    <w:rsid w:val="007E4582"/>
    <w:rsid w:val="007E4669"/>
    <w:rsid w:val="007E4858"/>
    <w:rsid w:val="007E5AFA"/>
    <w:rsid w:val="007E5C60"/>
    <w:rsid w:val="007E5DA1"/>
    <w:rsid w:val="007E5E1D"/>
    <w:rsid w:val="007E664F"/>
    <w:rsid w:val="007E68D2"/>
    <w:rsid w:val="007E6C44"/>
    <w:rsid w:val="007E6DC3"/>
    <w:rsid w:val="007E770E"/>
    <w:rsid w:val="007E7A05"/>
    <w:rsid w:val="007F00A2"/>
    <w:rsid w:val="007F1C62"/>
    <w:rsid w:val="007F281C"/>
    <w:rsid w:val="007F2C0C"/>
    <w:rsid w:val="007F2CF5"/>
    <w:rsid w:val="007F2DE5"/>
    <w:rsid w:val="007F30EA"/>
    <w:rsid w:val="007F498B"/>
    <w:rsid w:val="007F4F2F"/>
    <w:rsid w:val="007F5159"/>
    <w:rsid w:val="007F5214"/>
    <w:rsid w:val="007F55C3"/>
    <w:rsid w:val="007F5D5D"/>
    <w:rsid w:val="007F5F3F"/>
    <w:rsid w:val="007F63BD"/>
    <w:rsid w:val="007F678E"/>
    <w:rsid w:val="007F7C7A"/>
    <w:rsid w:val="008006A0"/>
    <w:rsid w:val="00801973"/>
    <w:rsid w:val="008019A7"/>
    <w:rsid w:val="008021CA"/>
    <w:rsid w:val="008026A8"/>
    <w:rsid w:val="00802D49"/>
    <w:rsid w:val="00803D17"/>
    <w:rsid w:val="0080450F"/>
    <w:rsid w:val="00804623"/>
    <w:rsid w:val="00804AD5"/>
    <w:rsid w:val="008052A0"/>
    <w:rsid w:val="008054B0"/>
    <w:rsid w:val="0080570E"/>
    <w:rsid w:val="00805C2A"/>
    <w:rsid w:val="00805C49"/>
    <w:rsid w:val="00805FCD"/>
    <w:rsid w:val="008060AC"/>
    <w:rsid w:val="00806120"/>
    <w:rsid w:val="0081003F"/>
    <w:rsid w:val="00810A4B"/>
    <w:rsid w:val="00810F4A"/>
    <w:rsid w:val="0081111D"/>
    <w:rsid w:val="008111EF"/>
    <w:rsid w:val="0081188B"/>
    <w:rsid w:val="00811D27"/>
    <w:rsid w:val="00812043"/>
    <w:rsid w:val="00812201"/>
    <w:rsid w:val="00812AFE"/>
    <w:rsid w:val="00812C3C"/>
    <w:rsid w:val="00812F46"/>
    <w:rsid w:val="00813917"/>
    <w:rsid w:val="00813D2F"/>
    <w:rsid w:val="0081418E"/>
    <w:rsid w:val="00814680"/>
    <w:rsid w:val="00814E9C"/>
    <w:rsid w:val="00815D73"/>
    <w:rsid w:val="00815EF7"/>
    <w:rsid w:val="0081643D"/>
    <w:rsid w:val="008167F3"/>
    <w:rsid w:val="00816AF4"/>
    <w:rsid w:val="008173FB"/>
    <w:rsid w:val="00817F03"/>
    <w:rsid w:val="00820214"/>
    <w:rsid w:val="00820AFF"/>
    <w:rsid w:val="00820CB0"/>
    <w:rsid w:val="00820E10"/>
    <w:rsid w:val="0082163F"/>
    <w:rsid w:val="00821B06"/>
    <w:rsid w:val="00822292"/>
    <w:rsid w:val="00822765"/>
    <w:rsid w:val="008227D4"/>
    <w:rsid w:val="00822C55"/>
    <w:rsid w:val="00822E83"/>
    <w:rsid w:val="00823130"/>
    <w:rsid w:val="008232AF"/>
    <w:rsid w:val="008239A6"/>
    <w:rsid w:val="00823A9B"/>
    <w:rsid w:val="00823C18"/>
    <w:rsid w:val="008248F0"/>
    <w:rsid w:val="00824B28"/>
    <w:rsid w:val="00824EAA"/>
    <w:rsid w:val="00824FDC"/>
    <w:rsid w:val="008256F1"/>
    <w:rsid w:val="00825BDD"/>
    <w:rsid w:val="008260B0"/>
    <w:rsid w:val="00826395"/>
    <w:rsid w:val="008266B7"/>
    <w:rsid w:val="00826D15"/>
    <w:rsid w:val="00826EEC"/>
    <w:rsid w:val="0082715D"/>
    <w:rsid w:val="00827329"/>
    <w:rsid w:val="0082750C"/>
    <w:rsid w:val="0083054D"/>
    <w:rsid w:val="00830613"/>
    <w:rsid w:val="008306E7"/>
    <w:rsid w:val="0083073F"/>
    <w:rsid w:val="00830981"/>
    <w:rsid w:val="008311FC"/>
    <w:rsid w:val="00831296"/>
    <w:rsid w:val="008312E6"/>
    <w:rsid w:val="00831AA2"/>
    <w:rsid w:val="00831AAD"/>
    <w:rsid w:val="00832F69"/>
    <w:rsid w:val="0083327C"/>
    <w:rsid w:val="008333F8"/>
    <w:rsid w:val="0083378C"/>
    <w:rsid w:val="00833B72"/>
    <w:rsid w:val="00834932"/>
    <w:rsid w:val="0083558C"/>
    <w:rsid w:val="00835693"/>
    <w:rsid w:val="008364C5"/>
    <w:rsid w:val="00836CC0"/>
    <w:rsid w:val="00837219"/>
    <w:rsid w:val="00837281"/>
    <w:rsid w:val="008372A6"/>
    <w:rsid w:val="00837742"/>
    <w:rsid w:val="00837BA7"/>
    <w:rsid w:val="00837F1D"/>
    <w:rsid w:val="008403C8"/>
    <w:rsid w:val="00840560"/>
    <w:rsid w:val="008405A5"/>
    <w:rsid w:val="00840914"/>
    <w:rsid w:val="00840E71"/>
    <w:rsid w:val="008411D9"/>
    <w:rsid w:val="0084129D"/>
    <w:rsid w:val="00841A57"/>
    <w:rsid w:val="00842205"/>
    <w:rsid w:val="0084268E"/>
    <w:rsid w:val="00842CB2"/>
    <w:rsid w:val="00842DED"/>
    <w:rsid w:val="008432F6"/>
    <w:rsid w:val="0084366F"/>
    <w:rsid w:val="00843E4B"/>
    <w:rsid w:val="00844218"/>
    <w:rsid w:val="00844928"/>
    <w:rsid w:val="00844940"/>
    <w:rsid w:val="00844C94"/>
    <w:rsid w:val="008455BE"/>
    <w:rsid w:val="00846688"/>
    <w:rsid w:val="00846829"/>
    <w:rsid w:val="00847438"/>
    <w:rsid w:val="00847B52"/>
    <w:rsid w:val="00847F9A"/>
    <w:rsid w:val="00850351"/>
    <w:rsid w:val="008506EB"/>
    <w:rsid w:val="0085183B"/>
    <w:rsid w:val="00851901"/>
    <w:rsid w:val="008519EF"/>
    <w:rsid w:val="00851D17"/>
    <w:rsid w:val="00852EF9"/>
    <w:rsid w:val="0085340F"/>
    <w:rsid w:val="00853D3B"/>
    <w:rsid w:val="00854359"/>
    <w:rsid w:val="00854B65"/>
    <w:rsid w:val="00855568"/>
    <w:rsid w:val="00855586"/>
    <w:rsid w:val="00855677"/>
    <w:rsid w:val="00855A05"/>
    <w:rsid w:val="00855DFA"/>
    <w:rsid w:val="00855F7A"/>
    <w:rsid w:val="00855FDF"/>
    <w:rsid w:val="008568C7"/>
    <w:rsid w:val="00856CB4"/>
    <w:rsid w:val="00857816"/>
    <w:rsid w:val="00857947"/>
    <w:rsid w:val="00857B8E"/>
    <w:rsid w:val="0086082D"/>
    <w:rsid w:val="00861660"/>
    <w:rsid w:val="0086178B"/>
    <w:rsid w:val="00861A16"/>
    <w:rsid w:val="00861F4B"/>
    <w:rsid w:val="008622BD"/>
    <w:rsid w:val="0086269B"/>
    <w:rsid w:val="00862A28"/>
    <w:rsid w:val="00863CF7"/>
    <w:rsid w:val="00863F45"/>
    <w:rsid w:val="00864DA5"/>
    <w:rsid w:val="00864F91"/>
    <w:rsid w:val="00865EE5"/>
    <w:rsid w:val="00866392"/>
    <w:rsid w:val="00866431"/>
    <w:rsid w:val="00866DDE"/>
    <w:rsid w:val="00866F8E"/>
    <w:rsid w:val="00866FA5"/>
    <w:rsid w:val="008672C3"/>
    <w:rsid w:val="008672EF"/>
    <w:rsid w:val="008676DD"/>
    <w:rsid w:val="00867B35"/>
    <w:rsid w:val="00867C01"/>
    <w:rsid w:val="008701B8"/>
    <w:rsid w:val="008703E6"/>
    <w:rsid w:val="00870B3A"/>
    <w:rsid w:val="00871400"/>
    <w:rsid w:val="0087185A"/>
    <w:rsid w:val="0087198B"/>
    <w:rsid w:val="00871A09"/>
    <w:rsid w:val="00871C95"/>
    <w:rsid w:val="00871EC1"/>
    <w:rsid w:val="00872681"/>
    <w:rsid w:val="0087321A"/>
    <w:rsid w:val="00873CBF"/>
    <w:rsid w:val="00874321"/>
    <w:rsid w:val="00874D5C"/>
    <w:rsid w:val="00874FA7"/>
    <w:rsid w:val="008759E9"/>
    <w:rsid w:val="00875A69"/>
    <w:rsid w:val="00875A9E"/>
    <w:rsid w:val="008762C9"/>
    <w:rsid w:val="00876699"/>
    <w:rsid w:val="00876B18"/>
    <w:rsid w:val="00876E40"/>
    <w:rsid w:val="008770EB"/>
    <w:rsid w:val="00877F5F"/>
    <w:rsid w:val="008808DC"/>
    <w:rsid w:val="008809E0"/>
    <w:rsid w:val="00880B0F"/>
    <w:rsid w:val="00881322"/>
    <w:rsid w:val="008815A1"/>
    <w:rsid w:val="00881BAF"/>
    <w:rsid w:val="00881D22"/>
    <w:rsid w:val="008820E2"/>
    <w:rsid w:val="008826A2"/>
    <w:rsid w:val="008839B5"/>
    <w:rsid w:val="00883A22"/>
    <w:rsid w:val="00883C2F"/>
    <w:rsid w:val="00883E66"/>
    <w:rsid w:val="00884C09"/>
    <w:rsid w:val="00885323"/>
    <w:rsid w:val="0088548E"/>
    <w:rsid w:val="0088564C"/>
    <w:rsid w:val="00885A32"/>
    <w:rsid w:val="00885C17"/>
    <w:rsid w:val="00885FE1"/>
    <w:rsid w:val="008860EC"/>
    <w:rsid w:val="008864D5"/>
    <w:rsid w:val="00886E10"/>
    <w:rsid w:val="00887082"/>
    <w:rsid w:val="00887D3A"/>
    <w:rsid w:val="00887E96"/>
    <w:rsid w:val="008900B4"/>
    <w:rsid w:val="00890427"/>
    <w:rsid w:val="00890BCF"/>
    <w:rsid w:val="00891387"/>
    <w:rsid w:val="008914D2"/>
    <w:rsid w:val="00891F8D"/>
    <w:rsid w:val="0089227C"/>
    <w:rsid w:val="008926D9"/>
    <w:rsid w:val="0089325D"/>
    <w:rsid w:val="008933F5"/>
    <w:rsid w:val="00893485"/>
    <w:rsid w:val="00893644"/>
    <w:rsid w:val="00893C40"/>
    <w:rsid w:val="00893D59"/>
    <w:rsid w:val="00895340"/>
    <w:rsid w:val="008957BE"/>
    <w:rsid w:val="00897344"/>
    <w:rsid w:val="00897CEC"/>
    <w:rsid w:val="00897D30"/>
    <w:rsid w:val="008A020B"/>
    <w:rsid w:val="008A2816"/>
    <w:rsid w:val="008A2D06"/>
    <w:rsid w:val="008A2E90"/>
    <w:rsid w:val="008A32F1"/>
    <w:rsid w:val="008A36EA"/>
    <w:rsid w:val="008A377E"/>
    <w:rsid w:val="008A42DD"/>
    <w:rsid w:val="008A444B"/>
    <w:rsid w:val="008A460E"/>
    <w:rsid w:val="008A4CEA"/>
    <w:rsid w:val="008A5037"/>
    <w:rsid w:val="008A59A2"/>
    <w:rsid w:val="008A5DEC"/>
    <w:rsid w:val="008A5FC5"/>
    <w:rsid w:val="008A6655"/>
    <w:rsid w:val="008A71EC"/>
    <w:rsid w:val="008A72F0"/>
    <w:rsid w:val="008A7380"/>
    <w:rsid w:val="008A7D8A"/>
    <w:rsid w:val="008B0047"/>
    <w:rsid w:val="008B05F3"/>
    <w:rsid w:val="008B0AA1"/>
    <w:rsid w:val="008B0D70"/>
    <w:rsid w:val="008B0E0D"/>
    <w:rsid w:val="008B0E5F"/>
    <w:rsid w:val="008B0F4E"/>
    <w:rsid w:val="008B136A"/>
    <w:rsid w:val="008B1ED0"/>
    <w:rsid w:val="008B1F88"/>
    <w:rsid w:val="008B2E74"/>
    <w:rsid w:val="008B3272"/>
    <w:rsid w:val="008B35BC"/>
    <w:rsid w:val="008B3656"/>
    <w:rsid w:val="008B3A7F"/>
    <w:rsid w:val="008B3D38"/>
    <w:rsid w:val="008B3DC3"/>
    <w:rsid w:val="008B3E5B"/>
    <w:rsid w:val="008B3F88"/>
    <w:rsid w:val="008B422D"/>
    <w:rsid w:val="008B4951"/>
    <w:rsid w:val="008B668F"/>
    <w:rsid w:val="008B6D84"/>
    <w:rsid w:val="008B6DF1"/>
    <w:rsid w:val="008B7422"/>
    <w:rsid w:val="008B77A6"/>
    <w:rsid w:val="008B7ADE"/>
    <w:rsid w:val="008B7BBC"/>
    <w:rsid w:val="008C0533"/>
    <w:rsid w:val="008C13F3"/>
    <w:rsid w:val="008C14B6"/>
    <w:rsid w:val="008C1A9D"/>
    <w:rsid w:val="008C304C"/>
    <w:rsid w:val="008C3512"/>
    <w:rsid w:val="008C37EE"/>
    <w:rsid w:val="008C39B4"/>
    <w:rsid w:val="008C3B57"/>
    <w:rsid w:val="008C3F2D"/>
    <w:rsid w:val="008C438B"/>
    <w:rsid w:val="008C5105"/>
    <w:rsid w:val="008C5692"/>
    <w:rsid w:val="008C58A5"/>
    <w:rsid w:val="008C6026"/>
    <w:rsid w:val="008C61B8"/>
    <w:rsid w:val="008C6E61"/>
    <w:rsid w:val="008C6E67"/>
    <w:rsid w:val="008C7B30"/>
    <w:rsid w:val="008C7E82"/>
    <w:rsid w:val="008C7F21"/>
    <w:rsid w:val="008D0626"/>
    <w:rsid w:val="008D06D6"/>
    <w:rsid w:val="008D085C"/>
    <w:rsid w:val="008D1727"/>
    <w:rsid w:val="008D1C71"/>
    <w:rsid w:val="008D2851"/>
    <w:rsid w:val="008D2D05"/>
    <w:rsid w:val="008D2F09"/>
    <w:rsid w:val="008D349E"/>
    <w:rsid w:val="008D42F2"/>
    <w:rsid w:val="008D4CA5"/>
    <w:rsid w:val="008D510C"/>
    <w:rsid w:val="008D561E"/>
    <w:rsid w:val="008D57A3"/>
    <w:rsid w:val="008D5981"/>
    <w:rsid w:val="008D614A"/>
    <w:rsid w:val="008D7A10"/>
    <w:rsid w:val="008D7AAF"/>
    <w:rsid w:val="008D7AC2"/>
    <w:rsid w:val="008D7C2D"/>
    <w:rsid w:val="008E0174"/>
    <w:rsid w:val="008E1581"/>
    <w:rsid w:val="008E16B7"/>
    <w:rsid w:val="008E1886"/>
    <w:rsid w:val="008E18AF"/>
    <w:rsid w:val="008E1E2C"/>
    <w:rsid w:val="008E20F2"/>
    <w:rsid w:val="008E265D"/>
    <w:rsid w:val="008E2DC4"/>
    <w:rsid w:val="008E2EA1"/>
    <w:rsid w:val="008E306C"/>
    <w:rsid w:val="008E31F0"/>
    <w:rsid w:val="008E3BC5"/>
    <w:rsid w:val="008E4634"/>
    <w:rsid w:val="008E4DA6"/>
    <w:rsid w:val="008E572E"/>
    <w:rsid w:val="008E6042"/>
    <w:rsid w:val="008E6079"/>
    <w:rsid w:val="008E6741"/>
    <w:rsid w:val="008E677F"/>
    <w:rsid w:val="008E6F23"/>
    <w:rsid w:val="008E7000"/>
    <w:rsid w:val="008E76FD"/>
    <w:rsid w:val="008E7C66"/>
    <w:rsid w:val="008F0D0B"/>
    <w:rsid w:val="008F1665"/>
    <w:rsid w:val="008F17C6"/>
    <w:rsid w:val="008F1C76"/>
    <w:rsid w:val="008F1CAF"/>
    <w:rsid w:val="008F23CC"/>
    <w:rsid w:val="008F2BAA"/>
    <w:rsid w:val="008F2DDE"/>
    <w:rsid w:val="008F37B1"/>
    <w:rsid w:val="008F3B8C"/>
    <w:rsid w:val="008F3C14"/>
    <w:rsid w:val="008F4719"/>
    <w:rsid w:val="008F472C"/>
    <w:rsid w:val="008F590C"/>
    <w:rsid w:val="008F5A3E"/>
    <w:rsid w:val="008F5C18"/>
    <w:rsid w:val="008F64F2"/>
    <w:rsid w:val="008F7AE7"/>
    <w:rsid w:val="008F7C62"/>
    <w:rsid w:val="00900044"/>
    <w:rsid w:val="0090052B"/>
    <w:rsid w:val="00900CB1"/>
    <w:rsid w:val="009029DD"/>
    <w:rsid w:val="0090301E"/>
    <w:rsid w:val="0090361F"/>
    <w:rsid w:val="00903D2E"/>
    <w:rsid w:val="00904079"/>
    <w:rsid w:val="00904472"/>
    <w:rsid w:val="0090447C"/>
    <w:rsid w:val="00905206"/>
    <w:rsid w:val="009053E8"/>
    <w:rsid w:val="009065CD"/>
    <w:rsid w:val="0090702F"/>
    <w:rsid w:val="00907329"/>
    <w:rsid w:val="00907964"/>
    <w:rsid w:val="009079C7"/>
    <w:rsid w:val="00907C0F"/>
    <w:rsid w:val="009101A9"/>
    <w:rsid w:val="00910905"/>
    <w:rsid w:val="009109AE"/>
    <w:rsid w:val="00910FBB"/>
    <w:rsid w:val="00911BEB"/>
    <w:rsid w:val="00911E07"/>
    <w:rsid w:val="00912688"/>
    <w:rsid w:val="00913376"/>
    <w:rsid w:val="00913621"/>
    <w:rsid w:val="00913E5E"/>
    <w:rsid w:val="00913E82"/>
    <w:rsid w:val="00914198"/>
    <w:rsid w:val="009142E0"/>
    <w:rsid w:val="00914797"/>
    <w:rsid w:val="00915250"/>
    <w:rsid w:val="00915B98"/>
    <w:rsid w:val="00916CF2"/>
    <w:rsid w:val="0091714F"/>
    <w:rsid w:val="009174FE"/>
    <w:rsid w:val="00917B82"/>
    <w:rsid w:val="00917EB4"/>
    <w:rsid w:val="00920330"/>
    <w:rsid w:val="009209DD"/>
    <w:rsid w:val="009213D8"/>
    <w:rsid w:val="00922303"/>
    <w:rsid w:val="0092233A"/>
    <w:rsid w:val="00922A26"/>
    <w:rsid w:val="009231B5"/>
    <w:rsid w:val="00923C73"/>
    <w:rsid w:val="009242D0"/>
    <w:rsid w:val="00924EF3"/>
    <w:rsid w:val="00924F3E"/>
    <w:rsid w:val="00926259"/>
    <w:rsid w:val="009266DD"/>
    <w:rsid w:val="00926A3D"/>
    <w:rsid w:val="00926D6D"/>
    <w:rsid w:val="00926FC8"/>
    <w:rsid w:val="00927146"/>
    <w:rsid w:val="0092722B"/>
    <w:rsid w:val="0092770C"/>
    <w:rsid w:val="00927838"/>
    <w:rsid w:val="00927C75"/>
    <w:rsid w:val="0093052D"/>
    <w:rsid w:val="0093125D"/>
    <w:rsid w:val="0093135B"/>
    <w:rsid w:val="009321A6"/>
    <w:rsid w:val="0093221C"/>
    <w:rsid w:val="00933251"/>
    <w:rsid w:val="009332E3"/>
    <w:rsid w:val="0093370E"/>
    <w:rsid w:val="00933827"/>
    <w:rsid w:val="00933982"/>
    <w:rsid w:val="00933D40"/>
    <w:rsid w:val="00934325"/>
    <w:rsid w:val="00934F8D"/>
    <w:rsid w:val="009356C1"/>
    <w:rsid w:val="00935D63"/>
    <w:rsid w:val="00935F1D"/>
    <w:rsid w:val="009363C4"/>
    <w:rsid w:val="009368E6"/>
    <w:rsid w:val="00936978"/>
    <w:rsid w:val="00936C44"/>
    <w:rsid w:val="0093705E"/>
    <w:rsid w:val="009371D8"/>
    <w:rsid w:val="00937215"/>
    <w:rsid w:val="00937E7C"/>
    <w:rsid w:val="00937F01"/>
    <w:rsid w:val="0094081C"/>
    <w:rsid w:val="00940B30"/>
    <w:rsid w:val="00940E57"/>
    <w:rsid w:val="0094108D"/>
    <w:rsid w:val="00941850"/>
    <w:rsid w:val="00941FE9"/>
    <w:rsid w:val="009421AE"/>
    <w:rsid w:val="009422E3"/>
    <w:rsid w:val="00942554"/>
    <w:rsid w:val="00942AFA"/>
    <w:rsid w:val="00943925"/>
    <w:rsid w:val="00943E46"/>
    <w:rsid w:val="009441D5"/>
    <w:rsid w:val="00944C93"/>
    <w:rsid w:val="009459EC"/>
    <w:rsid w:val="00945D81"/>
    <w:rsid w:val="009462AC"/>
    <w:rsid w:val="009462E1"/>
    <w:rsid w:val="009462F4"/>
    <w:rsid w:val="00947213"/>
    <w:rsid w:val="0094729C"/>
    <w:rsid w:val="009475A6"/>
    <w:rsid w:val="009478B5"/>
    <w:rsid w:val="00950DEF"/>
    <w:rsid w:val="00950FA2"/>
    <w:rsid w:val="0095108F"/>
    <w:rsid w:val="009512DB"/>
    <w:rsid w:val="00951323"/>
    <w:rsid w:val="0095178F"/>
    <w:rsid w:val="00951952"/>
    <w:rsid w:val="00951E7C"/>
    <w:rsid w:val="00951F49"/>
    <w:rsid w:val="00952125"/>
    <w:rsid w:val="00952A1E"/>
    <w:rsid w:val="009530F7"/>
    <w:rsid w:val="009531FC"/>
    <w:rsid w:val="00953BD4"/>
    <w:rsid w:val="0095477E"/>
    <w:rsid w:val="009548DE"/>
    <w:rsid w:val="00954E4E"/>
    <w:rsid w:val="00954F89"/>
    <w:rsid w:val="0095518C"/>
    <w:rsid w:val="009556D5"/>
    <w:rsid w:val="00955A2C"/>
    <w:rsid w:val="00955FA4"/>
    <w:rsid w:val="0095635F"/>
    <w:rsid w:val="00957A90"/>
    <w:rsid w:val="00957AE4"/>
    <w:rsid w:val="00960CE5"/>
    <w:rsid w:val="00960F19"/>
    <w:rsid w:val="00963510"/>
    <w:rsid w:val="00964067"/>
    <w:rsid w:val="00964517"/>
    <w:rsid w:val="009647DE"/>
    <w:rsid w:val="009662CE"/>
    <w:rsid w:val="0096683D"/>
    <w:rsid w:val="00966863"/>
    <w:rsid w:val="00966B8C"/>
    <w:rsid w:val="00966F4E"/>
    <w:rsid w:val="00967691"/>
    <w:rsid w:val="00970687"/>
    <w:rsid w:val="009706FB"/>
    <w:rsid w:val="00970832"/>
    <w:rsid w:val="00970AD1"/>
    <w:rsid w:val="00970B44"/>
    <w:rsid w:val="009719B0"/>
    <w:rsid w:val="0097291E"/>
    <w:rsid w:val="00972B29"/>
    <w:rsid w:val="00972CEE"/>
    <w:rsid w:val="0097307C"/>
    <w:rsid w:val="0097393B"/>
    <w:rsid w:val="00973988"/>
    <w:rsid w:val="00973F3E"/>
    <w:rsid w:val="009740BC"/>
    <w:rsid w:val="0097410E"/>
    <w:rsid w:val="009743AE"/>
    <w:rsid w:val="009743F6"/>
    <w:rsid w:val="009746B7"/>
    <w:rsid w:val="00974A2F"/>
    <w:rsid w:val="0097588E"/>
    <w:rsid w:val="00975FA7"/>
    <w:rsid w:val="00976050"/>
    <w:rsid w:val="00976349"/>
    <w:rsid w:val="00976552"/>
    <w:rsid w:val="00976BFC"/>
    <w:rsid w:val="00976C3C"/>
    <w:rsid w:val="00976DAB"/>
    <w:rsid w:val="00977710"/>
    <w:rsid w:val="0098002B"/>
    <w:rsid w:val="0098006B"/>
    <w:rsid w:val="009804C6"/>
    <w:rsid w:val="00980515"/>
    <w:rsid w:val="009809CF"/>
    <w:rsid w:val="00981F1C"/>
    <w:rsid w:val="00982334"/>
    <w:rsid w:val="009824EB"/>
    <w:rsid w:val="009826DD"/>
    <w:rsid w:val="00982834"/>
    <w:rsid w:val="00982DEA"/>
    <w:rsid w:val="00984116"/>
    <w:rsid w:val="00984455"/>
    <w:rsid w:val="009844B3"/>
    <w:rsid w:val="00984844"/>
    <w:rsid w:val="00984A31"/>
    <w:rsid w:val="00984E1F"/>
    <w:rsid w:val="00984E50"/>
    <w:rsid w:val="0098557B"/>
    <w:rsid w:val="00985A0B"/>
    <w:rsid w:val="00985E24"/>
    <w:rsid w:val="009866E4"/>
    <w:rsid w:val="0098675D"/>
    <w:rsid w:val="00987AE5"/>
    <w:rsid w:val="00987C6C"/>
    <w:rsid w:val="00987E4A"/>
    <w:rsid w:val="00987E50"/>
    <w:rsid w:val="00990424"/>
    <w:rsid w:val="009909F8"/>
    <w:rsid w:val="00990B09"/>
    <w:rsid w:val="00990B46"/>
    <w:rsid w:val="00990C0F"/>
    <w:rsid w:val="00990D27"/>
    <w:rsid w:val="0099106B"/>
    <w:rsid w:val="0099197C"/>
    <w:rsid w:val="00991FF6"/>
    <w:rsid w:val="00992566"/>
    <w:rsid w:val="009937DC"/>
    <w:rsid w:val="00994639"/>
    <w:rsid w:val="009947D3"/>
    <w:rsid w:val="009949EF"/>
    <w:rsid w:val="00994F4D"/>
    <w:rsid w:val="0099573A"/>
    <w:rsid w:val="00995B22"/>
    <w:rsid w:val="00995E98"/>
    <w:rsid w:val="00995F1E"/>
    <w:rsid w:val="0099623B"/>
    <w:rsid w:val="009962F5"/>
    <w:rsid w:val="0099634C"/>
    <w:rsid w:val="00996737"/>
    <w:rsid w:val="0099693B"/>
    <w:rsid w:val="00996E31"/>
    <w:rsid w:val="00997895"/>
    <w:rsid w:val="00997BC5"/>
    <w:rsid w:val="00997E70"/>
    <w:rsid w:val="00997FBB"/>
    <w:rsid w:val="009A01A7"/>
    <w:rsid w:val="009A0953"/>
    <w:rsid w:val="009A14BC"/>
    <w:rsid w:val="009A18F1"/>
    <w:rsid w:val="009A3B79"/>
    <w:rsid w:val="009A4027"/>
    <w:rsid w:val="009A4512"/>
    <w:rsid w:val="009A4CAC"/>
    <w:rsid w:val="009A4E14"/>
    <w:rsid w:val="009A563C"/>
    <w:rsid w:val="009A5C61"/>
    <w:rsid w:val="009A5FBA"/>
    <w:rsid w:val="009A6166"/>
    <w:rsid w:val="009A6625"/>
    <w:rsid w:val="009A6BE8"/>
    <w:rsid w:val="009A7229"/>
    <w:rsid w:val="009A7490"/>
    <w:rsid w:val="009A7923"/>
    <w:rsid w:val="009A79C2"/>
    <w:rsid w:val="009A7DBF"/>
    <w:rsid w:val="009A7F2E"/>
    <w:rsid w:val="009B049B"/>
    <w:rsid w:val="009B0B12"/>
    <w:rsid w:val="009B0F5C"/>
    <w:rsid w:val="009B0FB1"/>
    <w:rsid w:val="009B0FED"/>
    <w:rsid w:val="009B1033"/>
    <w:rsid w:val="009B155F"/>
    <w:rsid w:val="009B183E"/>
    <w:rsid w:val="009B1D35"/>
    <w:rsid w:val="009B24B2"/>
    <w:rsid w:val="009B28F1"/>
    <w:rsid w:val="009B291E"/>
    <w:rsid w:val="009B3105"/>
    <w:rsid w:val="009B3110"/>
    <w:rsid w:val="009B3DB5"/>
    <w:rsid w:val="009B3E85"/>
    <w:rsid w:val="009B4FE2"/>
    <w:rsid w:val="009B5060"/>
    <w:rsid w:val="009B5794"/>
    <w:rsid w:val="009B5C6A"/>
    <w:rsid w:val="009B5EE0"/>
    <w:rsid w:val="009B6519"/>
    <w:rsid w:val="009B6957"/>
    <w:rsid w:val="009B72C5"/>
    <w:rsid w:val="009B7389"/>
    <w:rsid w:val="009B7A06"/>
    <w:rsid w:val="009C0333"/>
    <w:rsid w:val="009C073C"/>
    <w:rsid w:val="009C09F5"/>
    <w:rsid w:val="009C10FA"/>
    <w:rsid w:val="009C152B"/>
    <w:rsid w:val="009C1883"/>
    <w:rsid w:val="009C1E47"/>
    <w:rsid w:val="009C2235"/>
    <w:rsid w:val="009C2C67"/>
    <w:rsid w:val="009C2CA5"/>
    <w:rsid w:val="009C333E"/>
    <w:rsid w:val="009C3E2D"/>
    <w:rsid w:val="009C43C4"/>
    <w:rsid w:val="009C48D9"/>
    <w:rsid w:val="009C4F39"/>
    <w:rsid w:val="009C518C"/>
    <w:rsid w:val="009C5CC3"/>
    <w:rsid w:val="009C601E"/>
    <w:rsid w:val="009C67A5"/>
    <w:rsid w:val="009C6B0D"/>
    <w:rsid w:val="009C708A"/>
    <w:rsid w:val="009C7194"/>
    <w:rsid w:val="009C74CC"/>
    <w:rsid w:val="009C7B94"/>
    <w:rsid w:val="009C7C1D"/>
    <w:rsid w:val="009D058F"/>
    <w:rsid w:val="009D08A0"/>
    <w:rsid w:val="009D0949"/>
    <w:rsid w:val="009D1104"/>
    <w:rsid w:val="009D17C8"/>
    <w:rsid w:val="009D229B"/>
    <w:rsid w:val="009D27E2"/>
    <w:rsid w:val="009D2D6A"/>
    <w:rsid w:val="009D33AE"/>
    <w:rsid w:val="009D3427"/>
    <w:rsid w:val="009D376C"/>
    <w:rsid w:val="009D3B23"/>
    <w:rsid w:val="009D4613"/>
    <w:rsid w:val="009D46E9"/>
    <w:rsid w:val="009D46EA"/>
    <w:rsid w:val="009D4F90"/>
    <w:rsid w:val="009D51EC"/>
    <w:rsid w:val="009D5EC2"/>
    <w:rsid w:val="009D65A2"/>
    <w:rsid w:val="009D69E4"/>
    <w:rsid w:val="009D6A99"/>
    <w:rsid w:val="009D6C26"/>
    <w:rsid w:val="009D6F14"/>
    <w:rsid w:val="009D6F51"/>
    <w:rsid w:val="009D715A"/>
    <w:rsid w:val="009D74B3"/>
    <w:rsid w:val="009D7DAA"/>
    <w:rsid w:val="009E0913"/>
    <w:rsid w:val="009E1013"/>
    <w:rsid w:val="009E1B7E"/>
    <w:rsid w:val="009E2471"/>
    <w:rsid w:val="009E3D3A"/>
    <w:rsid w:val="009E5E9A"/>
    <w:rsid w:val="009E619B"/>
    <w:rsid w:val="009E64A2"/>
    <w:rsid w:val="009E68F7"/>
    <w:rsid w:val="009E6AC2"/>
    <w:rsid w:val="009E6CD3"/>
    <w:rsid w:val="009E6EBB"/>
    <w:rsid w:val="009E6FDE"/>
    <w:rsid w:val="009E7094"/>
    <w:rsid w:val="009E7A43"/>
    <w:rsid w:val="009E7C9F"/>
    <w:rsid w:val="009E7DCA"/>
    <w:rsid w:val="009F015D"/>
    <w:rsid w:val="009F0248"/>
    <w:rsid w:val="009F0F32"/>
    <w:rsid w:val="009F140D"/>
    <w:rsid w:val="009F1861"/>
    <w:rsid w:val="009F1A6D"/>
    <w:rsid w:val="009F1BE2"/>
    <w:rsid w:val="009F1D48"/>
    <w:rsid w:val="009F1EE7"/>
    <w:rsid w:val="009F2AFD"/>
    <w:rsid w:val="009F39C0"/>
    <w:rsid w:val="009F39DB"/>
    <w:rsid w:val="009F3AAB"/>
    <w:rsid w:val="009F434D"/>
    <w:rsid w:val="009F4526"/>
    <w:rsid w:val="009F45B3"/>
    <w:rsid w:val="009F54B9"/>
    <w:rsid w:val="009F58A0"/>
    <w:rsid w:val="009F5ABD"/>
    <w:rsid w:val="009F5D68"/>
    <w:rsid w:val="009F5F2C"/>
    <w:rsid w:val="009F6014"/>
    <w:rsid w:val="009F64B7"/>
    <w:rsid w:val="009F65E1"/>
    <w:rsid w:val="009F6891"/>
    <w:rsid w:val="009F7137"/>
    <w:rsid w:val="00A0123E"/>
    <w:rsid w:val="00A012C5"/>
    <w:rsid w:val="00A01614"/>
    <w:rsid w:val="00A01837"/>
    <w:rsid w:val="00A019B3"/>
    <w:rsid w:val="00A01D9D"/>
    <w:rsid w:val="00A01F70"/>
    <w:rsid w:val="00A0210E"/>
    <w:rsid w:val="00A029F7"/>
    <w:rsid w:val="00A02D03"/>
    <w:rsid w:val="00A02F5D"/>
    <w:rsid w:val="00A033E2"/>
    <w:rsid w:val="00A0383D"/>
    <w:rsid w:val="00A03A05"/>
    <w:rsid w:val="00A03A74"/>
    <w:rsid w:val="00A03F26"/>
    <w:rsid w:val="00A045D4"/>
    <w:rsid w:val="00A046BD"/>
    <w:rsid w:val="00A05335"/>
    <w:rsid w:val="00A05A3C"/>
    <w:rsid w:val="00A066DD"/>
    <w:rsid w:val="00A06933"/>
    <w:rsid w:val="00A06C37"/>
    <w:rsid w:val="00A07444"/>
    <w:rsid w:val="00A07C63"/>
    <w:rsid w:val="00A07F16"/>
    <w:rsid w:val="00A10C02"/>
    <w:rsid w:val="00A1136D"/>
    <w:rsid w:val="00A1140F"/>
    <w:rsid w:val="00A11686"/>
    <w:rsid w:val="00A117C4"/>
    <w:rsid w:val="00A119B1"/>
    <w:rsid w:val="00A11B5F"/>
    <w:rsid w:val="00A11BB4"/>
    <w:rsid w:val="00A12654"/>
    <w:rsid w:val="00A12756"/>
    <w:rsid w:val="00A12D88"/>
    <w:rsid w:val="00A130B9"/>
    <w:rsid w:val="00A133F3"/>
    <w:rsid w:val="00A134AD"/>
    <w:rsid w:val="00A134FC"/>
    <w:rsid w:val="00A135CA"/>
    <w:rsid w:val="00A13B25"/>
    <w:rsid w:val="00A13DD2"/>
    <w:rsid w:val="00A14189"/>
    <w:rsid w:val="00A14ABF"/>
    <w:rsid w:val="00A14E1A"/>
    <w:rsid w:val="00A1553D"/>
    <w:rsid w:val="00A15806"/>
    <w:rsid w:val="00A15F1C"/>
    <w:rsid w:val="00A1614F"/>
    <w:rsid w:val="00A1629F"/>
    <w:rsid w:val="00A16619"/>
    <w:rsid w:val="00A17476"/>
    <w:rsid w:val="00A2064A"/>
    <w:rsid w:val="00A21CEE"/>
    <w:rsid w:val="00A224A3"/>
    <w:rsid w:val="00A227BB"/>
    <w:rsid w:val="00A22B3F"/>
    <w:rsid w:val="00A22CBB"/>
    <w:rsid w:val="00A22E6E"/>
    <w:rsid w:val="00A23181"/>
    <w:rsid w:val="00A23554"/>
    <w:rsid w:val="00A23BA6"/>
    <w:rsid w:val="00A249BC"/>
    <w:rsid w:val="00A24E8B"/>
    <w:rsid w:val="00A25470"/>
    <w:rsid w:val="00A25909"/>
    <w:rsid w:val="00A26839"/>
    <w:rsid w:val="00A272F7"/>
    <w:rsid w:val="00A273D7"/>
    <w:rsid w:val="00A27DBD"/>
    <w:rsid w:val="00A302F1"/>
    <w:rsid w:val="00A314A0"/>
    <w:rsid w:val="00A32377"/>
    <w:rsid w:val="00A32A89"/>
    <w:rsid w:val="00A32CE7"/>
    <w:rsid w:val="00A33A57"/>
    <w:rsid w:val="00A33C2C"/>
    <w:rsid w:val="00A33C5B"/>
    <w:rsid w:val="00A33D9B"/>
    <w:rsid w:val="00A34AF6"/>
    <w:rsid w:val="00A34D67"/>
    <w:rsid w:val="00A35C37"/>
    <w:rsid w:val="00A35E12"/>
    <w:rsid w:val="00A36BD9"/>
    <w:rsid w:val="00A376B0"/>
    <w:rsid w:val="00A37789"/>
    <w:rsid w:val="00A401FD"/>
    <w:rsid w:val="00A40561"/>
    <w:rsid w:val="00A40F77"/>
    <w:rsid w:val="00A41015"/>
    <w:rsid w:val="00A413EF"/>
    <w:rsid w:val="00A4206C"/>
    <w:rsid w:val="00A42156"/>
    <w:rsid w:val="00A42570"/>
    <w:rsid w:val="00A43713"/>
    <w:rsid w:val="00A43D84"/>
    <w:rsid w:val="00A43E3F"/>
    <w:rsid w:val="00A445ED"/>
    <w:rsid w:val="00A44B08"/>
    <w:rsid w:val="00A44ED3"/>
    <w:rsid w:val="00A45ACE"/>
    <w:rsid w:val="00A461C1"/>
    <w:rsid w:val="00A46282"/>
    <w:rsid w:val="00A466B9"/>
    <w:rsid w:val="00A46E99"/>
    <w:rsid w:val="00A47C4A"/>
    <w:rsid w:val="00A47E38"/>
    <w:rsid w:val="00A50E43"/>
    <w:rsid w:val="00A514F8"/>
    <w:rsid w:val="00A515F1"/>
    <w:rsid w:val="00A51C99"/>
    <w:rsid w:val="00A5218F"/>
    <w:rsid w:val="00A531AD"/>
    <w:rsid w:val="00A54597"/>
    <w:rsid w:val="00A55323"/>
    <w:rsid w:val="00A55565"/>
    <w:rsid w:val="00A559B4"/>
    <w:rsid w:val="00A55B8F"/>
    <w:rsid w:val="00A56176"/>
    <w:rsid w:val="00A56C54"/>
    <w:rsid w:val="00A56DFC"/>
    <w:rsid w:val="00A56EEF"/>
    <w:rsid w:val="00A56FBA"/>
    <w:rsid w:val="00A57A7B"/>
    <w:rsid w:val="00A602E1"/>
    <w:rsid w:val="00A60A20"/>
    <w:rsid w:val="00A61A7D"/>
    <w:rsid w:val="00A61BAC"/>
    <w:rsid w:val="00A61E76"/>
    <w:rsid w:val="00A62791"/>
    <w:rsid w:val="00A63499"/>
    <w:rsid w:val="00A6389E"/>
    <w:rsid w:val="00A64BD4"/>
    <w:rsid w:val="00A654B8"/>
    <w:rsid w:val="00A657B3"/>
    <w:rsid w:val="00A66300"/>
    <w:rsid w:val="00A6791F"/>
    <w:rsid w:val="00A701C1"/>
    <w:rsid w:val="00A706EA"/>
    <w:rsid w:val="00A7141A"/>
    <w:rsid w:val="00A7196C"/>
    <w:rsid w:val="00A72BF3"/>
    <w:rsid w:val="00A72E32"/>
    <w:rsid w:val="00A7343A"/>
    <w:rsid w:val="00A73805"/>
    <w:rsid w:val="00A73EED"/>
    <w:rsid w:val="00A74165"/>
    <w:rsid w:val="00A74CC0"/>
    <w:rsid w:val="00A74E9D"/>
    <w:rsid w:val="00A74FA3"/>
    <w:rsid w:val="00A756DB"/>
    <w:rsid w:val="00A75C35"/>
    <w:rsid w:val="00A75E79"/>
    <w:rsid w:val="00A75F67"/>
    <w:rsid w:val="00A76144"/>
    <w:rsid w:val="00A76D1C"/>
    <w:rsid w:val="00A77296"/>
    <w:rsid w:val="00A77504"/>
    <w:rsid w:val="00A77DDC"/>
    <w:rsid w:val="00A77F91"/>
    <w:rsid w:val="00A804CD"/>
    <w:rsid w:val="00A8082C"/>
    <w:rsid w:val="00A80A69"/>
    <w:rsid w:val="00A8106B"/>
    <w:rsid w:val="00A81858"/>
    <w:rsid w:val="00A826C0"/>
    <w:rsid w:val="00A82BC2"/>
    <w:rsid w:val="00A82F60"/>
    <w:rsid w:val="00A8309D"/>
    <w:rsid w:val="00A83121"/>
    <w:rsid w:val="00A83352"/>
    <w:rsid w:val="00A8335A"/>
    <w:rsid w:val="00A835FE"/>
    <w:rsid w:val="00A8405F"/>
    <w:rsid w:val="00A84087"/>
    <w:rsid w:val="00A840BA"/>
    <w:rsid w:val="00A840D1"/>
    <w:rsid w:val="00A84FDC"/>
    <w:rsid w:val="00A8599D"/>
    <w:rsid w:val="00A86215"/>
    <w:rsid w:val="00A86410"/>
    <w:rsid w:val="00A86465"/>
    <w:rsid w:val="00A8686C"/>
    <w:rsid w:val="00A86A1B"/>
    <w:rsid w:val="00A86B45"/>
    <w:rsid w:val="00A871AA"/>
    <w:rsid w:val="00A87D4C"/>
    <w:rsid w:val="00A87F62"/>
    <w:rsid w:val="00A901EC"/>
    <w:rsid w:val="00A91063"/>
    <w:rsid w:val="00A91093"/>
    <w:rsid w:val="00A916F2"/>
    <w:rsid w:val="00A91C92"/>
    <w:rsid w:val="00A91E0E"/>
    <w:rsid w:val="00A929C8"/>
    <w:rsid w:val="00A92AD1"/>
    <w:rsid w:val="00A9302B"/>
    <w:rsid w:val="00A93A68"/>
    <w:rsid w:val="00A93B19"/>
    <w:rsid w:val="00A93F9B"/>
    <w:rsid w:val="00A94174"/>
    <w:rsid w:val="00A94965"/>
    <w:rsid w:val="00A949AF"/>
    <w:rsid w:val="00A94CDE"/>
    <w:rsid w:val="00A94F26"/>
    <w:rsid w:val="00A964DB"/>
    <w:rsid w:val="00A96B69"/>
    <w:rsid w:val="00A972C1"/>
    <w:rsid w:val="00A97AE9"/>
    <w:rsid w:val="00A97BDE"/>
    <w:rsid w:val="00A97BEE"/>
    <w:rsid w:val="00A97CF2"/>
    <w:rsid w:val="00AA0632"/>
    <w:rsid w:val="00AA073A"/>
    <w:rsid w:val="00AA0AD5"/>
    <w:rsid w:val="00AA1155"/>
    <w:rsid w:val="00AA2C3B"/>
    <w:rsid w:val="00AA2EDD"/>
    <w:rsid w:val="00AA3BA2"/>
    <w:rsid w:val="00AA401D"/>
    <w:rsid w:val="00AA4759"/>
    <w:rsid w:val="00AA5486"/>
    <w:rsid w:val="00AA583A"/>
    <w:rsid w:val="00AA5B25"/>
    <w:rsid w:val="00AA631A"/>
    <w:rsid w:val="00AA7241"/>
    <w:rsid w:val="00AB0EB9"/>
    <w:rsid w:val="00AB17E9"/>
    <w:rsid w:val="00AB183E"/>
    <w:rsid w:val="00AB2037"/>
    <w:rsid w:val="00AB2B9C"/>
    <w:rsid w:val="00AB32D2"/>
    <w:rsid w:val="00AB37C0"/>
    <w:rsid w:val="00AB42B3"/>
    <w:rsid w:val="00AB5519"/>
    <w:rsid w:val="00AB5F17"/>
    <w:rsid w:val="00AB63B1"/>
    <w:rsid w:val="00AB700C"/>
    <w:rsid w:val="00AB782C"/>
    <w:rsid w:val="00AB798C"/>
    <w:rsid w:val="00AC0191"/>
    <w:rsid w:val="00AC06DA"/>
    <w:rsid w:val="00AC0710"/>
    <w:rsid w:val="00AC0AA5"/>
    <w:rsid w:val="00AC1372"/>
    <w:rsid w:val="00AC159E"/>
    <w:rsid w:val="00AC1638"/>
    <w:rsid w:val="00AC1BE5"/>
    <w:rsid w:val="00AC1DFB"/>
    <w:rsid w:val="00AC1EEA"/>
    <w:rsid w:val="00AC24A3"/>
    <w:rsid w:val="00AC298D"/>
    <w:rsid w:val="00AC2C6D"/>
    <w:rsid w:val="00AC2EA5"/>
    <w:rsid w:val="00AC30AC"/>
    <w:rsid w:val="00AC33CC"/>
    <w:rsid w:val="00AC37CA"/>
    <w:rsid w:val="00AC3A89"/>
    <w:rsid w:val="00AC3D07"/>
    <w:rsid w:val="00AC408A"/>
    <w:rsid w:val="00AC40A4"/>
    <w:rsid w:val="00AC42F0"/>
    <w:rsid w:val="00AC49B3"/>
    <w:rsid w:val="00AC4AE9"/>
    <w:rsid w:val="00AC4C07"/>
    <w:rsid w:val="00AC52D5"/>
    <w:rsid w:val="00AC54B7"/>
    <w:rsid w:val="00AC5E67"/>
    <w:rsid w:val="00AC6201"/>
    <w:rsid w:val="00AC6600"/>
    <w:rsid w:val="00AC696D"/>
    <w:rsid w:val="00AC6B75"/>
    <w:rsid w:val="00AC6D57"/>
    <w:rsid w:val="00AC74B3"/>
    <w:rsid w:val="00AD0259"/>
    <w:rsid w:val="00AD04EB"/>
    <w:rsid w:val="00AD05D7"/>
    <w:rsid w:val="00AD10D4"/>
    <w:rsid w:val="00AD1C3D"/>
    <w:rsid w:val="00AD1DF2"/>
    <w:rsid w:val="00AD20BB"/>
    <w:rsid w:val="00AD43DC"/>
    <w:rsid w:val="00AD5053"/>
    <w:rsid w:val="00AD56C9"/>
    <w:rsid w:val="00AD5CA5"/>
    <w:rsid w:val="00AD5F6A"/>
    <w:rsid w:val="00AD62D5"/>
    <w:rsid w:val="00AD646C"/>
    <w:rsid w:val="00AD6596"/>
    <w:rsid w:val="00AD6E56"/>
    <w:rsid w:val="00AD75DD"/>
    <w:rsid w:val="00AE1AD5"/>
    <w:rsid w:val="00AE251A"/>
    <w:rsid w:val="00AE25C3"/>
    <w:rsid w:val="00AE2D11"/>
    <w:rsid w:val="00AE3DBD"/>
    <w:rsid w:val="00AE3FB1"/>
    <w:rsid w:val="00AE49FF"/>
    <w:rsid w:val="00AE4B8E"/>
    <w:rsid w:val="00AE4ECB"/>
    <w:rsid w:val="00AE505F"/>
    <w:rsid w:val="00AE522F"/>
    <w:rsid w:val="00AE5A53"/>
    <w:rsid w:val="00AE5D4C"/>
    <w:rsid w:val="00AE6AC7"/>
    <w:rsid w:val="00AE6AFF"/>
    <w:rsid w:val="00AE6F57"/>
    <w:rsid w:val="00AE6FDB"/>
    <w:rsid w:val="00AE733D"/>
    <w:rsid w:val="00AE778B"/>
    <w:rsid w:val="00AE7C23"/>
    <w:rsid w:val="00AF064D"/>
    <w:rsid w:val="00AF0F60"/>
    <w:rsid w:val="00AF1458"/>
    <w:rsid w:val="00AF2761"/>
    <w:rsid w:val="00AF2A84"/>
    <w:rsid w:val="00AF2C9F"/>
    <w:rsid w:val="00AF3659"/>
    <w:rsid w:val="00AF406B"/>
    <w:rsid w:val="00AF43A6"/>
    <w:rsid w:val="00AF46AD"/>
    <w:rsid w:val="00AF4F66"/>
    <w:rsid w:val="00AF5814"/>
    <w:rsid w:val="00AF5E6C"/>
    <w:rsid w:val="00AF5EE8"/>
    <w:rsid w:val="00AF6215"/>
    <w:rsid w:val="00AF6265"/>
    <w:rsid w:val="00AF6F89"/>
    <w:rsid w:val="00AF76A0"/>
    <w:rsid w:val="00AF7C60"/>
    <w:rsid w:val="00AF7E20"/>
    <w:rsid w:val="00B00251"/>
    <w:rsid w:val="00B00355"/>
    <w:rsid w:val="00B005B1"/>
    <w:rsid w:val="00B00804"/>
    <w:rsid w:val="00B00A17"/>
    <w:rsid w:val="00B00D3E"/>
    <w:rsid w:val="00B00DF9"/>
    <w:rsid w:val="00B01B15"/>
    <w:rsid w:val="00B01E28"/>
    <w:rsid w:val="00B01E7E"/>
    <w:rsid w:val="00B02240"/>
    <w:rsid w:val="00B02252"/>
    <w:rsid w:val="00B02A54"/>
    <w:rsid w:val="00B02D2E"/>
    <w:rsid w:val="00B05411"/>
    <w:rsid w:val="00B0586F"/>
    <w:rsid w:val="00B05E74"/>
    <w:rsid w:val="00B05FAD"/>
    <w:rsid w:val="00B064F9"/>
    <w:rsid w:val="00B073FA"/>
    <w:rsid w:val="00B0776D"/>
    <w:rsid w:val="00B102A2"/>
    <w:rsid w:val="00B105F5"/>
    <w:rsid w:val="00B108C5"/>
    <w:rsid w:val="00B10BCD"/>
    <w:rsid w:val="00B10C27"/>
    <w:rsid w:val="00B10D60"/>
    <w:rsid w:val="00B10F49"/>
    <w:rsid w:val="00B11749"/>
    <w:rsid w:val="00B11774"/>
    <w:rsid w:val="00B11A85"/>
    <w:rsid w:val="00B11ED4"/>
    <w:rsid w:val="00B11F13"/>
    <w:rsid w:val="00B12415"/>
    <w:rsid w:val="00B12E1B"/>
    <w:rsid w:val="00B130BE"/>
    <w:rsid w:val="00B13746"/>
    <w:rsid w:val="00B137B8"/>
    <w:rsid w:val="00B13957"/>
    <w:rsid w:val="00B13A92"/>
    <w:rsid w:val="00B1466E"/>
    <w:rsid w:val="00B14D5D"/>
    <w:rsid w:val="00B15346"/>
    <w:rsid w:val="00B154F3"/>
    <w:rsid w:val="00B16AE7"/>
    <w:rsid w:val="00B16C37"/>
    <w:rsid w:val="00B17850"/>
    <w:rsid w:val="00B200E7"/>
    <w:rsid w:val="00B205B4"/>
    <w:rsid w:val="00B20695"/>
    <w:rsid w:val="00B20B88"/>
    <w:rsid w:val="00B21128"/>
    <w:rsid w:val="00B213E6"/>
    <w:rsid w:val="00B2161D"/>
    <w:rsid w:val="00B21BCF"/>
    <w:rsid w:val="00B22AE2"/>
    <w:rsid w:val="00B22B1A"/>
    <w:rsid w:val="00B22DEB"/>
    <w:rsid w:val="00B233E3"/>
    <w:rsid w:val="00B23958"/>
    <w:rsid w:val="00B243F5"/>
    <w:rsid w:val="00B24B11"/>
    <w:rsid w:val="00B25DC0"/>
    <w:rsid w:val="00B25F00"/>
    <w:rsid w:val="00B261B5"/>
    <w:rsid w:val="00B261BF"/>
    <w:rsid w:val="00B266A3"/>
    <w:rsid w:val="00B268F4"/>
    <w:rsid w:val="00B2702A"/>
    <w:rsid w:val="00B2724D"/>
    <w:rsid w:val="00B272CC"/>
    <w:rsid w:val="00B27962"/>
    <w:rsid w:val="00B27A0D"/>
    <w:rsid w:val="00B27F59"/>
    <w:rsid w:val="00B30159"/>
    <w:rsid w:val="00B30A5D"/>
    <w:rsid w:val="00B30D82"/>
    <w:rsid w:val="00B3135A"/>
    <w:rsid w:val="00B313E5"/>
    <w:rsid w:val="00B328D8"/>
    <w:rsid w:val="00B329A2"/>
    <w:rsid w:val="00B330FB"/>
    <w:rsid w:val="00B3328D"/>
    <w:rsid w:val="00B338BA"/>
    <w:rsid w:val="00B33D5F"/>
    <w:rsid w:val="00B33FAC"/>
    <w:rsid w:val="00B343A2"/>
    <w:rsid w:val="00B34B0A"/>
    <w:rsid w:val="00B34DB7"/>
    <w:rsid w:val="00B35011"/>
    <w:rsid w:val="00B3536B"/>
    <w:rsid w:val="00B358FE"/>
    <w:rsid w:val="00B35AA8"/>
    <w:rsid w:val="00B35B50"/>
    <w:rsid w:val="00B36E7B"/>
    <w:rsid w:val="00B36FA6"/>
    <w:rsid w:val="00B3770E"/>
    <w:rsid w:val="00B37A17"/>
    <w:rsid w:val="00B37B33"/>
    <w:rsid w:val="00B37CA6"/>
    <w:rsid w:val="00B37D9D"/>
    <w:rsid w:val="00B400A2"/>
    <w:rsid w:val="00B4051C"/>
    <w:rsid w:val="00B409FB"/>
    <w:rsid w:val="00B40BE0"/>
    <w:rsid w:val="00B410F9"/>
    <w:rsid w:val="00B417BB"/>
    <w:rsid w:val="00B41931"/>
    <w:rsid w:val="00B41CFF"/>
    <w:rsid w:val="00B42136"/>
    <w:rsid w:val="00B4248F"/>
    <w:rsid w:val="00B42C83"/>
    <w:rsid w:val="00B435B6"/>
    <w:rsid w:val="00B436E7"/>
    <w:rsid w:val="00B44200"/>
    <w:rsid w:val="00B44409"/>
    <w:rsid w:val="00B45F14"/>
    <w:rsid w:val="00B46082"/>
    <w:rsid w:val="00B468FE"/>
    <w:rsid w:val="00B4706D"/>
    <w:rsid w:val="00B475D8"/>
    <w:rsid w:val="00B509C4"/>
    <w:rsid w:val="00B509ED"/>
    <w:rsid w:val="00B50EE5"/>
    <w:rsid w:val="00B5163A"/>
    <w:rsid w:val="00B51BFB"/>
    <w:rsid w:val="00B52CD1"/>
    <w:rsid w:val="00B53525"/>
    <w:rsid w:val="00B539E5"/>
    <w:rsid w:val="00B53A37"/>
    <w:rsid w:val="00B53A43"/>
    <w:rsid w:val="00B53F14"/>
    <w:rsid w:val="00B54A94"/>
    <w:rsid w:val="00B54CA1"/>
    <w:rsid w:val="00B550CB"/>
    <w:rsid w:val="00B5533F"/>
    <w:rsid w:val="00B55486"/>
    <w:rsid w:val="00B55554"/>
    <w:rsid w:val="00B55808"/>
    <w:rsid w:val="00B55E26"/>
    <w:rsid w:val="00B56276"/>
    <w:rsid w:val="00B563E2"/>
    <w:rsid w:val="00B56615"/>
    <w:rsid w:val="00B57034"/>
    <w:rsid w:val="00B57353"/>
    <w:rsid w:val="00B57A0F"/>
    <w:rsid w:val="00B57EC1"/>
    <w:rsid w:val="00B60020"/>
    <w:rsid w:val="00B60A19"/>
    <w:rsid w:val="00B60C04"/>
    <w:rsid w:val="00B6112A"/>
    <w:rsid w:val="00B61E28"/>
    <w:rsid w:val="00B6277C"/>
    <w:rsid w:val="00B637AB"/>
    <w:rsid w:val="00B63942"/>
    <w:rsid w:val="00B63B67"/>
    <w:rsid w:val="00B63BB8"/>
    <w:rsid w:val="00B63C32"/>
    <w:rsid w:val="00B640C7"/>
    <w:rsid w:val="00B645E9"/>
    <w:rsid w:val="00B649E0"/>
    <w:rsid w:val="00B653B1"/>
    <w:rsid w:val="00B657DA"/>
    <w:rsid w:val="00B65A14"/>
    <w:rsid w:val="00B65D4C"/>
    <w:rsid w:val="00B666A1"/>
    <w:rsid w:val="00B667B0"/>
    <w:rsid w:val="00B667D3"/>
    <w:rsid w:val="00B671F1"/>
    <w:rsid w:val="00B67250"/>
    <w:rsid w:val="00B67917"/>
    <w:rsid w:val="00B67C00"/>
    <w:rsid w:val="00B70140"/>
    <w:rsid w:val="00B70689"/>
    <w:rsid w:val="00B70879"/>
    <w:rsid w:val="00B7135C"/>
    <w:rsid w:val="00B73AEA"/>
    <w:rsid w:val="00B74A76"/>
    <w:rsid w:val="00B74D6B"/>
    <w:rsid w:val="00B752F7"/>
    <w:rsid w:val="00B756E9"/>
    <w:rsid w:val="00B758AA"/>
    <w:rsid w:val="00B75CDC"/>
    <w:rsid w:val="00B76A7E"/>
    <w:rsid w:val="00B76A9F"/>
    <w:rsid w:val="00B76BFF"/>
    <w:rsid w:val="00B77EA4"/>
    <w:rsid w:val="00B77F5C"/>
    <w:rsid w:val="00B77FE9"/>
    <w:rsid w:val="00B801D3"/>
    <w:rsid w:val="00B80967"/>
    <w:rsid w:val="00B80B57"/>
    <w:rsid w:val="00B810AF"/>
    <w:rsid w:val="00B8185A"/>
    <w:rsid w:val="00B820B5"/>
    <w:rsid w:val="00B8245F"/>
    <w:rsid w:val="00B828F2"/>
    <w:rsid w:val="00B82AD5"/>
    <w:rsid w:val="00B83BC5"/>
    <w:rsid w:val="00B84690"/>
    <w:rsid w:val="00B84E7F"/>
    <w:rsid w:val="00B858DB"/>
    <w:rsid w:val="00B86149"/>
    <w:rsid w:val="00B86552"/>
    <w:rsid w:val="00B865E3"/>
    <w:rsid w:val="00B86676"/>
    <w:rsid w:val="00B869A7"/>
    <w:rsid w:val="00B86D64"/>
    <w:rsid w:val="00B8734C"/>
    <w:rsid w:val="00B8772C"/>
    <w:rsid w:val="00B87A04"/>
    <w:rsid w:val="00B87D32"/>
    <w:rsid w:val="00B900CF"/>
    <w:rsid w:val="00B90117"/>
    <w:rsid w:val="00B90609"/>
    <w:rsid w:val="00B90897"/>
    <w:rsid w:val="00B90AEF"/>
    <w:rsid w:val="00B90EA5"/>
    <w:rsid w:val="00B91565"/>
    <w:rsid w:val="00B918F3"/>
    <w:rsid w:val="00B91DFE"/>
    <w:rsid w:val="00B921C2"/>
    <w:rsid w:val="00B9347E"/>
    <w:rsid w:val="00B93C6E"/>
    <w:rsid w:val="00B947BE"/>
    <w:rsid w:val="00B957FC"/>
    <w:rsid w:val="00B969AB"/>
    <w:rsid w:val="00B96FA3"/>
    <w:rsid w:val="00B97066"/>
    <w:rsid w:val="00B97E21"/>
    <w:rsid w:val="00BA00C5"/>
    <w:rsid w:val="00BA0B18"/>
    <w:rsid w:val="00BA0EE4"/>
    <w:rsid w:val="00BA12BA"/>
    <w:rsid w:val="00BA14DF"/>
    <w:rsid w:val="00BA16D6"/>
    <w:rsid w:val="00BA1D66"/>
    <w:rsid w:val="00BA1F48"/>
    <w:rsid w:val="00BA2EC8"/>
    <w:rsid w:val="00BA300A"/>
    <w:rsid w:val="00BA339D"/>
    <w:rsid w:val="00BA3E9D"/>
    <w:rsid w:val="00BA3ED0"/>
    <w:rsid w:val="00BA4488"/>
    <w:rsid w:val="00BA44FB"/>
    <w:rsid w:val="00BA4C7F"/>
    <w:rsid w:val="00BA4D9E"/>
    <w:rsid w:val="00BA4DD7"/>
    <w:rsid w:val="00BA4FC6"/>
    <w:rsid w:val="00BA5CFF"/>
    <w:rsid w:val="00BA600F"/>
    <w:rsid w:val="00BA621D"/>
    <w:rsid w:val="00BA65B0"/>
    <w:rsid w:val="00BA6693"/>
    <w:rsid w:val="00BA749C"/>
    <w:rsid w:val="00BA7A03"/>
    <w:rsid w:val="00BA7E73"/>
    <w:rsid w:val="00BB006D"/>
    <w:rsid w:val="00BB0697"/>
    <w:rsid w:val="00BB06A1"/>
    <w:rsid w:val="00BB0AC9"/>
    <w:rsid w:val="00BB0B35"/>
    <w:rsid w:val="00BB1013"/>
    <w:rsid w:val="00BB137A"/>
    <w:rsid w:val="00BB172E"/>
    <w:rsid w:val="00BB195B"/>
    <w:rsid w:val="00BB19DA"/>
    <w:rsid w:val="00BB2342"/>
    <w:rsid w:val="00BB2EA2"/>
    <w:rsid w:val="00BB3069"/>
    <w:rsid w:val="00BB31A7"/>
    <w:rsid w:val="00BB325C"/>
    <w:rsid w:val="00BB32F4"/>
    <w:rsid w:val="00BB5638"/>
    <w:rsid w:val="00BB5797"/>
    <w:rsid w:val="00BB58C5"/>
    <w:rsid w:val="00BB598E"/>
    <w:rsid w:val="00BB59B6"/>
    <w:rsid w:val="00BB6328"/>
    <w:rsid w:val="00BB6B19"/>
    <w:rsid w:val="00BB6F2A"/>
    <w:rsid w:val="00BB70BA"/>
    <w:rsid w:val="00BB73F8"/>
    <w:rsid w:val="00BB7420"/>
    <w:rsid w:val="00BC0755"/>
    <w:rsid w:val="00BC0B2B"/>
    <w:rsid w:val="00BC1058"/>
    <w:rsid w:val="00BC1149"/>
    <w:rsid w:val="00BC13E0"/>
    <w:rsid w:val="00BC15FC"/>
    <w:rsid w:val="00BC3224"/>
    <w:rsid w:val="00BC3499"/>
    <w:rsid w:val="00BC3745"/>
    <w:rsid w:val="00BC43CA"/>
    <w:rsid w:val="00BC533F"/>
    <w:rsid w:val="00BC6376"/>
    <w:rsid w:val="00BC655F"/>
    <w:rsid w:val="00BC693E"/>
    <w:rsid w:val="00BC72BE"/>
    <w:rsid w:val="00BD0088"/>
    <w:rsid w:val="00BD0173"/>
    <w:rsid w:val="00BD0AF1"/>
    <w:rsid w:val="00BD1AFB"/>
    <w:rsid w:val="00BD23AF"/>
    <w:rsid w:val="00BD5BEC"/>
    <w:rsid w:val="00BD6319"/>
    <w:rsid w:val="00BD633D"/>
    <w:rsid w:val="00BD641A"/>
    <w:rsid w:val="00BD65DC"/>
    <w:rsid w:val="00BD6DC9"/>
    <w:rsid w:val="00BD6E9F"/>
    <w:rsid w:val="00BD74F4"/>
    <w:rsid w:val="00BD752E"/>
    <w:rsid w:val="00BD78A7"/>
    <w:rsid w:val="00BD7A5C"/>
    <w:rsid w:val="00BD7A8E"/>
    <w:rsid w:val="00BD7C60"/>
    <w:rsid w:val="00BE05D6"/>
    <w:rsid w:val="00BE1539"/>
    <w:rsid w:val="00BE15BC"/>
    <w:rsid w:val="00BE17DA"/>
    <w:rsid w:val="00BE1E02"/>
    <w:rsid w:val="00BE3171"/>
    <w:rsid w:val="00BE3739"/>
    <w:rsid w:val="00BE4153"/>
    <w:rsid w:val="00BE42B4"/>
    <w:rsid w:val="00BE43AD"/>
    <w:rsid w:val="00BE47FB"/>
    <w:rsid w:val="00BE4A82"/>
    <w:rsid w:val="00BE4BB4"/>
    <w:rsid w:val="00BE4BD0"/>
    <w:rsid w:val="00BE5482"/>
    <w:rsid w:val="00BE5950"/>
    <w:rsid w:val="00BE5CC7"/>
    <w:rsid w:val="00BE6081"/>
    <w:rsid w:val="00BE64E3"/>
    <w:rsid w:val="00BE6AAF"/>
    <w:rsid w:val="00BE6C61"/>
    <w:rsid w:val="00BE7C3E"/>
    <w:rsid w:val="00BF0907"/>
    <w:rsid w:val="00BF09C7"/>
    <w:rsid w:val="00BF0AF2"/>
    <w:rsid w:val="00BF16A6"/>
    <w:rsid w:val="00BF1CD2"/>
    <w:rsid w:val="00BF1E65"/>
    <w:rsid w:val="00BF207F"/>
    <w:rsid w:val="00BF25D9"/>
    <w:rsid w:val="00BF277A"/>
    <w:rsid w:val="00BF345D"/>
    <w:rsid w:val="00BF3584"/>
    <w:rsid w:val="00BF379B"/>
    <w:rsid w:val="00BF3926"/>
    <w:rsid w:val="00BF4535"/>
    <w:rsid w:val="00BF47CF"/>
    <w:rsid w:val="00BF497A"/>
    <w:rsid w:val="00BF4A25"/>
    <w:rsid w:val="00BF4CD9"/>
    <w:rsid w:val="00BF513B"/>
    <w:rsid w:val="00BF5944"/>
    <w:rsid w:val="00BF5DFC"/>
    <w:rsid w:val="00BF5F55"/>
    <w:rsid w:val="00BF73C3"/>
    <w:rsid w:val="00BF78A5"/>
    <w:rsid w:val="00BF7C97"/>
    <w:rsid w:val="00C007EB"/>
    <w:rsid w:val="00C00C36"/>
    <w:rsid w:val="00C01323"/>
    <w:rsid w:val="00C015F0"/>
    <w:rsid w:val="00C02708"/>
    <w:rsid w:val="00C02A6F"/>
    <w:rsid w:val="00C02FAD"/>
    <w:rsid w:val="00C03091"/>
    <w:rsid w:val="00C032C4"/>
    <w:rsid w:val="00C034A0"/>
    <w:rsid w:val="00C03B15"/>
    <w:rsid w:val="00C03C5F"/>
    <w:rsid w:val="00C03C94"/>
    <w:rsid w:val="00C03DE2"/>
    <w:rsid w:val="00C03E7C"/>
    <w:rsid w:val="00C046F1"/>
    <w:rsid w:val="00C05296"/>
    <w:rsid w:val="00C0599A"/>
    <w:rsid w:val="00C05DDB"/>
    <w:rsid w:val="00C06418"/>
    <w:rsid w:val="00C06705"/>
    <w:rsid w:val="00C06786"/>
    <w:rsid w:val="00C069CF"/>
    <w:rsid w:val="00C06CDD"/>
    <w:rsid w:val="00C0713E"/>
    <w:rsid w:val="00C07155"/>
    <w:rsid w:val="00C0721A"/>
    <w:rsid w:val="00C07517"/>
    <w:rsid w:val="00C0751B"/>
    <w:rsid w:val="00C075B5"/>
    <w:rsid w:val="00C103FE"/>
    <w:rsid w:val="00C1040A"/>
    <w:rsid w:val="00C1153C"/>
    <w:rsid w:val="00C11862"/>
    <w:rsid w:val="00C118D2"/>
    <w:rsid w:val="00C11984"/>
    <w:rsid w:val="00C11D6A"/>
    <w:rsid w:val="00C11F22"/>
    <w:rsid w:val="00C13661"/>
    <w:rsid w:val="00C13BD3"/>
    <w:rsid w:val="00C13C58"/>
    <w:rsid w:val="00C13F92"/>
    <w:rsid w:val="00C14261"/>
    <w:rsid w:val="00C142BE"/>
    <w:rsid w:val="00C143BB"/>
    <w:rsid w:val="00C14849"/>
    <w:rsid w:val="00C14F90"/>
    <w:rsid w:val="00C153AC"/>
    <w:rsid w:val="00C15A68"/>
    <w:rsid w:val="00C15E73"/>
    <w:rsid w:val="00C15F2D"/>
    <w:rsid w:val="00C16F3F"/>
    <w:rsid w:val="00C17240"/>
    <w:rsid w:val="00C175D1"/>
    <w:rsid w:val="00C208B8"/>
    <w:rsid w:val="00C20968"/>
    <w:rsid w:val="00C214CF"/>
    <w:rsid w:val="00C21F17"/>
    <w:rsid w:val="00C22486"/>
    <w:rsid w:val="00C224C4"/>
    <w:rsid w:val="00C2283E"/>
    <w:rsid w:val="00C228A9"/>
    <w:rsid w:val="00C22A19"/>
    <w:rsid w:val="00C22AC3"/>
    <w:rsid w:val="00C22CF5"/>
    <w:rsid w:val="00C22E07"/>
    <w:rsid w:val="00C238F7"/>
    <w:rsid w:val="00C240E9"/>
    <w:rsid w:val="00C24219"/>
    <w:rsid w:val="00C24FC9"/>
    <w:rsid w:val="00C25381"/>
    <w:rsid w:val="00C261FE"/>
    <w:rsid w:val="00C26EF1"/>
    <w:rsid w:val="00C27480"/>
    <w:rsid w:val="00C27490"/>
    <w:rsid w:val="00C27911"/>
    <w:rsid w:val="00C3041A"/>
    <w:rsid w:val="00C30E98"/>
    <w:rsid w:val="00C31506"/>
    <w:rsid w:val="00C31CFA"/>
    <w:rsid w:val="00C31F62"/>
    <w:rsid w:val="00C328CB"/>
    <w:rsid w:val="00C32F2B"/>
    <w:rsid w:val="00C33828"/>
    <w:rsid w:val="00C33CFF"/>
    <w:rsid w:val="00C33D01"/>
    <w:rsid w:val="00C33DC0"/>
    <w:rsid w:val="00C33E87"/>
    <w:rsid w:val="00C33EA5"/>
    <w:rsid w:val="00C341CB"/>
    <w:rsid w:val="00C34B49"/>
    <w:rsid w:val="00C34BFC"/>
    <w:rsid w:val="00C3560E"/>
    <w:rsid w:val="00C35742"/>
    <w:rsid w:val="00C363CF"/>
    <w:rsid w:val="00C3679A"/>
    <w:rsid w:val="00C369D6"/>
    <w:rsid w:val="00C37078"/>
    <w:rsid w:val="00C373C6"/>
    <w:rsid w:val="00C40849"/>
    <w:rsid w:val="00C4084B"/>
    <w:rsid w:val="00C409E4"/>
    <w:rsid w:val="00C40F3A"/>
    <w:rsid w:val="00C416B1"/>
    <w:rsid w:val="00C418E3"/>
    <w:rsid w:val="00C41B04"/>
    <w:rsid w:val="00C43326"/>
    <w:rsid w:val="00C435C2"/>
    <w:rsid w:val="00C43E9B"/>
    <w:rsid w:val="00C43FBC"/>
    <w:rsid w:val="00C44B07"/>
    <w:rsid w:val="00C4536B"/>
    <w:rsid w:val="00C45599"/>
    <w:rsid w:val="00C45BEC"/>
    <w:rsid w:val="00C46B81"/>
    <w:rsid w:val="00C46D77"/>
    <w:rsid w:val="00C46DC0"/>
    <w:rsid w:val="00C47313"/>
    <w:rsid w:val="00C4785D"/>
    <w:rsid w:val="00C47949"/>
    <w:rsid w:val="00C47B86"/>
    <w:rsid w:val="00C47BE0"/>
    <w:rsid w:val="00C50195"/>
    <w:rsid w:val="00C5041F"/>
    <w:rsid w:val="00C50CD8"/>
    <w:rsid w:val="00C50DF7"/>
    <w:rsid w:val="00C51202"/>
    <w:rsid w:val="00C51205"/>
    <w:rsid w:val="00C51A4F"/>
    <w:rsid w:val="00C52E31"/>
    <w:rsid w:val="00C52E44"/>
    <w:rsid w:val="00C53233"/>
    <w:rsid w:val="00C53377"/>
    <w:rsid w:val="00C53A56"/>
    <w:rsid w:val="00C53AD8"/>
    <w:rsid w:val="00C54B02"/>
    <w:rsid w:val="00C557BD"/>
    <w:rsid w:val="00C563F0"/>
    <w:rsid w:val="00C5668E"/>
    <w:rsid w:val="00C56821"/>
    <w:rsid w:val="00C57038"/>
    <w:rsid w:val="00C573EB"/>
    <w:rsid w:val="00C57A5E"/>
    <w:rsid w:val="00C57EC6"/>
    <w:rsid w:val="00C57F09"/>
    <w:rsid w:val="00C600C1"/>
    <w:rsid w:val="00C60331"/>
    <w:rsid w:val="00C60896"/>
    <w:rsid w:val="00C60E97"/>
    <w:rsid w:val="00C60EC6"/>
    <w:rsid w:val="00C615B7"/>
    <w:rsid w:val="00C61657"/>
    <w:rsid w:val="00C618FB"/>
    <w:rsid w:val="00C62095"/>
    <w:rsid w:val="00C6269B"/>
    <w:rsid w:val="00C627F8"/>
    <w:rsid w:val="00C62D10"/>
    <w:rsid w:val="00C63907"/>
    <w:rsid w:val="00C648EF"/>
    <w:rsid w:val="00C65389"/>
    <w:rsid w:val="00C65E1E"/>
    <w:rsid w:val="00C66B8A"/>
    <w:rsid w:val="00C66C17"/>
    <w:rsid w:val="00C6721D"/>
    <w:rsid w:val="00C678D9"/>
    <w:rsid w:val="00C67A4D"/>
    <w:rsid w:val="00C704B3"/>
    <w:rsid w:val="00C7076E"/>
    <w:rsid w:val="00C71195"/>
    <w:rsid w:val="00C7124E"/>
    <w:rsid w:val="00C71CEB"/>
    <w:rsid w:val="00C72063"/>
    <w:rsid w:val="00C72082"/>
    <w:rsid w:val="00C72182"/>
    <w:rsid w:val="00C727A7"/>
    <w:rsid w:val="00C72F02"/>
    <w:rsid w:val="00C731F9"/>
    <w:rsid w:val="00C73BB4"/>
    <w:rsid w:val="00C73BEE"/>
    <w:rsid w:val="00C74362"/>
    <w:rsid w:val="00C74890"/>
    <w:rsid w:val="00C74D9F"/>
    <w:rsid w:val="00C7562D"/>
    <w:rsid w:val="00C75B54"/>
    <w:rsid w:val="00C75EB7"/>
    <w:rsid w:val="00C76B17"/>
    <w:rsid w:val="00C76CBB"/>
    <w:rsid w:val="00C803BA"/>
    <w:rsid w:val="00C80622"/>
    <w:rsid w:val="00C80FFF"/>
    <w:rsid w:val="00C81427"/>
    <w:rsid w:val="00C8149D"/>
    <w:rsid w:val="00C81A78"/>
    <w:rsid w:val="00C81CEE"/>
    <w:rsid w:val="00C81D4E"/>
    <w:rsid w:val="00C81FE9"/>
    <w:rsid w:val="00C830F8"/>
    <w:rsid w:val="00C83123"/>
    <w:rsid w:val="00C832DE"/>
    <w:rsid w:val="00C83DAE"/>
    <w:rsid w:val="00C84DA2"/>
    <w:rsid w:val="00C8514E"/>
    <w:rsid w:val="00C852EF"/>
    <w:rsid w:val="00C85746"/>
    <w:rsid w:val="00C85A3D"/>
    <w:rsid w:val="00C85B54"/>
    <w:rsid w:val="00C85BA8"/>
    <w:rsid w:val="00C865ED"/>
    <w:rsid w:val="00C86C1D"/>
    <w:rsid w:val="00C86D17"/>
    <w:rsid w:val="00C900C0"/>
    <w:rsid w:val="00C90364"/>
    <w:rsid w:val="00C90737"/>
    <w:rsid w:val="00C9077F"/>
    <w:rsid w:val="00C90A68"/>
    <w:rsid w:val="00C913F5"/>
    <w:rsid w:val="00C91C74"/>
    <w:rsid w:val="00C922F3"/>
    <w:rsid w:val="00C92523"/>
    <w:rsid w:val="00C9399F"/>
    <w:rsid w:val="00C94033"/>
    <w:rsid w:val="00C940C3"/>
    <w:rsid w:val="00C940E5"/>
    <w:rsid w:val="00C94375"/>
    <w:rsid w:val="00C9460E"/>
    <w:rsid w:val="00C948F7"/>
    <w:rsid w:val="00C94996"/>
    <w:rsid w:val="00C94B54"/>
    <w:rsid w:val="00C950CB"/>
    <w:rsid w:val="00C95370"/>
    <w:rsid w:val="00C953B1"/>
    <w:rsid w:val="00C95622"/>
    <w:rsid w:val="00C962FD"/>
    <w:rsid w:val="00C963D1"/>
    <w:rsid w:val="00C96748"/>
    <w:rsid w:val="00C96D7E"/>
    <w:rsid w:val="00CA0021"/>
    <w:rsid w:val="00CA02B9"/>
    <w:rsid w:val="00CA041A"/>
    <w:rsid w:val="00CA0E06"/>
    <w:rsid w:val="00CA135D"/>
    <w:rsid w:val="00CA1585"/>
    <w:rsid w:val="00CA1631"/>
    <w:rsid w:val="00CA1876"/>
    <w:rsid w:val="00CA1889"/>
    <w:rsid w:val="00CA2E4B"/>
    <w:rsid w:val="00CA3D25"/>
    <w:rsid w:val="00CA4255"/>
    <w:rsid w:val="00CA47F7"/>
    <w:rsid w:val="00CA4BB2"/>
    <w:rsid w:val="00CA514A"/>
    <w:rsid w:val="00CA574C"/>
    <w:rsid w:val="00CA5A78"/>
    <w:rsid w:val="00CA6115"/>
    <w:rsid w:val="00CA6246"/>
    <w:rsid w:val="00CA62BB"/>
    <w:rsid w:val="00CA6A8B"/>
    <w:rsid w:val="00CA709B"/>
    <w:rsid w:val="00CA733B"/>
    <w:rsid w:val="00CA7BDA"/>
    <w:rsid w:val="00CB02DE"/>
    <w:rsid w:val="00CB04F4"/>
    <w:rsid w:val="00CB0EAD"/>
    <w:rsid w:val="00CB0F87"/>
    <w:rsid w:val="00CB1072"/>
    <w:rsid w:val="00CB1135"/>
    <w:rsid w:val="00CB120D"/>
    <w:rsid w:val="00CB15C7"/>
    <w:rsid w:val="00CB27B5"/>
    <w:rsid w:val="00CB299A"/>
    <w:rsid w:val="00CB2BDD"/>
    <w:rsid w:val="00CB34F7"/>
    <w:rsid w:val="00CB489E"/>
    <w:rsid w:val="00CB4976"/>
    <w:rsid w:val="00CB4B9F"/>
    <w:rsid w:val="00CB633B"/>
    <w:rsid w:val="00CB698D"/>
    <w:rsid w:val="00CB6C7B"/>
    <w:rsid w:val="00CB75FE"/>
    <w:rsid w:val="00CB7788"/>
    <w:rsid w:val="00CB78F1"/>
    <w:rsid w:val="00CB79C7"/>
    <w:rsid w:val="00CC03D6"/>
    <w:rsid w:val="00CC03F1"/>
    <w:rsid w:val="00CC069C"/>
    <w:rsid w:val="00CC06D1"/>
    <w:rsid w:val="00CC06E4"/>
    <w:rsid w:val="00CC074E"/>
    <w:rsid w:val="00CC0D10"/>
    <w:rsid w:val="00CC0E50"/>
    <w:rsid w:val="00CC100C"/>
    <w:rsid w:val="00CC14E5"/>
    <w:rsid w:val="00CC152D"/>
    <w:rsid w:val="00CC30B7"/>
    <w:rsid w:val="00CC32B0"/>
    <w:rsid w:val="00CC345A"/>
    <w:rsid w:val="00CC3ACE"/>
    <w:rsid w:val="00CC3FDF"/>
    <w:rsid w:val="00CC4553"/>
    <w:rsid w:val="00CC4737"/>
    <w:rsid w:val="00CC5543"/>
    <w:rsid w:val="00CC580B"/>
    <w:rsid w:val="00CC5A51"/>
    <w:rsid w:val="00CC6668"/>
    <w:rsid w:val="00CC68D1"/>
    <w:rsid w:val="00CD055A"/>
    <w:rsid w:val="00CD0B02"/>
    <w:rsid w:val="00CD1E7E"/>
    <w:rsid w:val="00CD28B5"/>
    <w:rsid w:val="00CD2A04"/>
    <w:rsid w:val="00CD43B4"/>
    <w:rsid w:val="00CD4B20"/>
    <w:rsid w:val="00CD4DA6"/>
    <w:rsid w:val="00CD515C"/>
    <w:rsid w:val="00CD5AC6"/>
    <w:rsid w:val="00CD6B7F"/>
    <w:rsid w:val="00CD78CA"/>
    <w:rsid w:val="00CD790C"/>
    <w:rsid w:val="00CD79C3"/>
    <w:rsid w:val="00CD7A29"/>
    <w:rsid w:val="00CE008B"/>
    <w:rsid w:val="00CE0D8D"/>
    <w:rsid w:val="00CE0E1F"/>
    <w:rsid w:val="00CE268B"/>
    <w:rsid w:val="00CE373E"/>
    <w:rsid w:val="00CE44C6"/>
    <w:rsid w:val="00CE49B6"/>
    <w:rsid w:val="00CE4A70"/>
    <w:rsid w:val="00CE4AF9"/>
    <w:rsid w:val="00CE4C81"/>
    <w:rsid w:val="00CE4F19"/>
    <w:rsid w:val="00CE5B4B"/>
    <w:rsid w:val="00CE5CC6"/>
    <w:rsid w:val="00CE619A"/>
    <w:rsid w:val="00CE63B4"/>
    <w:rsid w:val="00CE68DF"/>
    <w:rsid w:val="00CE6A68"/>
    <w:rsid w:val="00CE7952"/>
    <w:rsid w:val="00CE7F73"/>
    <w:rsid w:val="00CF0D6A"/>
    <w:rsid w:val="00CF14EE"/>
    <w:rsid w:val="00CF2045"/>
    <w:rsid w:val="00CF22FC"/>
    <w:rsid w:val="00CF3890"/>
    <w:rsid w:val="00CF3CB0"/>
    <w:rsid w:val="00CF42E4"/>
    <w:rsid w:val="00CF43E5"/>
    <w:rsid w:val="00CF4B07"/>
    <w:rsid w:val="00CF528F"/>
    <w:rsid w:val="00CF6A89"/>
    <w:rsid w:val="00CF6E74"/>
    <w:rsid w:val="00CF6E8B"/>
    <w:rsid w:val="00CF73AC"/>
    <w:rsid w:val="00D0047B"/>
    <w:rsid w:val="00D0096B"/>
    <w:rsid w:val="00D012FD"/>
    <w:rsid w:val="00D013BB"/>
    <w:rsid w:val="00D014C9"/>
    <w:rsid w:val="00D019E5"/>
    <w:rsid w:val="00D01AE5"/>
    <w:rsid w:val="00D022A3"/>
    <w:rsid w:val="00D02654"/>
    <w:rsid w:val="00D027A3"/>
    <w:rsid w:val="00D02B20"/>
    <w:rsid w:val="00D02B43"/>
    <w:rsid w:val="00D03961"/>
    <w:rsid w:val="00D03F5F"/>
    <w:rsid w:val="00D04BC8"/>
    <w:rsid w:val="00D05353"/>
    <w:rsid w:val="00D05518"/>
    <w:rsid w:val="00D0571E"/>
    <w:rsid w:val="00D05C41"/>
    <w:rsid w:val="00D05DDB"/>
    <w:rsid w:val="00D0617F"/>
    <w:rsid w:val="00D061C7"/>
    <w:rsid w:val="00D078AA"/>
    <w:rsid w:val="00D108AD"/>
    <w:rsid w:val="00D10EB1"/>
    <w:rsid w:val="00D111E4"/>
    <w:rsid w:val="00D11F4E"/>
    <w:rsid w:val="00D123C5"/>
    <w:rsid w:val="00D1250C"/>
    <w:rsid w:val="00D1275C"/>
    <w:rsid w:val="00D12A03"/>
    <w:rsid w:val="00D131D1"/>
    <w:rsid w:val="00D133FF"/>
    <w:rsid w:val="00D13F95"/>
    <w:rsid w:val="00D142F5"/>
    <w:rsid w:val="00D145EA"/>
    <w:rsid w:val="00D149F3"/>
    <w:rsid w:val="00D152B0"/>
    <w:rsid w:val="00D159A9"/>
    <w:rsid w:val="00D160D5"/>
    <w:rsid w:val="00D1627C"/>
    <w:rsid w:val="00D16D5B"/>
    <w:rsid w:val="00D16DA4"/>
    <w:rsid w:val="00D16FDB"/>
    <w:rsid w:val="00D17ADE"/>
    <w:rsid w:val="00D17AFE"/>
    <w:rsid w:val="00D17B8C"/>
    <w:rsid w:val="00D17D92"/>
    <w:rsid w:val="00D20228"/>
    <w:rsid w:val="00D20DCF"/>
    <w:rsid w:val="00D21C94"/>
    <w:rsid w:val="00D22543"/>
    <w:rsid w:val="00D2266F"/>
    <w:rsid w:val="00D22B92"/>
    <w:rsid w:val="00D22CAB"/>
    <w:rsid w:val="00D233CB"/>
    <w:rsid w:val="00D24499"/>
    <w:rsid w:val="00D24633"/>
    <w:rsid w:val="00D246E7"/>
    <w:rsid w:val="00D249D2"/>
    <w:rsid w:val="00D24D51"/>
    <w:rsid w:val="00D24EF9"/>
    <w:rsid w:val="00D251F7"/>
    <w:rsid w:val="00D25707"/>
    <w:rsid w:val="00D2598D"/>
    <w:rsid w:val="00D25D2C"/>
    <w:rsid w:val="00D25EAE"/>
    <w:rsid w:val="00D2681B"/>
    <w:rsid w:val="00D303DB"/>
    <w:rsid w:val="00D3059C"/>
    <w:rsid w:val="00D30ADC"/>
    <w:rsid w:val="00D30F19"/>
    <w:rsid w:val="00D31277"/>
    <w:rsid w:val="00D317B9"/>
    <w:rsid w:val="00D3221D"/>
    <w:rsid w:val="00D323AF"/>
    <w:rsid w:val="00D326AA"/>
    <w:rsid w:val="00D326D5"/>
    <w:rsid w:val="00D327DC"/>
    <w:rsid w:val="00D32BF8"/>
    <w:rsid w:val="00D32FA5"/>
    <w:rsid w:val="00D3336C"/>
    <w:rsid w:val="00D336BC"/>
    <w:rsid w:val="00D33D58"/>
    <w:rsid w:val="00D3446F"/>
    <w:rsid w:val="00D348D4"/>
    <w:rsid w:val="00D34B43"/>
    <w:rsid w:val="00D35CA0"/>
    <w:rsid w:val="00D35DA6"/>
    <w:rsid w:val="00D35EC1"/>
    <w:rsid w:val="00D360ED"/>
    <w:rsid w:val="00D36450"/>
    <w:rsid w:val="00D36BC4"/>
    <w:rsid w:val="00D36D4B"/>
    <w:rsid w:val="00D37123"/>
    <w:rsid w:val="00D37C23"/>
    <w:rsid w:val="00D37C5F"/>
    <w:rsid w:val="00D37E27"/>
    <w:rsid w:val="00D406C0"/>
    <w:rsid w:val="00D40F70"/>
    <w:rsid w:val="00D41C7E"/>
    <w:rsid w:val="00D4286F"/>
    <w:rsid w:val="00D437C3"/>
    <w:rsid w:val="00D4405B"/>
    <w:rsid w:val="00D44854"/>
    <w:rsid w:val="00D4532E"/>
    <w:rsid w:val="00D45D13"/>
    <w:rsid w:val="00D45D9D"/>
    <w:rsid w:val="00D467A9"/>
    <w:rsid w:val="00D479B4"/>
    <w:rsid w:val="00D500D6"/>
    <w:rsid w:val="00D50645"/>
    <w:rsid w:val="00D508BF"/>
    <w:rsid w:val="00D50C54"/>
    <w:rsid w:val="00D50D11"/>
    <w:rsid w:val="00D511EB"/>
    <w:rsid w:val="00D51336"/>
    <w:rsid w:val="00D51AE4"/>
    <w:rsid w:val="00D51F14"/>
    <w:rsid w:val="00D533CB"/>
    <w:rsid w:val="00D53A4A"/>
    <w:rsid w:val="00D53D08"/>
    <w:rsid w:val="00D5418A"/>
    <w:rsid w:val="00D54B12"/>
    <w:rsid w:val="00D54BC9"/>
    <w:rsid w:val="00D55214"/>
    <w:rsid w:val="00D556FD"/>
    <w:rsid w:val="00D5576E"/>
    <w:rsid w:val="00D55895"/>
    <w:rsid w:val="00D56237"/>
    <w:rsid w:val="00D573B9"/>
    <w:rsid w:val="00D57845"/>
    <w:rsid w:val="00D57D1A"/>
    <w:rsid w:val="00D57E29"/>
    <w:rsid w:val="00D57EC1"/>
    <w:rsid w:val="00D60128"/>
    <w:rsid w:val="00D6037E"/>
    <w:rsid w:val="00D6051B"/>
    <w:rsid w:val="00D60F6F"/>
    <w:rsid w:val="00D62421"/>
    <w:rsid w:val="00D62B4A"/>
    <w:rsid w:val="00D62ECE"/>
    <w:rsid w:val="00D6324A"/>
    <w:rsid w:val="00D63326"/>
    <w:rsid w:val="00D639C9"/>
    <w:rsid w:val="00D64014"/>
    <w:rsid w:val="00D64141"/>
    <w:rsid w:val="00D64D01"/>
    <w:rsid w:val="00D65978"/>
    <w:rsid w:val="00D65F4D"/>
    <w:rsid w:val="00D6709E"/>
    <w:rsid w:val="00D67229"/>
    <w:rsid w:val="00D672A1"/>
    <w:rsid w:val="00D672CF"/>
    <w:rsid w:val="00D674BD"/>
    <w:rsid w:val="00D677B2"/>
    <w:rsid w:val="00D678F2"/>
    <w:rsid w:val="00D67A79"/>
    <w:rsid w:val="00D67D89"/>
    <w:rsid w:val="00D67F35"/>
    <w:rsid w:val="00D70ACC"/>
    <w:rsid w:val="00D70B4B"/>
    <w:rsid w:val="00D710EA"/>
    <w:rsid w:val="00D7140A"/>
    <w:rsid w:val="00D71E5C"/>
    <w:rsid w:val="00D71F35"/>
    <w:rsid w:val="00D72B32"/>
    <w:rsid w:val="00D72B44"/>
    <w:rsid w:val="00D7344A"/>
    <w:rsid w:val="00D73B2A"/>
    <w:rsid w:val="00D73F38"/>
    <w:rsid w:val="00D74886"/>
    <w:rsid w:val="00D74894"/>
    <w:rsid w:val="00D748A6"/>
    <w:rsid w:val="00D74B4E"/>
    <w:rsid w:val="00D751ED"/>
    <w:rsid w:val="00D75B8C"/>
    <w:rsid w:val="00D75D67"/>
    <w:rsid w:val="00D7736B"/>
    <w:rsid w:val="00D77895"/>
    <w:rsid w:val="00D77A68"/>
    <w:rsid w:val="00D80341"/>
    <w:rsid w:val="00D80720"/>
    <w:rsid w:val="00D80826"/>
    <w:rsid w:val="00D80F14"/>
    <w:rsid w:val="00D81005"/>
    <w:rsid w:val="00D81463"/>
    <w:rsid w:val="00D8158D"/>
    <w:rsid w:val="00D81CEB"/>
    <w:rsid w:val="00D81DCB"/>
    <w:rsid w:val="00D840E5"/>
    <w:rsid w:val="00D84165"/>
    <w:rsid w:val="00D84AED"/>
    <w:rsid w:val="00D84B66"/>
    <w:rsid w:val="00D85724"/>
    <w:rsid w:val="00D85B06"/>
    <w:rsid w:val="00D86CED"/>
    <w:rsid w:val="00D86D58"/>
    <w:rsid w:val="00D871D3"/>
    <w:rsid w:val="00D87342"/>
    <w:rsid w:val="00D90FA4"/>
    <w:rsid w:val="00D922DF"/>
    <w:rsid w:val="00D92641"/>
    <w:rsid w:val="00D92D4B"/>
    <w:rsid w:val="00D92D88"/>
    <w:rsid w:val="00D9366B"/>
    <w:rsid w:val="00D946D7"/>
    <w:rsid w:val="00D95393"/>
    <w:rsid w:val="00D95FDC"/>
    <w:rsid w:val="00D96337"/>
    <w:rsid w:val="00D96F38"/>
    <w:rsid w:val="00D9710D"/>
    <w:rsid w:val="00D97466"/>
    <w:rsid w:val="00D9746C"/>
    <w:rsid w:val="00D97490"/>
    <w:rsid w:val="00D97A9A"/>
    <w:rsid w:val="00D97F7F"/>
    <w:rsid w:val="00DA08B6"/>
    <w:rsid w:val="00DA0D4B"/>
    <w:rsid w:val="00DA133F"/>
    <w:rsid w:val="00DA167C"/>
    <w:rsid w:val="00DA167D"/>
    <w:rsid w:val="00DA18F2"/>
    <w:rsid w:val="00DA1AF3"/>
    <w:rsid w:val="00DA1EA3"/>
    <w:rsid w:val="00DA2840"/>
    <w:rsid w:val="00DA3E9E"/>
    <w:rsid w:val="00DA41FA"/>
    <w:rsid w:val="00DA4324"/>
    <w:rsid w:val="00DA4436"/>
    <w:rsid w:val="00DA494D"/>
    <w:rsid w:val="00DA4CE8"/>
    <w:rsid w:val="00DA56FD"/>
    <w:rsid w:val="00DA5AD4"/>
    <w:rsid w:val="00DA5FE1"/>
    <w:rsid w:val="00DA6321"/>
    <w:rsid w:val="00DA66F4"/>
    <w:rsid w:val="00DA7549"/>
    <w:rsid w:val="00DA7AD1"/>
    <w:rsid w:val="00DA7AF9"/>
    <w:rsid w:val="00DB063D"/>
    <w:rsid w:val="00DB0AE8"/>
    <w:rsid w:val="00DB2A2A"/>
    <w:rsid w:val="00DB2C5F"/>
    <w:rsid w:val="00DB3170"/>
    <w:rsid w:val="00DB3698"/>
    <w:rsid w:val="00DB3B06"/>
    <w:rsid w:val="00DB476F"/>
    <w:rsid w:val="00DB4F90"/>
    <w:rsid w:val="00DB5848"/>
    <w:rsid w:val="00DB5969"/>
    <w:rsid w:val="00DB6030"/>
    <w:rsid w:val="00DB6761"/>
    <w:rsid w:val="00DB6AAE"/>
    <w:rsid w:val="00DB6CD0"/>
    <w:rsid w:val="00DB723B"/>
    <w:rsid w:val="00DB778B"/>
    <w:rsid w:val="00DB798B"/>
    <w:rsid w:val="00DB7B34"/>
    <w:rsid w:val="00DB7E7F"/>
    <w:rsid w:val="00DC032E"/>
    <w:rsid w:val="00DC04C2"/>
    <w:rsid w:val="00DC1E16"/>
    <w:rsid w:val="00DC35B1"/>
    <w:rsid w:val="00DC3BC3"/>
    <w:rsid w:val="00DC3EA5"/>
    <w:rsid w:val="00DC41AE"/>
    <w:rsid w:val="00DC43A3"/>
    <w:rsid w:val="00DC4666"/>
    <w:rsid w:val="00DC4AC0"/>
    <w:rsid w:val="00DC560D"/>
    <w:rsid w:val="00DC586E"/>
    <w:rsid w:val="00DC5C8D"/>
    <w:rsid w:val="00DC5EB8"/>
    <w:rsid w:val="00DC752A"/>
    <w:rsid w:val="00DC7FB0"/>
    <w:rsid w:val="00DD0491"/>
    <w:rsid w:val="00DD0B14"/>
    <w:rsid w:val="00DD0DC2"/>
    <w:rsid w:val="00DD0E8F"/>
    <w:rsid w:val="00DD0F7C"/>
    <w:rsid w:val="00DD1C6B"/>
    <w:rsid w:val="00DD1D8F"/>
    <w:rsid w:val="00DD1D99"/>
    <w:rsid w:val="00DD1EAE"/>
    <w:rsid w:val="00DD234E"/>
    <w:rsid w:val="00DD3011"/>
    <w:rsid w:val="00DD31B6"/>
    <w:rsid w:val="00DD3EE1"/>
    <w:rsid w:val="00DD40A7"/>
    <w:rsid w:val="00DD4300"/>
    <w:rsid w:val="00DD455B"/>
    <w:rsid w:val="00DD4967"/>
    <w:rsid w:val="00DD4A85"/>
    <w:rsid w:val="00DD521D"/>
    <w:rsid w:val="00DD5458"/>
    <w:rsid w:val="00DD5E30"/>
    <w:rsid w:val="00DD6C0B"/>
    <w:rsid w:val="00DD72AD"/>
    <w:rsid w:val="00DD7BE6"/>
    <w:rsid w:val="00DD7EE3"/>
    <w:rsid w:val="00DE03D5"/>
    <w:rsid w:val="00DE057C"/>
    <w:rsid w:val="00DE0D39"/>
    <w:rsid w:val="00DE0F6A"/>
    <w:rsid w:val="00DE1814"/>
    <w:rsid w:val="00DE18E5"/>
    <w:rsid w:val="00DE1DCB"/>
    <w:rsid w:val="00DE1FDC"/>
    <w:rsid w:val="00DE24AA"/>
    <w:rsid w:val="00DE2682"/>
    <w:rsid w:val="00DE2700"/>
    <w:rsid w:val="00DE2F39"/>
    <w:rsid w:val="00DE3213"/>
    <w:rsid w:val="00DE3A2C"/>
    <w:rsid w:val="00DE4288"/>
    <w:rsid w:val="00DE4479"/>
    <w:rsid w:val="00DE4554"/>
    <w:rsid w:val="00DE4A9E"/>
    <w:rsid w:val="00DE5422"/>
    <w:rsid w:val="00DE5998"/>
    <w:rsid w:val="00DE5D93"/>
    <w:rsid w:val="00DE630A"/>
    <w:rsid w:val="00DE6F5E"/>
    <w:rsid w:val="00DE7566"/>
    <w:rsid w:val="00DE770C"/>
    <w:rsid w:val="00DE7E14"/>
    <w:rsid w:val="00DF0448"/>
    <w:rsid w:val="00DF0978"/>
    <w:rsid w:val="00DF0C25"/>
    <w:rsid w:val="00DF0CE0"/>
    <w:rsid w:val="00DF0ECA"/>
    <w:rsid w:val="00DF0ED5"/>
    <w:rsid w:val="00DF2213"/>
    <w:rsid w:val="00DF2534"/>
    <w:rsid w:val="00DF2796"/>
    <w:rsid w:val="00DF29D8"/>
    <w:rsid w:val="00DF2E3A"/>
    <w:rsid w:val="00DF314B"/>
    <w:rsid w:val="00DF387A"/>
    <w:rsid w:val="00DF3CA7"/>
    <w:rsid w:val="00DF3DD2"/>
    <w:rsid w:val="00DF44B5"/>
    <w:rsid w:val="00DF4936"/>
    <w:rsid w:val="00DF52C3"/>
    <w:rsid w:val="00DF5522"/>
    <w:rsid w:val="00DF58B1"/>
    <w:rsid w:val="00DF609C"/>
    <w:rsid w:val="00DF6126"/>
    <w:rsid w:val="00DF7080"/>
    <w:rsid w:val="00DF70D7"/>
    <w:rsid w:val="00DF720C"/>
    <w:rsid w:val="00DF752C"/>
    <w:rsid w:val="00DF7673"/>
    <w:rsid w:val="00DF7D34"/>
    <w:rsid w:val="00DF7E0B"/>
    <w:rsid w:val="00E006E2"/>
    <w:rsid w:val="00E00ABB"/>
    <w:rsid w:val="00E00D79"/>
    <w:rsid w:val="00E00EB1"/>
    <w:rsid w:val="00E0137C"/>
    <w:rsid w:val="00E01751"/>
    <w:rsid w:val="00E028CC"/>
    <w:rsid w:val="00E03F7F"/>
    <w:rsid w:val="00E04538"/>
    <w:rsid w:val="00E0499E"/>
    <w:rsid w:val="00E055BB"/>
    <w:rsid w:val="00E057D1"/>
    <w:rsid w:val="00E05B17"/>
    <w:rsid w:val="00E05C13"/>
    <w:rsid w:val="00E066F3"/>
    <w:rsid w:val="00E068A6"/>
    <w:rsid w:val="00E0717F"/>
    <w:rsid w:val="00E07E35"/>
    <w:rsid w:val="00E100F7"/>
    <w:rsid w:val="00E1053A"/>
    <w:rsid w:val="00E118F7"/>
    <w:rsid w:val="00E12244"/>
    <w:rsid w:val="00E12267"/>
    <w:rsid w:val="00E12BA5"/>
    <w:rsid w:val="00E12C3C"/>
    <w:rsid w:val="00E130C2"/>
    <w:rsid w:val="00E13488"/>
    <w:rsid w:val="00E13502"/>
    <w:rsid w:val="00E143CD"/>
    <w:rsid w:val="00E14D79"/>
    <w:rsid w:val="00E15167"/>
    <w:rsid w:val="00E1557E"/>
    <w:rsid w:val="00E16891"/>
    <w:rsid w:val="00E168E1"/>
    <w:rsid w:val="00E16940"/>
    <w:rsid w:val="00E16A55"/>
    <w:rsid w:val="00E16C7D"/>
    <w:rsid w:val="00E17A84"/>
    <w:rsid w:val="00E17D66"/>
    <w:rsid w:val="00E20415"/>
    <w:rsid w:val="00E2064C"/>
    <w:rsid w:val="00E208E9"/>
    <w:rsid w:val="00E2095B"/>
    <w:rsid w:val="00E21595"/>
    <w:rsid w:val="00E21C74"/>
    <w:rsid w:val="00E21F06"/>
    <w:rsid w:val="00E2278D"/>
    <w:rsid w:val="00E22982"/>
    <w:rsid w:val="00E22CD2"/>
    <w:rsid w:val="00E23A4D"/>
    <w:rsid w:val="00E24D1D"/>
    <w:rsid w:val="00E2590D"/>
    <w:rsid w:val="00E26153"/>
    <w:rsid w:val="00E2743F"/>
    <w:rsid w:val="00E27F8F"/>
    <w:rsid w:val="00E3046C"/>
    <w:rsid w:val="00E304AB"/>
    <w:rsid w:val="00E31016"/>
    <w:rsid w:val="00E3103F"/>
    <w:rsid w:val="00E313FD"/>
    <w:rsid w:val="00E314AB"/>
    <w:rsid w:val="00E31ADC"/>
    <w:rsid w:val="00E31DFB"/>
    <w:rsid w:val="00E32BD8"/>
    <w:rsid w:val="00E33267"/>
    <w:rsid w:val="00E335FD"/>
    <w:rsid w:val="00E33830"/>
    <w:rsid w:val="00E345CC"/>
    <w:rsid w:val="00E35091"/>
    <w:rsid w:val="00E350F3"/>
    <w:rsid w:val="00E351B8"/>
    <w:rsid w:val="00E35702"/>
    <w:rsid w:val="00E35D9C"/>
    <w:rsid w:val="00E35E5E"/>
    <w:rsid w:val="00E36130"/>
    <w:rsid w:val="00E361D7"/>
    <w:rsid w:val="00E37AAB"/>
    <w:rsid w:val="00E4020C"/>
    <w:rsid w:val="00E402D5"/>
    <w:rsid w:val="00E40D3B"/>
    <w:rsid w:val="00E40FFB"/>
    <w:rsid w:val="00E41104"/>
    <w:rsid w:val="00E42136"/>
    <w:rsid w:val="00E43021"/>
    <w:rsid w:val="00E436AD"/>
    <w:rsid w:val="00E43872"/>
    <w:rsid w:val="00E438D5"/>
    <w:rsid w:val="00E43A9A"/>
    <w:rsid w:val="00E44A75"/>
    <w:rsid w:val="00E44EAB"/>
    <w:rsid w:val="00E45C25"/>
    <w:rsid w:val="00E4643D"/>
    <w:rsid w:val="00E469F6"/>
    <w:rsid w:val="00E47438"/>
    <w:rsid w:val="00E47992"/>
    <w:rsid w:val="00E47FF0"/>
    <w:rsid w:val="00E50555"/>
    <w:rsid w:val="00E51195"/>
    <w:rsid w:val="00E51770"/>
    <w:rsid w:val="00E51810"/>
    <w:rsid w:val="00E51BFB"/>
    <w:rsid w:val="00E51D92"/>
    <w:rsid w:val="00E52573"/>
    <w:rsid w:val="00E52E3B"/>
    <w:rsid w:val="00E53E5C"/>
    <w:rsid w:val="00E5402A"/>
    <w:rsid w:val="00E542EA"/>
    <w:rsid w:val="00E5589F"/>
    <w:rsid w:val="00E558B2"/>
    <w:rsid w:val="00E55A88"/>
    <w:rsid w:val="00E567B8"/>
    <w:rsid w:val="00E56868"/>
    <w:rsid w:val="00E57305"/>
    <w:rsid w:val="00E57328"/>
    <w:rsid w:val="00E57F8B"/>
    <w:rsid w:val="00E60D3C"/>
    <w:rsid w:val="00E60FE2"/>
    <w:rsid w:val="00E613DC"/>
    <w:rsid w:val="00E6162D"/>
    <w:rsid w:val="00E61B41"/>
    <w:rsid w:val="00E6233F"/>
    <w:rsid w:val="00E62F5E"/>
    <w:rsid w:val="00E638CE"/>
    <w:rsid w:val="00E63A86"/>
    <w:rsid w:val="00E649E8"/>
    <w:rsid w:val="00E655F6"/>
    <w:rsid w:val="00E65B10"/>
    <w:rsid w:val="00E665F5"/>
    <w:rsid w:val="00E66B76"/>
    <w:rsid w:val="00E66EA9"/>
    <w:rsid w:val="00E67985"/>
    <w:rsid w:val="00E70B83"/>
    <w:rsid w:val="00E71730"/>
    <w:rsid w:val="00E7259E"/>
    <w:rsid w:val="00E725D9"/>
    <w:rsid w:val="00E726A5"/>
    <w:rsid w:val="00E72913"/>
    <w:rsid w:val="00E7354F"/>
    <w:rsid w:val="00E73FE6"/>
    <w:rsid w:val="00E75494"/>
    <w:rsid w:val="00E75AFB"/>
    <w:rsid w:val="00E761FB"/>
    <w:rsid w:val="00E76400"/>
    <w:rsid w:val="00E7672B"/>
    <w:rsid w:val="00E76796"/>
    <w:rsid w:val="00E76972"/>
    <w:rsid w:val="00E77493"/>
    <w:rsid w:val="00E803F6"/>
    <w:rsid w:val="00E8054D"/>
    <w:rsid w:val="00E80B21"/>
    <w:rsid w:val="00E81B1F"/>
    <w:rsid w:val="00E8213F"/>
    <w:rsid w:val="00E828F1"/>
    <w:rsid w:val="00E82D3B"/>
    <w:rsid w:val="00E839E3"/>
    <w:rsid w:val="00E83D96"/>
    <w:rsid w:val="00E84126"/>
    <w:rsid w:val="00E843C1"/>
    <w:rsid w:val="00E84702"/>
    <w:rsid w:val="00E84B51"/>
    <w:rsid w:val="00E84CFE"/>
    <w:rsid w:val="00E85E45"/>
    <w:rsid w:val="00E85E52"/>
    <w:rsid w:val="00E85F0E"/>
    <w:rsid w:val="00E8620A"/>
    <w:rsid w:val="00E862FF"/>
    <w:rsid w:val="00E86613"/>
    <w:rsid w:val="00E87695"/>
    <w:rsid w:val="00E87D19"/>
    <w:rsid w:val="00E90099"/>
    <w:rsid w:val="00E903C2"/>
    <w:rsid w:val="00E908B3"/>
    <w:rsid w:val="00E914F2"/>
    <w:rsid w:val="00E91B01"/>
    <w:rsid w:val="00E91B05"/>
    <w:rsid w:val="00E91C44"/>
    <w:rsid w:val="00E92505"/>
    <w:rsid w:val="00E9261D"/>
    <w:rsid w:val="00E92802"/>
    <w:rsid w:val="00E92CEC"/>
    <w:rsid w:val="00E93ADE"/>
    <w:rsid w:val="00E93E83"/>
    <w:rsid w:val="00E94FF6"/>
    <w:rsid w:val="00E957F3"/>
    <w:rsid w:val="00E967C6"/>
    <w:rsid w:val="00E97165"/>
    <w:rsid w:val="00E9755A"/>
    <w:rsid w:val="00E97609"/>
    <w:rsid w:val="00E97DC7"/>
    <w:rsid w:val="00EA00C4"/>
    <w:rsid w:val="00EA0C36"/>
    <w:rsid w:val="00EA0CB7"/>
    <w:rsid w:val="00EA1117"/>
    <w:rsid w:val="00EA1417"/>
    <w:rsid w:val="00EA16BE"/>
    <w:rsid w:val="00EA1736"/>
    <w:rsid w:val="00EA17AA"/>
    <w:rsid w:val="00EA1F0D"/>
    <w:rsid w:val="00EA2713"/>
    <w:rsid w:val="00EA2ED3"/>
    <w:rsid w:val="00EA32E4"/>
    <w:rsid w:val="00EA3859"/>
    <w:rsid w:val="00EA398C"/>
    <w:rsid w:val="00EA4921"/>
    <w:rsid w:val="00EA4DB8"/>
    <w:rsid w:val="00EA4F0C"/>
    <w:rsid w:val="00EA51C8"/>
    <w:rsid w:val="00EA60E2"/>
    <w:rsid w:val="00EA6330"/>
    <w:rsid w:val="00EA647F"/>
    <w:rsid w:val="00EA6572"/>
    <w:rsid w:val="00EA67CD"/>
    <w:rsid w:val="00EA7557"/>
    <w:rsid w:val="00EA774A"/>
    <w:rsid w:val="00EA7B9A"/>
    <w:rsid w:val="00EB0BF1"/>
    <w:rsid w:val="00EB0D09"/>
    <w:rsid w:val="00EB0D3F"/>
    <w:rsid w:val="00EB119F"/>
    <w:rsid w:val="00EB11F3"/>
    <w:rsid w:val="00EB17DA"/>
    <w:rsid w:val="00EB2670"/>
    <w:rsid w:val="00EB2B3F"/>
    <w:rsid w:val="00EB2BD1"/>
    <w:rsid w:val="00EB2CF6"/>
    <w:rsid w:val="00EB2EBC"/>
    <w:rsid w:val="00EB2FD3"/>
    <w:rsid w:val="00EB3425"/>
    <w:rsid w:val="00EB3453"/>
    <w:rsid w:val="00EB4E9A"/>
    <w:rsid w:val="00EB4EBC"/>
    <w:rsid w:val="00EB54B1"/>
    <w:rsid w:val="00EB55D4"/>
    <w:rsid w:val="00EB5898"/>
    <w:rsid w:val="00EB5CD9"/>
    <w:rsid w:val="00EB6165"/>
    <w:rsid w:val="00EB6E48"/>
    <w:rsid w:val="00EB6F9A"/>
    <w:rsid w:val="00EC0476"/>
    <w:rsid w:val="00EC07D4"/>
    <w:rsid w:val="00EC0E5C"/>
    <w:rsid w:val="00EC2159"/>
    <w:rsid w:val="00EC2393"/>
    <w:rsid w:val="00EC2C8B"/>
    <w:rsid w:val="00EC33DC"/>
    <w:rsid w:val="00EC3636"/>
    <w:rsid w:val="00EC49C9"/>
    <w:rsid w:val="00EC5357"/>
    <w:rsid w:val="00EC5B93"/>
    <w:rsid w:val="00EC6EF8"/>
    <w:rsid w:val="00ED065C"/>
    <w:rsid w:val="00ED067B"/>
    <w:rsid w:val="00ED0970"/>
    <w:rsid w:val="00ED1C98"/>
    <w:rsid w:val="00ED234D"/>
    <w:rsid w:val="00ED31DF"/>
    <w:rsid w:val="00ED3F8B"/>
    <w:rsid w:val="00ED455D"/>
    <w:rsid w:val="00ED4BC5"/>
    <w:rsid w:val="00ED4C71"/>
    <w:rsid w:val="00ED50CD"/>
    <w:rsid w:val="00ED5D2B"/>
    <w:rsid w:val="00ED6A4A"/>
    <w:rsid w:val="00ED6B21"/>
    <w:rsid w:val="00ED6F9E"/>
    <w:rsid w:val="00ED72D6"/>
    <w:rsid w:val="00ED74DD"/>
    <w:rsid w:val="00ED7F4E"/>
    <w:rsid w:val="00EE0372"/>
    <w:rsid w:val="00EE0A3F"/>
    <w:rsid w:val="00EE0BD4"/>
    <w:rsid w:val="00EE0F08"/>
    <w:rsid w:val="00EE1261"/>
    <w:rsid w:val="00EE14B9"/>
    <w:rsid w:val="00EE181E"/>
    <w:rsid w:val="00EE19BB"/>
    <w:rsid w:val="00EE1B1F"/>
    <w:rsid w:val="00EE1B3E"/>
    <w:rsid w:val="00EE242F"/>
    <w:rsid w:val="00EE2C20"/>
    <w:rsid w:val="00EE35FD"/>
    <w:rsid w:val="00EE3A4D"/>
    <w:rsid w:val="00EE3B86"/>
    <w:rsid w:val="00EE3F65"/>
    <w:rsid w:val="00EE441B"/>
    <w:rsid w:val="00EE4CFC"/>
    <w:rsid w:val="00EE4E8F"/>
    <w:rsid w:val="00EE5802"/>
    <w:rsid w:val="00EE5901"/>
    <w:rsid w:val="00EE5AD0"/>
    <w:rsid w:val="00EE5DBE"/>
    <w:rsid w:val="00EE6276"/>
    <w:rsid w:val="00EE6643"/>
    <w:rsid w:val="00EE66FB"/>
    <w:rsid w:val="00EE672B"/>
    <w:rsid w:val="00EE689F"/>
    <w:rsid w:val="00EE714F"/>
    <w:rsid w:val="00EE76E9"/>
    <w:rsid w:val="00EF0BEF"/>
    <w:rsid w:val="00EF0D64"/>
    <w:rsid w:val="00EF0D8D"/>
    <w:rsid w:val="00EF1303"/>
    <w:rsid w:val="00EF1823"/>
    <w:rsid w:val="00EF283A"/>
    <w:rsid w:val="00EF2A12"/>
    <w:rsid w:val="00EF2C0F"/>
    <w:rsid w:val="00EF3441"/>
    <w:rsid w:val="00EF39CD"/>
    <w:rsid w:val="00EF3E10"/>
    <w:rsid w:val="00EF498C"/>
    <w:rsid w:val="00EF4A8A"/>
    <w:rsid w:val="00EF4C99"/>
    <w:rsid w:val="00EF4D31"/>
    <w:rsid w:val="00EF4F68"/>
    <w:rsid w:val="00EF4FE9"/>
    <w:rsid w:val="00EF5885"/>
    <w:rsid w:val="00EF5A12"/>
    <w:rsid w:val="00EF638C"/>
    <w:rsid w:val="00EF6562"/>
    <w:rsid w:val="00EF6990"/>
    <w:rsid w:val="00EF6E10"/>
    <w:rsid w:val="00EF78CD"/>
    <w:rsid w:val="00F00888"/>
    <w:rsid w:val="00F008B8"/>
    <w:rsid w:val="00F01C29"/>
    <w:rsid w:val="00F01F24"/>
    <w:rsid w:val="00F02BC0"/>
    <w:rsid w:val="00F02CB2"/>
    <w:rsid w:val="00F02F23"/>
    <w:rsid w:val="00F02FBB"/>
    <w:rsid w:val="00F032A5"/>
    <w:rsid w:val="00F0331E"/>
    <w:rsid w:val="00F0355E"/>
    <w:rsid w:val="00F0423D"/>
    <w:rsid w:val="00F0465B"/>
    <w:rsid w:val="00F04D1B"/>
    <w:rsid w:val="00F04F1F"/>
    <w:rsid w:val="00F05DA9"/>
    <w:rsid w:val="00F064EE"/>
    <w:rsid w:val="00F06858"/>
    <w:rsid w:val="00F06E0F"/>
    <w:rsid w:val="00F06EE6"/>
    <w:rsid w:val="00F0765C"/>
    <w:rsid w:val="00F106DE"/>
    <w:rsid w:val="00F10AE5"/>
    <w:rsid w:val="00F11785"/>
    <w:rsid w:val="00F1199D"/>
    <w:rsid w:val="00F11F41"/>
    <w:rsid w:val="00F12495"/>
    <w:rsid w:val="00F12A49"/>
    <w:rsid w:val="00F12A56"/>
    <w:rsid w:val="00F13009"/>
    <w:rsid w:val="00F134C4"/>
    <w:rsid w:val="00F13D70"/>
    <w:rsid w:val="00F144C3"/>
    <w:rsid w:val="00F14E57"/>
    <w:rsid w:val="00F14EC1"/>
    <w:rsid w:val="00F1582E"/>
    <w:rsid w:val="00F16370"/>
    <w:rsid w:val="00F166BC"/>
    <w:rsid w:val="00F16729"/>
    <w:rsid w:val="00F16BA0"/>
    <w:rsid w:val="00F1703D"/>
    <w:rsid w:val="00F178CC"/>
    <w:rsid w:val="00F17A7D"/>
    <w:rsid w:val="00F20633"/>
    <w:rsid w:val="00F206C5"/>
    <w:rsid w:val="00F208E6"/>
    <w:rsid w:val="00F20C58"/>
    <w:rsid w:val="00F20E8B"/>
    <w:rsid w:val="00F2137F"/>
    <w:rsid w:val="00F214C9"/>
    <w:rsid w:val="00F21CDA"/>
    <w:rsid w:val="00F2416E"/>
    <w:rsid w:val="00F245B9"/>
    <w:rsid w:val="00F24E63"/>
    <w:rsid w:val="00F252B2"/>
    <w:rsid w:val="00F25526"/>
    <w:rsid w:val="00F25D91"/>
    <w:rsid w:val="00F266C5"/>
    <w:rsid w:val="00F2676B"/>
    <w:rsid w:val="00F274E5"/>
    <w:rsid w:val="00F27D88"/>
    <w:rsid w:val="00F27F6B"/>
    <w:rsid w:val="00F3064E"/>
    <w:rsid w:val="00F30BC5"/>
    <w:rsid w:val="00F318BC"/>
    <w:rsid w:val="00F319DF"/>
    <w:rsid w:val="00F31B3E"/>
    <w:rsid w:val="00F3216C"/>
    <w:rsid w:val="00F329A2"/>
    <w:rsid w:val="00F32CCD"/>
    <w:rsid w:val="00F32DE6"/>
    <w:rsid w:val="00F32F6B"/>
    <w:rsid w:val="00F331EA"/>
    <w:rsid w:val="00F33226"/>
    <w:rsid w:val="00F344FB"/>
    <w:rsid w:val="00F34B04"/>
    <w:rsid w:val="00F35F59"/>
    <w:rsid w:val="00F35FDC"/>
    <w:rsid w:val="00F36725"/>
    <w:rsid w:val="00F368B4"/>
    <w:rsid w:val="00F36CC5"/>
    <w:rsid w:val="00F37550"/>
    <w:rsid w:val="00F378B6"/>
    <w:rsid w:val="00F40F50"/>
    <w:rsid w:val="00F410C3"/>
    <w:rsid w:val="00F413F0"/>
    <w:rsid w:val="00F42681"/>
    <w:rsid w:val="00F427AA"/>
    <w:rsid w:val="00F42A7F"/>
    <w:rsid w:val="00F42C41"/>
    <w:rsid w:val="00F42D78"/>
    <w:rsid w:val="00F4313A"/>
    <w:rsid w:val="00F431A1"/>
    <w:rsid w:val="00F43373"/>
    <w:rsid w:val="00F443E9"/>
    <w:rsid w:val="00F4441A"/>
    <w:rsid w:val="00F44B70"/>
    <w:rsid w:val="00F44BBD"/>
    <w:rsid w:val="00F44C2E"/>
    <w:rsid w:val="00F44FBD"/>
    <w:rsid w:val="00F452CC"/>
    <w:rsid w:val="00F46125"/>
    <w:rsid w:val="00F46743"/>
    <w:rsid w:val="00F46963"/>
    <w:rsid w:val="00F47E2F"/>
    <w:rsid w:val="00F47E84"/>
    <w:rsid w:val="00F502C2"/>
    <w:rsid w:val="00F504A0"/>
    <w:rsid w:val="00F50FD2"/>
    <w:rsid w:val="00F52E99"/>
    <w:rsid w:val="00F533D0"/>
    <w:rsid w:val="00F53AE8"/>
    <w:rsid w:val="00F53DBD"/>
    <w:rsid w:val="00F54714"/>
    <w:rsid w:val="00F549FC"/>
    <w:rsid w:val="00F555E0"/>
    <w:rsid w:val="00F556B0"/>
    <w:rsid w:val="00F55704"/>
    <w:rsid w:val="00F55742"/>
    <w:rsid w:val="00F5575D"/>
    <w:rsid w:val="00F55A60"/>
    <w:rsid w:val="00F55C61"/>
    <w:rsid w:val="00F56158"/>
    <w:rsid w:val="00F56C7C"/>
    <w:rsid w:val="00F56D74"/>
    <w:rsid w:val="00F56F73"/>
    <w:rsid w:val="00F57216"/>
    <w:rsid w:val="00F573EE"/>
    <w:rsid w:val="00F5761A"/>
    <w:rsid w:val="00F60B2A"/>
    <w:rsid w:val="00F61664"/>
    <w:rsid w:val="00F6192B"/>
    <w:rsid w:val="00F61F85"/>
    <w:rsid w:val="00F625B1"/>
    <w:rsid w:val="00F62B36"/>
    <w:rsid w:val="00F62B74"/>
    <w:rsid w:val="00F62F63"/>
    <w:rsid w:val="00F630FC"/>
    <w:rsid w:val="00F6354A"/>
    <w:rsid w:val="00F63E1D"/>
    <w:rsid w:val="00F64BA5"/>
    <w:rsid w:val="00F65021"/>
    <w:rsid w:val="00F657D7"/>
    <w:rsid w:val="00F6678A"/>
    <w:rsid w:val="00F66B8E"/>
    <w:rsid w:val="00F67384"/>
    <w:rsid w:val="00F70248"/>
    <w:rsid w:val="00F70426"/>
    <w:rsid w:val="00F7042D"/>
    <w:rsid w:val="00F704E7"/>
    <w:rsid w:val="00F70B5D"/>
    <w:rsid w:val="00F713C5"/>
    <w:rsid w:val="00F71F9E"/>
    <w:rsid w:val="00F725C9"/>
    <w:rsid w:val="00F72C2C"/>
    <w:rsid w:val="00F72EA3"/>
    <w:rsid w:val="00F73FF6"/>
    <w:rsid w:val="00F74012"/>
    <w:rsid w:val="00F740A3"/>
    <w:rsid w:val="00F740DF"/>
    <w:rsid w:val="00F748D0"/>
    <w:rsid w:val="00F74B8A"/>
    <w:rsid w:val="00F75325"/>
    <w:rsid w:val="00F7536E"/>
    <w:rsid w:val="00F76AD2"/>
    <w:rsid w:val="00F76AD7"/>
    <w:rsid w:val="00F76B52"/>
    <w:rsid w:val="00F770C4"/>
    <w:rsid w:val="00F77E01"/>
    <w:rsid w:val="00F77EDD"/>
    <w:rsid w:val="00F77FCA"/>
    <w:rsid w:val="00F80185"/>
    <w:rsid w:val="00F80378"/>
    <w:rsid w:val="00F8073E"/>
    <w:rsid w:val="00F807E3"/>
    <w:rsid w:val="00F8098D"/>
    <w:rsid w:val="00F80AAB"/>
    <w:rsid w:val="00F80E02"/>
    <w:rsid w:val="00F8148B"/>
    <w:rsid w:val="00F82B19"/>
    <w:rsid w:val="00F8311A"/>
    <w:rsid w:val="00F83302"/>
    <w:rsid w:val="00F835BE"/>
    <w:rsid w:val="00F83AFE"/>
    <w:rsid w:val="00F83C0B"/>
    <w:rsid w:val="00F846A7"/>
    <w:rsid w:val="00F847D5"/>
    <w:rsid w:val="00F84866"/>
    <w:rsid w:val="00F85249"/>
    <w:rsid w:val="00F85C79"/>
    <w:rsid w:val="00F86B46"/>
    <w:rsid w:val="00F872A7"/>
    <w:rsid w:val="00F8771A"/>
    <w:rsid w:val="00F9016E"/>
    <w:rsid w:val="00F903A7"/>
    <w:rsid w:val="00F9045B"/>
    <w:rsid w:val="00F911A9"/>
    <w:rsid w:val="00F91235"/>
    <w:rsid w:val="00F913F8"/>
    <w:rsid w:val="00F9149A"/>
    <w:rsid w:val="00F92002"/>
    <w:rsid w:val="00F9242A"/>
    <w:rsid w:val="00F94870"/>
    <w:rsid w:val="00F96AE9"/>
    <w:rsid w:val="00F96C56"/>
    <w:rsid w:val="00F96F88"/>
    <w:rsid w:val="00F9725C"/>
    <w:rsid w:val="00F97788"/>
    <w:rsid w:val="00F978FC"/>
    <w:rsid w:val="00F97BAA"/>
    <w:rsid w:val="00FA06BB"/>
    <w:rsid w:val="00FA0E0F"/>
    <w:rsid w:val="00FA0ED9"/>
    <w:rsid w:val="00FA0F87"/>
    <w:rsid w:val="00FA1A8A"/>
    <w:rsid w:val="00FA1AAA"/>
    <w:rsid w:val="00FA26B5"/>
    <w:rsid w:val="00FA2749"/>
    <w:rsid w:val="00FA2AA8"/>
    <w:rsid w:val="00FA4063"/>
    <w:rsid w:val="00FA4520"/>
    <w:rsid w:val="00FA529D"/>
    <w:rsid w:val="00FA5B91"/>
    <w:rsid w:val="00FA5E8F"/>
    <w:rsid w:val="00FA5FD9"/>
    <w:rsid w:val="00FA60E9"/>
    <w:rsid w:val="00FA634E"/>
    <w:rsid w:val="00FA6F66"/>
    <w:rsid w:val="00FA734D"/>
    <w:rsid w:val="00FA7F28"/>
    <w:rsid w:val="00FB09C0"/>
    <w:rsid w:val="00FB0EB2"/>
    <w:rsid w:val="00FB0F4F"/>
    <w:rsid w:val="00FB1779"/>
    <w:rsid w:val="00FB1B31"/>
    <w:rsid w:val="00FB227F"/>
    <w:rsid w:val="00FB302C"/>
    <w:rsid w:val="00FB3159"/>
    <w:rsid w:val="00FB351E"/>
    <w:rsid w:val="00FB38EC"/>
    <w:rsid w:val="00FB3C91"/>
    <w:rsid w:val="00FB46D3"/>
    <w:rsid w:val="00FB482A"/>
    <w:rsid w:val="00FB4E1F"/>
    <w:rsid w:val="00FB5156"/>
    <w:rsid w:val="00FB56CE"/>
    <w:rsid w:val="00FB5737"/>
    <w:rsid w:val="00FB621C"/>
    <w:rsid w:val="00FB66E5"/>
    <w:rsid w:val="00FB6AA1"/>
    <w:rsid w:val="00FB706F"/>
    <w:rsid w:val="00FB7898"/>
    <w:rsid w:val="00FB798B"/>
    <w:rsid w:val="00FC055C"/>
    <w:rsid w:val="00FC10B9"/>
    <w:rsid w:val="00FC128F"/>
    <w:rsid w:val="00FC2438"/>
    <w:rsid w:val="00FC2A17"/>
    <w:rsid w:val="00FC2A37"/>
    <w:rsid w:val="00FC2A97"/>
    <w:rsid w:val="00FC39EF"/>
    <w:rsid w:val="00FC3CCA"/>
    <w:rsid w:val="00FC49EE"/>
    <w:rsid w:val="00FC4B68"/>
    <w:rsid w:val="00FC5558"/>
    <w:rsid w:val="00FC619F"/>
    <w:rsid w:val="00FC6EDB"/>
    <w:rsid w:val="00FC72A0"/>
    <w:rsid w:val="00FC731D"/>
    <w:rsid w:val="00FC73A8"/>
    <w:rsid w:val="00FC74DD"/>
    <w:rsid w:val="00FD025B"/>
    <w:rsid w:val="00FD09E3"/>
    <w:rsid w:val="00FD14AE"/>
    <w:rsid w:val="00FD1CDF"/>
    <w:rsid w:val="00FD1F2F"/>
    <w:rsid w:val="00FD1FF6"/>
    <w:rsid w:val="00FD2807"/>
    <w:rsid w:val="00FD29B8"/>
    <w:rsid w:val="00FD2BA2"/>
    <w:rsid w:val="00FD2F0B"/>
    <w:rsid w:val="00FD34B1"/>
    <w:rsid w:val="00FD3733"/>
    <w:rsid w:val="00FD3B31"/>
    <w:rsid w:val="00FD3ED1"/>
    <w:rsid w:val="00FD4088"/>
    <w:rsid w:val="00FD4384"/>
    <w:rsid w:val="00FD4E8E"/>
    <w:rsid w:val="00FD5CF8"/>
    <w:rsid w:val="00FD63CA"/>
    <w:rsid w:val="00FD6601"/>
    <w:rsid w:val="00FD6853"/>
    <w:rsid w:val="00FD68FB"/>
    <w:rsid w:val="00FD6ADE"/>
    <w:rsid w:val="00FD7BA4"/>
    <w:rsid w:val="00FE1013"/>
    <w:rsid w:val="00FE13E7"/>
    <w:rsid w:val="00FE17B2"/>
    <w:rsid w:val="00FE1B02"/>
    <w:rsid w:val="00FE1C4D"/>
    <w:rsid w:val="00FE1FA8"/>
    <w:rsid w:val="00FE25B6"/>
    <w:rsid w:val="00FE2D5D"/>
    <w:rsid w:val="00FE311D"/>
    <w:rsid w:val="00FE338F"/>
    <w:rsid w:val="00FE3B00"/>
    <w:rsid w:val="00FE3DC5"/>
    <w:rsid w:val="00FE4398"/>
    <w:rsid w:val="00FE4A10"/>
    <w:rsid w:val="00FE5623"/>
    <w:rsid w:val="00FE5968"/>
    <w:rsid w:val="00FE6A36"/>
    <w:rsid w:val="00FE6A4D"/>
    <w:rsid w:val="00FE6AF7"/>
    <w:rsid w:val="00FE6FA3"/>
    <w:rsid w:val="00FE76EF"/>
    <w:rsid w:val="00FE7706"/>
    <w:rsid w:val="00FF0500"/>
    <w:rsid w:val="00FF062E"/>
    <w:rsid w:val="00FF196B"/>
    <w:rsid w:val="00FF1A6C"/>
    <w:rsid w:val="00FF2543"/>
    <w:rsid w:val="00FF3CEA"/>
    <w:rsid w:val="00FF3F40"/>
    <w:rsid w:val="00FF4143"/>
    <w:rsid w:val="00FF4486"/>
    <w:rsid w:val="00FF47BA"/>
    <w:rsid w:val="00FF4B99"/>
    <w:rsid w:val="00FF4B9A"/>
    <w:rsid w:val="00FF4D8D"/>
    <w:rsid w:val="00FF4FCF"/>
    <w:rsid w:val="00FF5489"/>
    <w:rsid w:val="00FF57B0"/>
    <w:rsid w:val="00FF59B7"/>
    <w:rsid w:val="00FF5B49"/>
    <w:rsid w:val="00FF5DA7"/>
    <w:rsid w:val="00FF6A6D"/>
    <w:rsid w:val="00FF6B98"/>
    <w:rsid w:val="00FF7504"/>
    <w:rsid w:val="00FF7F5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FED2E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854"/>
    <w:pPr>
      <w:spacing w:after="200" w:line="276" w:lineRule="auto"/>
    </w:pPr>
    <w:rPr>
      <w:sz w:val="22"/>
      <w:szCs w:val="22"/>
      <w:lang w:eastAsia="en-GB"/>
    </w:rPr>
  </w:style>
  <w:style w:type="paragraph" w:styleId="Heading1">
    <w:name w:val="heading 1"/>
    <w:basedOn w:val="Normal"/>
    <w:next w:val="Normal"/>
    <w:link w:val="Heading1Char"/>
    <w:uiPriority w:val="9"/>
    <w:qFormat/>
    <w:rsid w:val="00014493"/>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B36F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CC0"/>
    <w:pPr>
      <w:ind w:left="720"/>
      <w:contextualSpacing/>
    </w:pPr>
  </w:style>
  <w:style w:type="paragraph" w:styleId="FootnoteText">
    <w:name w:val="footnote text"/>
    <w:basedOn w:val="Normal"/>
    <w:link w:val="FootnoteTextChar"/>
    <w:uiPriority w:val="99"/>
    <w:unhideWhenUsed/>
    <w:rsid w:val="007F5159"/>
    <w:pPr>
      <w:spacing w:after="0" w:line="240" w:lineRule="auto"/>
    </w:pPr>
    <w:rPr>
      <w:sz w:val="24"/>
      <w:szCs w:val="24"/>
    </w:rPr>
  </w:style>
  <w:style w:type="character" w:customStyle="1" w:styleId="FootnoteTextChar">
    <w:name w:val="Footnote Text Char"/>
    <w:basedOn w:val="DefaultParagraphFont"/>
    <w:link w:val="FootnoteText"/>
    <w:uiPriority w:val="99"/>
    <w:rsid w:val="007F5159"/>
    <w:rPr>
      <w:lang w:eastAsia="en-GB"/>
    </w:rPr>
  </w:style>
  <w:style w:type="character" w:styleId="FootnoteReference">
    <w:name w:val="footnote reference"/>
    <w:basedOn w:val="DefaultParagraphFont"/>
    <w:uiPriority w:val="99"/>
    <w:unhideWhenUsed/>
    <w:rsid w:val="007F5159"/>
    <w:rPr>
      <w:vertAlign w:val="superscript"/>
    </w:rPr>
  </w:style>
  <w:style w:type="paragraph" w:styleId="BalloonText">
    <w:name w:val="Balloon Text"/>
    <w:basedOn w:val="Normal"/>
    <w:link w:val="BalloonTextChar"/>
    <w:uiPriority w:val="99"/>
    <w:semiHidden/>
    <w:unhideWhenUsed/>
    <w:rsid w:val="00B96FA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6FA3"/>
    <w:rPr>
      <w:rFonts w:ascii="Lucida Grande" w:hAnsi="Lucida Grande" w:cs="Lucida Grande"/>
      <w:sz w:val="18"/>
      <w:szCs w:val="18"/>
      <w:lang w:eastAsia="en-GB"/>
    </w:rPr>
  </w:style>
  <w:style w:type="paragraph" w:styleId="NormalWeb">
    <w:name w:val="Normal (Web)"/>
    <w:basedOn w:val="Normal"/>
    <w:uiPriority w:val="99"/>
    <w:semiHidden/>
    <w:unhideWhenUsed/>
    <w:rsid w:val="00D323AF"/>
    <w:rPr>
      <w:rFonts w:ascii="Times New Roman" w:hAnsi="Times New Roman" w:cs="Times New Roman"/>
      <w:sz w:val="24"/>
      <w:szCs w:val="24"/>
    </w:rPr>
  </w:style>
  <w:style w:type="paragraph" w:styleId="Footer">
    <w:name w:val="footer"/>
    <w:basedOn w:val="Normal"/>
    <w:link w:val="FooterChar"/>
    <w:uiPriority w:val="99"/>
    <w:unhideWhenUsed/>
    <w:rsid w:val="00E31DFB"/>
    <w:pPr>
      <w:tabs>
        <w:tab w:val="center" w:pos="4320"/>
        <w:tab w:val="right" w:pos="8640"/>
      </w:tabs>
      <w:spacing w:after="0" w:line="240" w:lineRule="auto"/>
    </w:pPr>
  </w:style>
  <w:style w:type="character" w:customStyle="1" w:styleId="FooterChar">
    <w:name w:val="Footer Char"/>
    <w:basedOn w:val="DefaultParagraphFont"/>
    <w:link w:val="Footer"/>
    <w:uiPriority w:val="99"/>
    <w:rsid w:val="00E31DFB"/>
    <w:rPr>
      <w:sz w:val="22"/>
      <w:szCs w:val="22"/>
      <w:lang w:eastAsia="en-GB"/>
    </w:rPr>
  </w:style>
  <w:style w:type="character" w:styleId="PageNumber">
    <w:name w:val="page number"/>
    <w:basedOn w:val="DefaultParagraphFont"/>
    <w:uiPriority w:val="99"/>
    <w:semiHidden/>
    <w:unhideWhenUsed/>
    <w:rsid w:val="00E31DFB"/>
  </w:style>
  <w:style w:type="character" w:styleId="Hyperlink">
    <w:name w:val="Hyperlink"/>
    <w:basedOn w:val="DefaultParagraphFont"/>
    <w:uiPriority w:val="99"/>
    <w:unhideWhenUsed/>
    <w:rsid w:val="00DF314B"/>
    <w:rPr>
      <w:color w:val="0000FF" w:themeColor="hyperlink"/>
      <w:u w:val="single"/>
    </w:rPr>
  </w:style>
  <w:style w:type="character" w:styleId="FollowedHyperlink">
    <w:name w:val="FollowedHyperlink"/>
    <w:basedOn w:val="DefaultParagraphFont"/>
    <w:uiPriority w:val="99"/>
    <w:semiHidden/>
    <w:unhideWhenUsed/>
    <w:rsid w:val="00DF314B"/>
    <w:rPr>
      <w:color w:val="800080" w:themeColor="followedHyperlink"/>
      <w:u w:val="single"/>
    </w:rPr>
  </w:style>
  <w:style w:type="character" w:customStyle="1" w:styleId="Heading2Char">
    <w:name w:val="Heading 2 Char"/>
    <w:basedOn w:val="DefaultParagraphFont"/>
    <w:link w:val="Heading2"/>
    <w:uiPriority w:val="9"/>
    <w:semiHidden/>
    <w:rsid w:val="00B36FA6"/>
    <w:rPr>
      <w:rFonts w:asciiTheme="majorHAnsi" w:eastAsiaTheme="majorEastAsia" w:hAnsiTheme="majorHAnsi" w:cstheme="majorBidi"/>
      <w:b/>
      <w:bCs/>
      <w:color w:val="4F81BD" w:themeColor="accent1"/>
      <w:sz w:val="26"/>
      <w:szCs w:val="26"/>
      <w:lang w:eastAsia="en-GB"/>
    </w:rPr>
  </w:style>
  <w:style w:type="paragraph" w:styleId="Header">
    <w:name w:val="header"/>
    <w:basedOn w:val="Normal"/>
    <w:link w:val="HeaderChar"/>
    <w:uiPriority w:val="99"/>
    <w:unhideWhenUsed/>
    <w:rsid w:val="00E4020C"/>
    <w:pPr>
      <w:tabs>
        <w:tab w:val="center" w:pos="4320"/>
        <w:tab w:val="right" w:pos="8640"/>
      </w:tabs>
      <w:spacing w:after="0" w:line="240" w:lineRule="auto"/>
    </w:pPr>
  </w:style>
  <w:style w:type="character" w:customStyle="1" w:styleId="HeaderChar">
    <w:name w:val="Header Char"/>
    <w:basedOn w:val="DefaultParagraphFont"/>
    <w:link w:val="Header"/>
    <w:uiPriority w:val="99"/>
    <w:rsid w:val="00E4020C"/>
    <w:rPr>
      <w:sz w:val="22"/>
      <w:szCs w:val="22"/>
      <w:lang w:eastAsia="en-GB"/>
    </w:rPr>
  </w:style>
  <w:style w:type="character" w:customStyle="1" w:styleId="Heading1Char">
    <w:name w:val="Heading 1 Char"/>
    <w:basedOn w:val="DefaultParagraphFont"/>
    <w:link w:val="Heading1"/>
    <w:uiPriority w:val="9"/>
    <w:rsid w:val="00014493"/>
    <w:rPr>
      <w:rFonts w:asciiTheme="majorHAnsi" w:eastAsiaTheme="majorEastAsia" w:hAnsiTheme="majorHAnsi" w:cstheme="majorBidi"/>
      <w:b/>
      <w:bCs/>
      <w:color w:val="345A8A" w:themeColor="accent1" w:themeShade="B5"/>
      <w:sz w:val="32"/>
      <w:szCs w:val="32"/>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854"/>
    <w:pPr>
      <w:spacing w:after="200" w:line="276" w:lineRule="auto"/>
    </w:pPr>
    <w:rPr>
      <w:sz w:val="22"/>
      <w:szCs w:val="22"/>
      <w:lang w:eastAsia="en-GB"/>
    </w:rPr>
  </w:style>
  <w:style w:type="paragraph" w:styleId="Heading1">
    <w:name w:val="heading 1"/>
    <w:basedOn w:val="Normal"/>
    <w:next w:val="Normal"/>
    <w:link w:val="Heading1Char"/>
    <w:uiPriority w:val="9"/>
    <w:qFormat/>
    <w:rsid w:val="00014493"/>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B36F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CC0"/>
    <w:pPr>
      <w:ind w:left="720"/>
      <w:contextualSpacing/>
    </w:pPr>
  </w:style>
  <w:style w:type="paragraph" w:styleId="FootnoteText">
    <w:name w:val="footnote text"/>
    <w:basedOn w:val="Normal"/>
    <w:link w:val="FootnoteTextChar"/>
    <w:uiPriority w:val="99"/>
    <w:unhideWhenUsed/>
    <w:rsid w:val="007F5159"/>
    <w:pPr>
      <w:spacing w:after="0" w:line="240" w:lineRule="auto"/>
    </w:pPr>
    <w:rPr>
      <w:sz w:val="24"/>
      <w:szCs w:val="24"/>
    </w:rPr>
  </w:style>
  <w:style w:type="character" w:customStyle="1" w:styleId="FootnoteTextChar">
    <w:name w:val="Footnote Text Char"/>
    <w:basedOn w:val="DefaultParagraphFont"/>
    <w:link w:val="FootnoteText"/>
    <w:uiPriority w:val="99"/>
    <w:rsid w:val="007F5159"/>
    <w:rPr>
      <w:lang w:eastAsia="en-GB"/>
    </w:rPr>
  </w:style>
  <w:style w:type="character" w:styleId="FootnoteReference">
    <w:name w:val="footnote reference"/>
    <w:basedOn w:val="DefaultParagraphFont"/>
    <w:uiPriority w:val="99"/>
    <w:unhideWhenUsed/>
    <w:rsid w:val="007F5159"/>
    <w:rPr>
      <w:vertAlign w:val="superscript"/>
    </w:rPr>
  </w:style>
  <w:style w:type="paragraph" w:styleId="BalloonText">
    <w:name w:val="Balloon Text"/>
    <w:basedOn w:val="Normal"/>
    <w:link w:val="BalloonTextChar"/>
    <w:uiPriority w:val="99"/>
    <w:semiHidden/>
    <w:unhideWhenUsed/>
    <w:rsid w:val="00B96FA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6FA3"/>
    <w:rPr>
      <w:rFonts w:ascii="Lucida Grande" w:hAnsi="Lucida Grande" w:cs="Lucida Grande"/>
      <w:sz w:val="18"/>
      <w:szCs w:val="18"/>
      <w:lang w:eastAsia="en-GB"/>
    </w:rPr>
  </w:style>
  <w:style w:type="paragraph" w:styleId="NormalWeb">
    <w:name w:val="Normal (Web)"/>
    <w:basedOn w:val="Normal"/>
    <w:uiPriority w:val="99"/>
    <w:semiHidden/>
    <w:unhideWhenUsed/>
    <w:rsid w:val="00D323AF"/>
    <w:rPr>
      <w:rFonts w:ascii="Times New Roman" w:hAnsi="Times New Roman" w:cs="Times New Roman"/>
      <w:sz w:val="24"/>
      <w:szCs w:val="24"/>
    </w:rPr>
  </w:style>
  <w:style w:type="paragraph" w:styleId="Footer">
    <w:name w:val="footer"/>
    <w:basedOn w:val="Normal"/>
    <w:link w:val="FooterChar"/>
    <w:uiPriority w:val="99"/>
    <w:unhideWhenUsed/>
    <w:rsid w:val="00E31DFB"/>
    <w:pPr>
      <w:tabs>
        <w:tab w:val="center" w:pos="4320"/>
        <w:tab w:val="right" w:pos="8640"/>
      </w:tabs>
      <w:spacing w:after="0" w:line="240" w:lineRule="auto"/>
    </w:pPr>
  </w:style>
  <w:style w:type="character" w:customStyle="1" w:styleId="FooterChar">
    <w:name w:val="Footer Char"/>
    <w:basedOn w:val="DefaultParagraphFont"/>
    <w:link w:val="Footer"/>
    <w:uiPriority w:val="99"/>
    <w:rsid w:val="00E31DFB"/>
    <w:rPr>
      <w:sz w:val="22"/>
      <w:szCs w:val="22"/>
      <w:lang w:eastAsia="en-GB"/>
    </w:rPr>
  </w:style>
  <w:style w:type="character" w:styleId="PageNumber">
    <w:name w:val="page number"/>
    <w:basedOn w:val="DefaultParagraphFont"/>
    <w:uiPriority w:val="99"/>
    <w:semiHidden/>
    <w:unhideWhenUsed/>
    <w:rsid w:val="00E31DFB"/>
  </w:style>
  <w:style w:type="character" w:styleId="Hyperlink">
    <w:name w:val="Hyperlink"/>
    <w:basedOn w:val="DefaultParagraphFont"/>
    <w:uiPriority w:val="99"/>
    <w:unhideWhenUsed/>
    <w:rsid w:val="00DF314B"/>
    <w:rPr>
      <w:color w:val="0000FF" w:themeColor="hyperlink"/>
      <w:u w:val="single"/>
    </w:rPr>
  </w:style>
  <w:style w:type="character" w:styleId="FollowedHyperlink">
    <w:name w:val="FollowedHyperlink"/>
    <w:basedOn w:val="DefaultParagraphFont"/>
    <w:uiPriority w:val="99"/>
    <w:semiHidden/>
    <w:unhideWhenUsed/>
    <w:rsid w:val="00DF314B"/>
    <w:rPr>
      <w:color w:val="800080" w:themeColor="followedHyperlink"/>
      <w:u w:val="single"/>
    </w:rPr>
  </w:style>
  <w:style w:type="character" w:customStyle="1" w:styleId="Heading2Char">
    <w:name w:val="Heading 2 Char"/>
    <w:basedOn w:val="DefaultParagraphFont"/>
    <w:link w:val="Heading2"/>
    <w:uiPriority w:val="9"/>
    <w:semiHidden/>
    <w:rsid w:val="00B36FA6"/>
    <w:rPr>
      <w:rFonts w:asciiTheme="majorHAnsi" w:eastAsiaTheme="majorEastAsia" w:hAnsiTheme="majorHAnsi" w:cstheme="majorBidi"/>
      <w:b/>
      <w:bCs/>
      <w:color w:val="4F81BD" w:themeColor="accent1"/>
      <w:sz w:val="26"/>
      <w:szCs w:val="26"/>
      <w:lang w:eastAsia="en-GB"/>
    </w:rPr>
  </w:style>
  <w:style w:type="paragraph" w:styleId="Header">
    <w:name w:val="header"/>
    <w:basedOn w:val="Normal"/>
    <w:link w:val="HeaderChar"/>
    <w:uiPriority w:val="99"/>
    <w:unhideWhenUsed/>
    <w:rsid w:val="00E4020C"/>
    <w:pPr>
      <w:tabs>
        <w:tab w:val="center" w:pos="4320"/>
        <w:tab w:val="right" w:pos="8640"/>
      </w:tabs>
      <w:spacing w:after="0" w:line="240" w:lineRule="auto"/>
    </w:pPr>
  </w:style>
  <w:style w:type="character" w:customStyle="1" w:styleId="HeaderChar">
    <w:name w:val="Header Char"/>
    <w:basedOn w:val="DefaultParagraphFont"/>
    <w:link w:val="Header"/>
    <w:uiPriority w:val="99"/>
    <w:rsid w:val="00E4020C"/>
    <w:rPr>
      <w:sz w:val="22"/>
      <w:szCs w:val="22"/>
      <w:lang w:eastAsia="en-GB"/>
    </w:rPr>
  </w:style>
  <w:style w:type="character" w:customStyle="1" w:styleId="Heading1Char">
    <w:name w:val="Heading 1 Char"/>
    <w:basedOn w:val="DefaultParagraphFont"/>
    <w:link w:val="Heading1"/>
    <w:uiPriority w:val="9"/>
    <w:rsid w:val="00014493"/>
    <w:rPr>
      <w:rFonts w:asciiTheme="majorHAnsi" w:eastAsiaTheme="majorEastAsia" w:hAnsiTheme="majorHAnsi" w:cstheme="majorBidi"/>
      <w:b/>
      <w:bCs/>
      <w:color w:val="345A8A" w:themeColor="accent1" w:themeShade="B5"/>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55744">
      <w:bodyDiv w:val="1"/>
      <w:marLeft w:val="0"/>
      <w:marRight w:val="0"/>
      <w:marTop w:val="0"/>
      <w:marBottom w:val="0"/>
      <w:divBdr>
        <w:top w:val="none" w:sz="0" w:space="0" w:color="auto"/>
        <w:left w:val="none" w:sz="0" w:space="0" w:color="auto"/>
        <w:bottom w:val="none" w:sz="0" w:space="0" w:color="auto"/>
        <w:right w:val="none" w:sz="0" w:space="0" w:color="auto"/>
      </w:divBdr>
    </w:div>
    <w:div w:id="197399100">
      <w:bodyDiv w:val="1"/>
      <w:marLeft w:val="0"/>
      <w:marRight w:val="0"/>
      <w:marTop w:val="0"/>
      <w:marBottom w:val="0"/>
      <w:divBdr>
        <w:top w:val="none" w:sz="0" w:space="0" w:color="auto"/>
        <w:left w:val="none" w:sz="0" w:space="0" w:color="auto"/>
        <w:bottom w:val="none" w:sz="0" w:space="0" w:color="auto"/>
        <w:right w:val="none" w:sz="0" w:space="0" w:color="auto"/>
      </w:divBdr>
      <w:divsChild>
        <w:div w:id="1827865297">
          <w:marLeft w:val="0"/>
          <w:marRight w:val="0"/>
          <w:marTop w:val="0"/>
          <w:marBottom w:val="0"/>
          <w:divBdr>
            <w:top w:val="none" w:sz="0" w:space="0" w:color="auto"/>
            <w:left w:val="none" w:sz="0" w:space="0" w:color="auto"/>
            <w:bottom w:val="none" w:sz="0" w:space="0" w:color="auto"/>
            <w:right w:val="none" w:sz="0" w:space="0" w:color="auto"/>
          </w:divBdr>
          <w:divsChild>
            <w:div w:id="292752177">
              <w:marLeft w:val="0"/>
              <w:marRight w:val="0"/>
              <w:marTop w:val="0"/>
              <w:marBottom w:val="0"/>
              <w:divBdr>
                <w:top w:val="none" w:sz="0" w:space="0" w:color="auto"/>
                <w:left w:val="none" w:sz="0" w:space="0" w:color="auto"/>
                <w:bottom w:val="none" w:sz="0" w:space="0" w:color="auto"/>
                <w:right w:val="none" w:sz="0" w:space="0" w:color="auto"/>
              </w:divBdr>
              <w:divsChild>
                <w:div w:id="22171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8300">
      <w:bodyDiv w:val="1"/>
      <w:marLeft w:val="0"/>
      <w:marRight w:val="0"/>
      <w:marTop w:val="0"/>
      <w:marBottom w:val="0"/>
      <w:divBdr>
        <w:top w:val="none" w:sz="0" w:space="0" w:color="auto"/>
        <w:left w:val="none" w:sz="0" w:space="0" w:color="auto"/>
        <w:bottom w:val="none" w:sz="0" w:space="0" w:color="auto"/>
        <w:right w:val="none" w:sz="0" w:space="0" w:color="auto"/>
      </w:divBdr>
      <w:divsChild>
        <w:div w:id="1192305680">
          <w:marLeft w:val="0"/>
          <w:marRight w:val="0"/>
          <w:marTop w:val="0"/>
          <w:marBottom w:val="0"/>
          <w:divBdr>
            <w:top w:val="none" w:sz="0" w:space="0" w:color="auto"/>
            <w:left w:val="none" w:sz="0" w:space="0" w:color="auto"/>
            <w:bottom w:val="none" w:sz="0" w:space="0" w:color="auto"/>
            <w:right w:val="none" w:sz="0" w:space="0" w:color="auto"/>
          </w:divBdr>
          <w:divsChild>
            <w:div w:id="1912547079">
              <w:marLeft w:val="0"/>
              <w:marRight w:val="0"/>
              <w:marTop w:val="0"/>
              <w:marBottom w:val="0"/>
              <w:divBdr>
                <w:top w:val="none" w:sz="0" w:space="0" w:color="auto"/>
                <w:left w:val="none" w:sz="0" w:space="0" w:color="auto"/>
                <w:bottom w:val="none" w:sz="0" w:space="0" w:color="auto"/>
                <w:right w:val="none" w:sz="0" w:space="0" w:color="auto"/>
              </w:divBdr>
              <w:divsChild>
                <w:div w:id="31719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352524">
      <w:bodyDiv w:val="1"/>
      <w:marLeft w:val="0"/>
      <w:marRight w:val="0"/>
      <w:marTop w:val="0"/>
      <w:marBottom w:val="0"/>
      <w:divBdr>
        <w:top w:val="none" w:sz="0" w:space="0" w:color="auto"/>
        <w:left w:val="none" w:sz="0" w:space="0" w:color="auto"/>
        <w:bottom w:val="none" w:sz="0" w:space="0" w:color="auto"/>
        <w:right w:val="none" w:sz="0" w:space="0" w:color="auto"/>
      </w:divBdr>
      <w:divsChild>
        <w:div w:id="1928078759">
          <w:marLeft w:val="0"/>
          <w:marRight w:val="0"/>
          <w:marTop w:val="0"/>
          <w:marBottom w:val="0"/>
          <w:divBdr>
            <w:top w:val="none" w:sz="0" w:space="0" w:color="auto"/>
            <w:left w:val="none" w:sz="0" w:space="0" w:color="auto"/>
            <w:bottom w:val="none" w:sz="0" w:space="0" w:color="auto"/>
            <w:right w:val="none" w:sz="0" w:space="0" w:color="auto"/>
          </w:divBdr>
          <w:divsChild>
            <w:div w:id="1142887832">
              <w:marLeft w:val="0"/>
              <w:marRight w:val="0"/>
              <w:marTop w:val="0"/>
              <w:marBottom w:val="0"/>
              <w:divBdr>
                <w:top w:val="none" w:sz="0" w:space="0" w:color="auto"/>
                <w:left w:val="none" w:sz="0" w:space="0" w:color="auto"/>
                <w:bottom w:val="none" w:sz="0" w:space="0" w:color="auto"/>
                <w:right w:val="none" w:sz="0" w:space="0" w:color="auto"/>
              </w:divBdr>
              <w:divsChild>
                <w:div w:id="105801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592301">
      <w:bodyDiv w:val="1"/>
      <w:marLeft w:val="0"/>
      <w:marRight w:val="0"/>
      <w:marTop w:val="0"/>
      <w:marBottom w:val="0"/>
      <w:divBdr>
        <w:top w:val="none" w:sz="0" w:space="0" w:color="auto"/>
        <w:left w:val="none" w:sz="0" w:space="0" w:color="auto"/>
        <w:bottom w:val="none" w:sz="0" w:space="0" w:color="auto"/>
        <w:right w:val="none" w:sz="0" w:space="0" w:color="auto"/>
      </w:divBdr>
    </w:div>
    <w:div w:id="257953239">
      <w:bodyDiv w:val="1"/>
      <w:marLeft w:val="0"/>
      <w:marRight w:val="0"/>
      <w:marTop w:val="0"/>
      <w:marBottom w:val="0"/>
      <w:divBdr>
        <w:top w:val="none" w:sz="0" w:space="0" w:color="auto"/>
        <w:left w:val="none" w:sz="0" w:space="0" w:color="auto"/>
        <w:bottom w:val="none" w:sz="0" w:space="0" w:color="auto"/>
        <w:right w:val="none" w:sz="0" w:space="0" w:color="auto"/>
      </w:divBdr>
    </w:div>
    <w:div w:id="362705961">
      <w:bodyDiv w:val="1"/>
      <w:marLeft w:val="0"/>
      <w:marRight w:val="0"/>
      <w:marTop w:val="0"/>
      <w:marBottom w:val="0"/>
      <w:divBdr>
        <w:top w:val="none" w:sz="0" w:space="0" w:color="auto"/>
        <w:left w:val="none" w:sz="0" w:space="0" w:color="auto"/>
        <w:bottom w:val="none" w:sz="0" w:space="0" w:color="auto"/>
        <w:right w:val="none" w:sz="0" w:space="0" w:color="auto"/>
      </w:divBdr>
      <w:divsChild>
        <w:div w:id="475880281">
          <w:marLeft w:val="0"/>
          <w:marRight w:val="0"/>
          <w:marTop w:val="0"/>
          <w:marBottom w:val="0"/>
          <w:divBdr>
            <w:top w:val="none" w:sz="0" w:space="0" w:color="auto"/>
            <w:left w:val="none" w:sz="0" w:space="0" w:color="auto"/>
            <w:bottom w:val="none" w:sz="0" w:space="0" w:color="auto"/>
            <w:right w:val="none" w:sz="0" w:space="0" w:color="auto"/>
          </w:divBdr>
          <w:divsChild>
            <w:div w:id="1503279626">
              <w:marLeft w:val="0"/>
              <w:marRight w:val="0"/>
              <w:marTop w:val="0"/>
              <w:marBottom w:val="0"/>
              <w:divBdr>
                <w:top w:val="none" w:sz="0" w:space="0" w:color="auto"/>
                <w:left w:val="none" w:sz="0" w:space="0" w:color="auto"/>
                <w:bottom w:val="none" w:sz="0" w:space="0" w:color="auto"/>
                <w:right w:val="none" w:sz="0" w:space="0" w:color="auto"/>
              </w:divBdr>
              <w:divsChild>
                <w:div w:id="86332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8143">
      <w:bodyDiv w:val="1"/>
      <w:marLeft w:val="0"/>
      <w:marRight w:val="0"/>
      <w:marTop w:val="0"/>
      <w:marBottom w:val="0"/>
      <w:divBdr>
        <w:top w:val="none" w:sz="0" w:space="0" w:color="auto"/>
        <w:left w:val="none" w:sz="0" w:space="0" w:color="auto"/>
        <w:bottom w:val="none" w:sz="0" w:space="0" w:color="auto"/>
        <w:right w:val="none" w:sz="0" w:space="0" w:color="auto"/>
      </w:divBdr>
    </w:div>
    <w:div w:id="672612310">
      <w:bodyDiv w:val="1"/>
      <w:marLeft w:val="0"/>
      <w:marRight w:val="0"/>
      <w:marTop w:val="0"/>
      <w:marBottom w:val="0"/>
      <w:divBdr>
        <w:top w:val="none" w:sz="0" w:space="0" w:color="auto"/>
        <w:left w:val="none" w:sz="0" w:space="0" w:color="auto"/>
        <w:bottom w:val="none" w:sz="0" w:space="0" w:color="auto"/>
        <w:right w:val="none" w:sz="0" w:space="0" w:color="auto"/>
      </w:divBdr>
    </w:div>
    <w:div w:id="830369849">
      <w:bodyDiv w:val="1"/>
      <w:marLeft w:val="0"/>
      <w:marRight w:val="0"/>
      <w:marTop w:val="0"/>
      <w:marBottom w:val="0"/>
      <w:divBdr>
        <w:top w:val="none" w:sz="0" w:space="0" w:color="auto"/>
        <w:left w:val="none" w:sz="0" w:space="0" w:color="auto"/>
        <w:bottom w:val="none" w:sz="0" w:space="0" w:color="auto"/>
        <w:right w:val="none" w:sz="0" w:space="0" w:color="auto"/>
      </w:divBdr>
    </w:div>
    <w:div w:id="979070793">
      <w:bodyDiv w:val="1"/>
      <w:marLeft w:val="0"/>
      <w:marRight w:val="0"/>
      <w:marTop w:val="0"/>
      <w:marBottom w:val="0"/>
      <w:divBdr>
        <w:top w:val="none" w:sz="0" w:space="0" w:color="auto"/>
        <w:left w:val="none" w:sz="0" w:space="0" w:color="auto"/>
        <w:bottom w:val="none" w:sz="0" w:space="0" w:color="auto"/>
        <w:right w:val="none" w:sz="0" w:space="0" w:color="auto"/>
      </w:divBdr>
      <w:divsChild>
        <w:div w:id="1861316308">
          <w:marLeft w:val="0"/>
          <w:marRight w:val="0"/>
          <w:marTop w:val="0"/>
          <w:marBottom w:val="0"/>
          <w:divBdr>
            <w:top w:val="none" w:sz="0" w:space="0" w:color="auto"/>
            <w:left w:val="none" w:sz="0" w:space="0" w:color="auto"/>
            <w:bottom w:val="none" w:sz="0" w:space="0" w:color="auto"/>
            <w:right w:val="none" w:sz="0" w:space="0" w:color="auto"/>
          </w:divBdr>
        </w:div>
        <w:div w:id="1774549165">
          <w:marLeft w:val="0"/>
          <w:marRight w:val="0"/>
          <w:marTop w:val="0"/>
          <w:marBottom w:val="0"/>
          <w:divBdr>
            <w:top w:val="none" w:sz="0" w:space="0" w:color="auto"/>
            <w:left w:val="none" w:sz="0" w:space="0" w:color="auto"/>
            <w:bottom w:val="none" w:sz="0" w:space="0" w:color="auto"/>
            <w:right w:val="none" w:sz="0" w:space="0" w:color="auto"/>
          </w:divBdr>
          <w:divsChild>
            <w:div w:id="1896699785">
              <w:marLeft w:val="0"/>
              <w:marRight w:val="0"/>
              <w:marTop w:val="0"/>
              <w:marBottom w:val="0"/>
              <w:divBdr>
                <w:top w:val="none" w:sz="0" w:space="0" w:color="auto"/>
                <w:left w:val="none" w:sz="0" w:space="0" w:color="auto"/>
                <w:bottom w:val="none" w:sz="0" w:space="0" w:color="auto"/>
                <w:right w:val="none" w:sz="0" w:space="0" w:color="auto"/>
              </w:divBdr>
            </w:div>
            <w:div w:id="116825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927189">
      <w:bodyDiv w:val="1"/>
      <w:marLeft w:val="0"/>
      <w:marRight w:val="0"/>
      <w:marTop w:val="0"/>
      <w:marBottom w:val="0"/>
      <w:divBdr>
        <w:top w:val="none" w:sz="0" w:space="0" w:color="auto"/>
        <w:left w:val="none" w:sz="0" w:space="0" w:color="auto"/>
        <w:bottom w:val="none" w:sz="0" w:space="0" w:color="auto"/>
        <w:right w:val="none" w:sz="0" w:space="0" w:color="auto"/>
      </w:divBdr>
      <w:divsChild>
        <w:div w:id="557520712">
          <w:marLeft w:val="0"/>
          <w:marRight w:val="0"/>
          <w:marTop w:val="0"/>
          <w:marBottom w:val="0"/>
          <w:divBdr>
            <w:top w:val="none" w:sz="0" w:space="0" w:color="auto"/>
            <w:left w:val="none" w:sz="0" w:space="0" w:color="auto"/>
            <w:bottom w:val="none" w:sz="0" w:space="0" w:color="auto"/>
            <w:right w:val="none" w:sz="0" w:space="0" w:color="auto"/>
          </w:divBdr>
          <w:divsChild>
            <w:div w:id="617027033">
              <w:marLeft w:val="0"/>
              <w:marRight w:val="0"/>
              <w:marTop w:val="0"/>
              <w:marBottom w:val="0"/>
              <w:divBdr>
                <w:top w:val="none" w:sz="0" w:space="0" w:color="auto"/>
                <w:left w:val="none" w:sz="0" w:space="0" w:color="auto"/>
                <w:bottom w:val="none" w:sz="0" w:space="0" w:color="auto"/>
                <w:right w:val="none" w:sz="0" w:space="0" w:color="auto"/>
              </w:divBdr>
              <w:divsChild>
                <w:div w:id="6969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599604">
      <w:bodyDiv w:val="1"/>
      <w:marLeft w:val="0"/>
      <w:marRight w:val="0"/>
      <w:marTop w:val="0"/>
      <w:marBottom w:val="0"/>
      <w:divBdr>
        <w:top w:val="none" w:sz="0" w:space="0" w:color="auto"/>
        <w:left w:val="none" w:sz="0" w:space="0" w:color="auto"/>
        <w:bottom w:val="none" w:sz="0" w:space="0" w:color="auto"/>
        <w:right w:val="none" w:sz="0" w:space="0" w:color="auto"/>
      </w:divBdr>
    </w:div>
    <w:div w:id="1122069497">
      <w:bodyDiv w:val="1"/>
      <w:marLeft w:val="0"/>
      <w:marRight w:val="0"/>
      <w:marTop w:val="0"/>
      <w:marBottom w:val="0"/>
      <w:divBdr>
        <w:top w:val="none" w:sz="0" w:space="0" w:color="auto"/>
        <w:left w:val="none" w:sz="0" w:space="0" w:color="auto"/>
        <w:bottom w:val="none" w:sz="0" w:space="0" w:color="auto"/>
        <w:right w:val="none" w:sz="0" w:space="0" w:color="auto"/>
      </w:divBdr>
      <w:divsChild>
        <w:div w:id="1947884415">
          <w:marLeft w:val="0"/>
          <w:marRight w:val="0"/>
          <w:marTop w:val="0"/>
          <w:marBottom w:val="0"/>
          <w:divBdr>
            <w:top w:val="none" w:sz="0" w:space="0" w:color="auto"/>
            <w:left w:val="none" w:sz="0" w:space="0" w:color="auto"/>
            <w:bottom w:val="none" w:sz="0" w:space="0" w:color="auto"/>
            <w:right w:val="none" w:sz="0" w:space="0" w:color="auto"/>
          </w:divBdr>
          <w:divsChild>
            <w:div w:id="1704592107">
              <w:marLeft w:val="0"/>
              <w:marRight w:val="0"/>
              <w:marTop w:val="0"/>
              <w:marBottom w:val="0"/>
              <w:divBdr>
                <w:top w:val="none" w:sz="0" w:space="0" w:color="auto"/>
                <w:left w:val="none" w:sz="0" w:space="0" w:color="auto"/>
                <w:bottom w:val="none" w:sz="0" w:space="0" w:color="auto"/>
                <w:right w:val="none" w:sz="0" w:space="0" w:color="auto"/>
              </w:divBdr>
              <w:divsChild>
                <w:div w:id="200967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676813">
      <w:bodyDiv w:val="1"/>
      <w:marLeft w:val="0"/>
      <w:marRight w:val="0"/>
      <w:marTop w:val="0"/>
      <w:marBottom w:val="0"/>
      <w:divBdr>
        <w:top w:val="none" w:sz="0" w:space="0" w:color="auto"/>
        <w:left w:val="none" w:sz="0" w:space="0" w:color="auto"/>
        <w:bottom w:val="none" w:sz="0" w:space="0" w:color="auto"/>
        <w:right w:val="none" w:sz="0" w:space="0" w:color="auto"/>
      </w:divBdr>
    </w:div>
    <w:div w:id="1273980353">
      <w:bodyDiv w:val="1"/>
      <w:marLeft w:val="0"/>
      <w:marRight w:val="0"/>
      <w:marTop w:val="0"/>
      <w:marBottom w:val="0"/>
      <w:divBdr>
        <w:top w:val="none" w:sz="0" w:space="0" w:color="auto"/>
        <w:left w:val="none" w:sz="0" w:space="0" w:color="auto"/>
        <w:bottom w:val="none" w:sz="0" w:space="0" w:color="auto"/>
        <w:right w:val="none" w:sz="0" w:space="0" w:color="auto"/>
      </w:divBdr>
      <w:divsChild>
        <w:div w:id="222522494">
          <w:marLeft w:val="0"/>
          <w:marRight w:val="0"/>
          <w:marTop w:val="0"/>
          <w:marBottom w:val="0"/>
          <w:divBdr>
            <w:top w:val="none" w:sz="0" w:space="0" w:color="auto"/>
            <w:left w:val="none" w:sz="0" w:space="0" w:color="auto"/>
            <w:bottom w:val="none" w:sz="0" w:space="0" w:color="auto"/>
            <w:right w:val="none" w:sz="0" w:space="0" w:color="auto"/>
          </w:divBdr>
          <w:divsChild>
            <w:div w:id="2079596910">
              <w:marLeft w:val="0"/>
              <w:marRight w:val="0"/>
              <w:marTop w:val="0"/>
              <w:marBottom w:val="0"/>
              <w:divBdr>
                <w:top w:val="none" w:sz="0" w:space="0" w:color="auto"/>
                <w:left w:val="none" w:sz="0" w:space="0" w:color="auto"/>
                <w:bottom w:val="none" w:sz="0" w:space="0" w:color="auto"/>
                <w:right w:val="none" w:sz="0" w:space="0" w:color="auto"/>
              </w:divBdr>
              <w:divsChild>
                <w:div w:id="318073656">
                  <w:marLeft w:val="0"/>
                  <w:marRight w:val="0"/>
                  <w:marTop w:val="0"/>
                  <w:marBottom w:val="0"/>
                  <w:divBdr>
                    <w:top w:val="none" w:sz="0" w:space="0" w:color="auto"/>
                    <w:left w:val="none" w:sz="0" w:space="0" w:color="auto"/>
                    <w:bottom w:val="none" w:sz="0" w:space="0" w:color="auto"/>
                    <w:right w:val="none" w:sz="0" w:space="0" w:color="auto"/>
                  </w:divBdr>
                  <w:divsChild>
                    <w:div w:id="26503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19500">
      <w:bodyDiv w:val="1"/>
      <w:marLeft w:val="0"/>
      <w:marRight w:val="0"/>
      <w:marTop w:val="0"/>
      <w:marBottom w:val="0"/>
      <w:divBdr>
        <w:top w:val="none" w:sz="0" w:space="0" w:color="auto"/>
        <w:left w:val="none" w:sz="0" w:space="0" w:color="auto"/>
        <w:bottom w:val="none" w:sz="0" w:space="0" w:color="auto"/>
        <w:right w:val="none" w:sz="0" w:space="0" w:color="auto"/>
      </w:divBdr>
    </w:div>
    <w:div w:id="1335377978">
      <w:bodyDiv w:val="1"/>
      <w:marLeft w:val="0"/>
      <w:marRight w:val="0"/>
      <w:marTop w:val="0"/>
      <w:marBottom w:val="0"/>
      <w:divBdr>
        <w:top w:val="none" w:sz="0" w:space="0" w:color="auto"/>
        <w:left w:val="none" w:sz="0" w:space="0" w:color="auto"/>
        <w:bottom w:val="none" w:sz="0" w:space="0" w:color="auto"/>
        <w:right w:val="none" w:sz="0" w:space="0" w:color="auto"/>
      </w:divBdr>
      <w:divsChild>
        <w:div w:id="257981761">
          <w:marLeft w:val="0"/>
          <w:marRight w:val="0"/>
          <w:marTop w:val="0"/>
          <w:marBottom w:val="0"/>
          <w:divBdr>
            <w:top w:val="none" w:sz="0" w:space="0" w:color="auto"/>
            <w:left w:val="none" w:sz="0" w:space="0" w:color="auto"/>
            <w:bottom w:val="none" w:sz="0" w:space="0" w:color="auto"/>
            <w:right w:val="none" w:sz="0" w:space="0" w:color="auto"/>
          </w:divBdr>
          <w:divsChild>
            <w:div w:id="1920019416">
              <w:marLeft w:val="0"/>
              <w:marRight w:val="0"/>
              <w:marTop w:val="0"/>
              <w:marBottom w:val="0"/>
              <w:divBdr>
                <w:top w:val="none" w:sz="0" w:space="0" w:color="auto"/>
                <w:left w:val="none" w:sz="0" w:space="0" w:color="auto"/>
                <w:bottom w:val="none" w:sz="0" w:space="0" w:color="auto"/>
                <w:right w:val="none" w:sz="0" w:space="0" w:color="auto"/>
              </w:divBdr>
              <w:divsChild>
                <w:div w:id="186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516009">
      <w:bodyDiv w:val="1"/>
      <w:marLeft w:val="0"/>
      <w:marRight w:val="0"/>
      <w:marTop w:val="0"/>
      <w:marBottom w:val="0"/>
      <w:divBdr>
        <w:top w:val="none" w:sz="0" w:space="0" w:color="auto"/>
        <w:left w:val="none" w:sz="0" w:space="0" w:color="auto"/>
        <w:bottom w:val="none" w:sz="0" w:space="0" w:color="auto"/>
        <w:right w:val="none" w:sz="0" w:space="0" w:color="auto"/>
      </w:divBdr>
      <w:divsChild>
        <w:div w:id="1911234150">
          <w:marLeft w:val="0"/>
          <w:marRight w:val="0"/>
          <w:marTop w:val="0"/>
          <w:marBottom w:val="0"/>
          <w:divBdr>
            <w:top w:val="none" w:sz="0" w:space="0" w:color="auto"/>
            <w:left w:val="none" w:sz="0" w:space="0" w:color="auto"/>
            <w:bottom w:val="none" w:sz="0" w:space="0" w:color="auto"/>
            <w:right w:val="none" w:sz="0" w:space="0" w:color="auto"/>
          </w:divBdr>
          <w:divsChild>
            <w:div w:id="973212505">
              <w:marLeft w:val="0"/>
              <w:marRight w:val="0"/>
              <w:marTop w:val="0"/>
              <w:marBottom w:val="0"/>
              <w:divBdr>
                <w:top w:val="none" w:sz="0" w:space="0" w:color="auto"/>
                <w:left w:val="none" w:sz="0" w:space="0" w:color="auto"/>
                <w:bottom w:val="none" w:sz="0" w:space="0" w:color="auto"/>
                <w:right w:val="none" w:sz="0" w:space="0" w:color="auto"/>
              </w:divBdr>
              <w:divsChild>
                <w:div w:id="187145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31703">
      <w:bodyDiv w:val="1"/>
      <w:marLeft w:val="0"/>
      <w:marRight w:val="0"/>
      <w:marTop w:val="0"/>
      <w:marBottom w:val="0"/>
      <w:divBdr>
        <w:top w:val="none" w:sz="0" w:space="0" w:color="auto"/>
        <w:left w:val="none" w:sz="0" w:space="0" w:color="auto"/>
        <w:bottom w:val="none" w:sz="0" w:space="0" w:color="auto"/>
        <w:right w:val="none" w:sz="0" w:space="0" w:color="auto"/>
      </w:divBdr>
      <w:divsChild>
        <w:div w:id="954601619">
          <w:marLeft w:val="0"/>
          <w:marRight w:val="0"/>
          <w:marTop w:val="0"/>
          <w:marBottom w:val="0"/>
          <w:divBdr>
            <w:top w:val="none" w:sz="0" w:space="0" w:color="auto"/>
            <w:left w:val="none" w:sz="0" w:space="0" w:color="auto"/>
            <w:bottom w:val="none" w:sz="0" w:space="0" w:color="auto"/>
            <w:right w:val="none" w:sz="0" w:space="0" w:color="auto"/>
          </w:divBdr>
          <w:divsChild>
            <w:div w:id="2072189361">
              <w:marLeft w:val="0"/>
              <w:marRight w:val="0"/>
              <w:marTop w:val="0"/>
              <w:marBottom w:val="0"/>
              <w:divBdr>
                <w:top w:val="none" w:sz="0" w:space="0" w:color="auto"/>
                <w:left w:val="none" w:sz="0" w:space="0" w:color="auto"/>
                <w:bottom w:val="none" w:sz="0" w:space="0" w:color="auto"/>
                <w:right w:val="none" w:sz="0" w:space="0" w:color="auto"/>
              </w:divBdr>
              <w:divsChild>
                <w:div w:id="97506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662238">
      <w:bodyDiv w:val="1"/>
      <w:marLeft w:val="0"/>
      <w:marRight w:val="0"/>
      <w:marTop w:val="0"/>
      <w:marBottom w:val="0"/>
      <w:divBdr>
        <w:top w:val="none" w:sz="0" w:space="0" w:color="auto"/>
        <w:left w:val="none" w:sz="0" w:space="0" w:color="auto"/>
        <w:bottom w:val="none" w:sz="0" w:space="0" w:color="auto"/>
        <w:right w:val="none" w:sz="0" w:space="0" w:color="auto"/>
      </w:divBdr>
    </w:div>
    <w:div w:id="1747340246">
      <w:bodyDiv w:val="1"/>
      <w:marLeft w:val="0"/>
      <w:marRight w:val="0"/>
      <w:marTop w:val="0"/>
      <w:marBottom w:val="0"/>
      <w:divBdr>
        <w:top w:val="none" w:sz="0" w:space="0" w:color="auto"/>
        <w:left w:val="none" w:sz="0" w:space="0" w:color="auto"/>
        <w:bottom w:val="none" w:sz="0" w:space="0" w:color="auto"/>
        <w:right w:val="none" w:sz="0" w:space="0" w:color="auto"/>
      </w:divBdr>
    </w:div>
    <w:div w:id="1756705111">
      <w:bodyDiv w:val="1"/>
      <w:marLeft w:val="0"/>
      <w:marRight w:val="0"/>
      <w:marTop w:val="0"/>
      <w:marBottom w:val="0"/>
      <w:divBdr>
        <w:top w:val="none" w:sz="0" w:space="0" w:color="auto"/>
        <w:left w:val="none" w:sz="0" w:space="0" w:color="auto"/>
        <w:bottom w:val="none" w:sz="0" w:space="0" w:color="auto"/>
        <w:right w:val="none" w:sz="0" w:space="0" w:color="auto"/>
      </w:divBdr>
    </w:div>
    <w:div w:id="1762019338">
      <w:bodyDiv w:val="1"/>
      <w:marLeft w:val="0"/>
      <w:marRight w:val="0"/>
      <w:marTop w:val="0"/>
      <w:marBottom w:val="0"/>
      <w:divBdr>
        <w:top w:val="none" w:sz="0" w:space="0" w:color="auto"/>
        <w:left w:val="none" w:sz="0" w:space="0" w:color="auto"/>
        <w:bottom w:val="none" w:sz="0" w:space="0" w:color="auto"/>
        <w:right w:val="none" w:sz="0" w:space="0" w:color="auto"/>
      </w:divBdr>
    </w:div>
    <w:div w:id="1986543831">
      <w:bodyDiv w:val="1"/>
      <w:marLeft w:val="0"/>
      <w:marRight w:val="0"/>
      <w:marTop w:val="0"/>
      <w:marBottom w:val="0"/>
      <w:divBdr>
        <w:top w:val="none" w:sz="0" w:space="0" w:color="auto"/>
        <w:left w:val="none" w:sz="0" w:space="0" w:color="auto"/>
        <w:bottom w:val="none" w:sz="0" w:space="0" w:color="auto"/>
        <w:right w:val="none" w:sz="0" w:space="0" w:color="auto"/>
      </w:divBdr>
    </w:div>
    <w:div w:id="2019500895">
      <w:bodyDiv w:val="1"/>
      <w:marLeft w:val="0"/>
      <w:marRight w:val="0"/>
      <w:marTop w:val="0"/>
      <w:marBottom w:val="0"/>
      <w:divBdr>
        <w:top w:val="none" w:sz="0" w:space="0" w:color="auto"/>
        <w:left w:val="none" w:sz="0" w:space="0" w:color="auto"/>
        <w:bottom w:val="none" w:sz="0" w:space="0" w:color="auto"/>
        <w:right w:val="none" w:sz="0" w:space="0" w:color="auto"/>
      </w:divBdr>
      <w:divsChild>
        <w:div w:id="1954626067">
          <w:marLeft w:val="0"/>
          <w:marRight w:val="0"/>
          <w:marTop w:val="0"/>
          <w:marBottom w:val="0"/>
          <w:divBdr>
            <w:top w:val="none" w:sz="0" w:space="0" w:color="auto"/>
            <w:left w:val="none" w:sz="0" w:space="0" w:color="auto"/>
            <w:bottom w:val="none" w:sz="0" w:space="0" w:color="auto"/>
            <w:right w:val="none" w:sz="0" w:space="0" w:color="auto"/>
          </w:divBdr>
          <w:divsChild>
            <w:div w:id="49228539">
              <w:marLeft w:val="0"/>
              <w:marRight w:val="0"/>
              <w:marTop w:val="0"/>
              <w:marBottom w:val="0"/>
              <w:divBdr>
                <w:top w:val="none" w:sz="0" w:space="0" w:color="auto"/>
                <w:left w:val="none" w:sz="0" w:space="0" w:color="auto"/>
                <w:bottom w:val="none" w:sz="0" w:space="0" w:color="auto"/>
                <w:right w:val="none" w:sz="0" w:space="0" w:color="auto"/>
              </w:divBdr>
              <w:divsChild>
                <w:div w:id="1784184774">
                  <w:marLeft w:val="0"/>
                  <w:marRight w:val="0"/>
                  <w:marTop w:val="0"/>
                  <w:marBottom w:val="0"/>
                  <w:divBdr>
                    <w:top w:val="none" w:sz="0" w:space="0" w:color="auto"/>
                    <w:left w:val="none" w:sz="0" w:space="0" w:color="auto"/>
                    <w:bottom w:val="none" w:sz="0" w:space="0" w:color="auto"/>
                    <w:right w:val="none" w:sz="0" w:space="0" w:color="auto"/>
                  </w:divBdr>
                  <w:divsChild>
                    <w:div w:id="28778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0236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4159</TotalTime>
  <Pages>75</Pages>
  <Words>15780</Words>
  <Characters>89947</Characters>
  <Application>Microsoft Macintosh Word</Application>
  <DocSecurity>0</DocSecurity>
  <Lines>749</Lines>
  <Paragraphs>211</Paragraphs>
  <ScaleCrop>false</ScaleCrop>
  <Company/>
  <LinksUpToDate>false</LinksUpToDate>
  <CharactersWithSpaces>105516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9344</cp:revision>
  <cp:lastPrinted>2017-08-31T14:45:00Z</cp:lastPrinted>
  <dcterms:created xsi:type="dcterms:W3CDTF">2017-06-15T11:41:00Z</dcterms:created>
  <dcterms:modified xsi:type="dcterms:W3CDTF">2017-10-26T02:11:00Z</dcterms:modified>
</cp:coreProperties>
</file>